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33" w:before="0" w:after="0"/>
        <w:jc w:val="left"/>
        <w:rPr/>
      </w:pPr>
      <w:hyperlink w:anchor="i65bd50e6e0134a778ca5f9a1e0365124_7">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60" w:after="283"/>
        <w:jc w:val="center"/>
        <w:rPr>
          <w:rFonts w:ascii="Times New Roman;serif" w:hAnsi="Times New Roman;serif"/>
          <w:b/>
          <w:color w:val="000000"/>
          <w:sz w:val="32"/>
        </w:rPr>
      </w:pPr>
      <w:r>
        <w:rPr>
          <w:rFonts w:ascii="Times New Roman;serif" w:hAnsi="Times New Roman;serif"/>
          <w:b/>
          <w:color w:val="000000"/>
          <w:sz w:val="32"/>
        </w:rPr>
        <w:t>FORM 10-Q</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For the transition period from ___________ to ____________. </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 xml:space="preserve">Commission file number 001-39253 </w:t>
      </w:r>
    </w:p>
    <w:p>
      <w:pPr>
        <w:pStyle w:val="TextBody"/>
        <w:bidi w:val="0"/>
        <w:spacing w:lineRule="auto" w:line="288" w:before="140" w:after="283"/>
        <w:jc w:val="center"/>
        <w:rPr>
          <w:rFonts w:ascii="Times New Roman;serif" w:hAnsi="Times New Roman;serif"/>
          <w:b/>
          <w:color w:val="000000"/>
          <w:sz w:val="36"/>
        </w:rPr>
      </w:pPr>
      <w:r>
        <w:rPr>
          <w:rFonts w:ascii="Times New Roman;serif" w:hAnsi="Times New Roman;serif"/>
          <w:b/>
          <w:color w:val="000000"/>
          <w:sz w:val="36"/>
        </w:rPr>
        <w:t>Opendoor Technologies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6894" w:type="dxa"/>
        <w:jc w:val="left"/>
        <w:tblInd w:w="0" w:type="dxa"/>
        <w:tblLayout w:type="fixed"/>
        <w:tblCellMar>
          <w:top w:w="28" w:type="dxa"/>
          <w:left w:w="28" w:type="dxa"/>
          <w:bottom w:w="28" w:type="dxa"/>
          <w:right w:w="28" w:type="dxa"/>
        </w:tblCellMar>
      </w:tblPr>
      <w:tblGrid>
        <w:gridCol w:w="494"/>
        <w:gridCol w:w="432"/>
        <w:gridCol w:w="432"/>
        <w:gridCol w:w="432"/>
        <w:gridCol w:w="432"/>
        <w:gridCol w:w="432"/>
        <w:gridCol w:w="290"/>
        <w:gridCol w:w="290"/>
        <w:gridCol w:w="304"/>
        <w:gridCol w:w="109"/>
        <w:gridCol w:w="109"/>
        <w:gridCol w:w="109"/>
        <w:gridCol w:w="884"/>
        <w:gridCol w:w="884"/>
        <w:gridCol w:w="1261"/>
      </w:tblGrid>
      <w:tr>
        <w:trPr/>
        <w:tc>
          <w:tcPr>
            <w:tcW w:w="494"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53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30-1318214</w:t>
            </w:r>
          </w:p>
        </w:tc>
      </w:tr>
      <w:tr>
        <w:trPr/>
        <w:tc>
          <w:tcPr>
            <w:tcW w:w="3538" w:type="dxa"/>
            <w:gridSpan w:val="9"/>
            <w:tcBorders/>
            <w:tcMar>
              <w:top w:w="0" w:type="dxa"/>
              <w:left w:w="0" w:type="dxa"/>
              <w:bottom w:w="0" w:type="dxa"/>
              <w:right w:w="0" w:type="dxa"/>
            </w:tcMar>
            <w:vAlign w:val="center"/>
          </w:tcPr>
          <w:p>
            <w:pPr>
              <w:pStyle w:val="TableContents"/>
              <w:bidi w:val="0"/>
              <w:spacing w:lineRule="auto" w:line="288" w:before="53" w:after="3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1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1295 West Washington Street,</w:t>
            </w:r>
          </w:p>
        </w:tc>
        <w:tc>
          <w:tcPr>
            <w:tcW w:w="8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Suite 115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Tempe,</w:t>
            </w:r>
          </w:p>
        </w:tc>
        <w:tc>
          <w:tcPr>
            <w:tcW w:w="12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AZ</w:t>
            </w:r>
          </w:p>
        </w:tc>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85288</w:t>
            </w:r>
          </w:p>
        </w:tc>
      </w:tr>
      <w:tr>
        <w:trPr/>
        <w:tc>
          <w:tcPr>
            <w:tcW w:w="353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(480) 618-6760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10205" w:type="dxa"/>
        <w:jc w:val="left"/>
        <w:tblInd w:w="0" w:type="dxa"/>
        <w:tblLayout w:type="fixed"/>
        <w:tblCellMar>
          <w:top w:w="28" w:type="dxa"/>
          <w:left w:w="28" w:type="dxa"/>
          <w:bottom w:w="28" w:type="dxa"/>
          <w:right w:w="28" w:type="dxa"/>
        </w:tblCellMar>
      </w:tblPr>
      <w:tblGrid>
        <w:gridCol w:w="2444"/>
        <w:gridCol w:w="1945"/>
        <w:gridCol w:w="1967"/>
        <w:gridCol w:w="431"/>
        <w:gridCol w:w="431"/>
        <w:gridCol w:w="432"/>
        <w:gridCol w:w="745"/>
        <w:gridCol w:w="745"/>
        <w:gridCol w:w="1065"/>
      </w:tblGrid>
      <w:tr>
        <w:trPr/>
        <w:tc>
          <w:tcPr>
            <w:tcW w:w="2444" w:type="dxa"/>
            <w:tcBorders/>
            <w:vAlign w:val="center"/>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sz w:val="4"/>
                <w:szCs w:val="4"/>
              </w:rPr>
            </w:pPr>
            <w:r>
              <w:rPr>
                <w:sz w:val="4"/>
                <w:szCs w:val="4"/>
              </w:rPr>
            </w:r>
          </w:p>
        </w:tc>
        <w:tc>
          <w:tcPr>
            <w:tcW w:w="1967"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r>
      <w:tr>
        <w:trPr/>
        <w:tc>
          <w:tcPr>
            <w:tcW w:w="63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2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25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63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$0.0001 par value per share</w:t>
            </w:r>
          </w:p>
        </w:tc>
        <w:tc>
          <w:tcPr>
            <w:tcW w:w="12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OPEN</w:t>
            </w:r>
          </w:p>
        </w:tc>
        <w:tc>
          <w:tcPr>
            <w:tcW w:w="25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6356"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 </w:t>
            </w:r>
            <w:r>
              <w:rPr>
                <w:rFonts w:ascii="Times New Roman;serif" w:hAnsi="Times New Roman;serif"/>
                <w:b w:val="false"/>
                <w:color w:val="000000"/>
                <w:sz w:val="20"/>
              </w:rPr>
              <w:t>Series K Warrants, each whole warrant exercisable to purchase one share of common stock at an exercise price of $9.00 per warrant</w:t>
            </w:r>
          </w:p>
        </w:tc>
        <w:tc>
          <w:tcPr>
            <w:tcW w:w="12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OPENW</w:t>
            </w:r>
          </w:p>
        </w:tc>
        <w:tc>
          <w:tcPr>
            <w:tcW w:w="25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63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Series A Warrants, each whole warrant exercisable to purchase one share of common stock at an exercise price of $13.00 per warrant</w:t>
            </w:r>
          </w:p>
        </w:tc>
        <w:tc>
          <w:tcPr>
            <w:tcW w:w="12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OPENL</w:t>
            </w:r>
          </w:p>
        </w:tc>
        <w:tc>
          <w:tcPr>
            <w:tcW w:w="25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63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Series Z Warrants, each whole warrant exercisable to purchase one share of common stock at an exercise price of $17.00 per warrant</w:t>
            </w:r>
          </w:p>
        </w:tc>
        <w:tc>
          <w:tcPr>
            <w:tcW w:w="12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OPENZ</w:t>
            </w:r>
          </w:p>
        </w:tc>
        <w:tc>
          <w:tcPr>
            <w:tcW w:w="25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120" w:after="283"/>
        <w:jc w:val="left"/>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lineRule="auto" w:line="288" w:before="120" w:after="283"/>
        <w:jc w:val="left"/>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left"/>
        <w:rPr/>
      </w:pPr>
      <w:hyperlink w:anchor="i65bd50e6e0134a778ca5f9a1e0365124_7">
        <w:r>
          <w:rPr>
            <w:rStyle w:val="InternetLink"/>
            <w:rFonts w:ascii="Times New Roman;serif" w:hAnsi="Times New Roman;serif"/>
            <w:b w:val="false"/>
            <w:color w:val="0000FF"/>
            <w:sz w:val="20"/>
            <w:u w:val="single"/>
          </w:rPr>
          <w:t>TABLE OF CONTENTS</w:t>
        </w:r>
      </w:hyperlink>
    </w:p>
    <w:tbl>
      <w:tblPr>
        <w:tblW w:w="4928"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bl>
    <w:p>
      <w:pPr>
        <w:pStyle w:val="TextBody"/>
        <w:bidi w:val="0"/>
        <w:spacing w:lineRule="auto" w:line="288" w:before="6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20" w:after="283"/>
        <w:jc w:val="left"/>
        <w:rPr/>
      </w:pPr>
      <w:r>
        <w:rPr>
          <w:rFonts w:ascii="Times New Roman;serif" w:hAnsi="Times New Roman;serif"/>
          <w:b w:val="false"/>
          <w:color w:val="000000"/>
          <w:sz w:val="20"/>
        </w:rPr>
        <w:t xml:space="preserve">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number of shares of registrant’s common stock outstanding as of July 28, 2026 was approximately 971,091,050.</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left"/>
        <w:rPr/>
      </w:pPr>
      <w:hyperlink w:anchor="i65bd50e6e0134a778ca5f9a1e0365124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333" w:before="0" w:after="20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428"/>
        <w:gridCol w:w="376"/>
        <w:gridCol w:w="376"/>
        <w:gridCol w:w="376"/>
        <w:gridCol w:w="376"/>
        <w:gridCol w:w="376"/>
        <w:gridCol w:w="2433"/>
        <w:gridCol w:w="2430"/>
        <w:gridCol w:w="2459"/>
        <w:gridCol w:w="167"/>
        <w:gridCol w:w="167"/>
        <w:gridCol w:w="241"/>
      </w:tblGrid>
      <w:tr>
        <w:trPr/>
        <w:tc>
          <w:tcPr>
            <w:tcW w:w="42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433" w:type="dxa"/>
            <w:tcBorders/>
            <w:vAlign w:val="center"/>
          </w:tcPr>
          <w:p>
            <w:pPr>
              <w:pStyle w:val="TableContents"/>
              <w:bidi w:val="0"/>
              <w:spacing w:before="0" w:after="283"/>
              <w:jc w:val="left"/>
              <w:rPr>
                <w:sz w:val="4"/>
                <w:szCs w:val="4"/>
              </w:rPr>
            </w:pPr>
            <w:r>
              <w:rPr>
                <w:sz w:val="4"/>
                <w:szCs w:val="4"/>
              </w:rPr>
            </w:r>
          </w:p>
        </w:tc>
        <w:tc>
          <w:tcPr>
            <w:tcW w:w="2430" w:type="dxa"/>
            <w:tcBorders/>
            <w:vAlign w:val="center"/>
          </w:tcPr>
          <w:p>
            <w:pPr>
              <w:pStyle w:val="TableContents"/>
              <w:bidi w:val="0"/>
              <w:spacing w:before="0" w:after="283"/>
              <w:jc w:val="left"/>
              <w:rPr>
                <w:sz w:val="4"/>
                <w:szCs w:val="4"/>
              </w:rPr>
            </w:pPr>
            <w:r>
              <w:rPr>
                <w:sz w:val="4"/>
                <w:szCs w:val="4"/>
              </w:rPr>
            </w:r>
          </w:p>
        </w:tc>
        <w:tc>
          <w:tcPr>
            <w:tcW w:w="245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1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bottom w:val="single" w:sz="2"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22" w:type="dxa"/>
            <w:gridSpan w:val="3"/>
            <w:tcBorders>
              <w:bottom w:val="single" w:sz="2"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9630" w:type="dxa"/>
            <w:gridSpan w:val="9"/>
            <w:tcBorders>
              <w:top w:val="single" w:sz="2" w:space="0" w:color="FFFFFF"/>
            </w:tcBorders>
            <w:shd w:fill="CCEEFF" w:val="clear"/>
            <w:tcMar>
              <w:top w:w="30" w:type="dxa"/>
              <w:left w:w="0" w:type="dxa"/>
              <w:bottom w:w="0" w:type="dxa"/>
              <w:right w:w="0" w:type="dxa"/>
            </w:tcMar>
            <w:vAlign w:val="center"/>
          </w:tcPr>
          <w:p>
            <w:pPr>
              <w:pStyle w:val="TableContents"/>
              <w:bidi w:val="0"/>
              <w:spacing w:lineRule="auto" w:line="288" w:before="0" w:after="0"/>
              <w:jc w:val="left"/>
              <w:rPr/>
            </w:pPr>
            <w:hyperlink w:anchor="i65bd50e6e0134a778ca5f9a1e0365124_16">
              <w:r>
                <w:rPr>
                  <w:rStyle w:val="InternetLink"/>
                  <w:rFonts w:ascii="Times New Roman;serif" w:hAnsi="Times New Roman;serif"/>
                  <w:b/>
                  <w:color w:val="000000"/>
                  <w:sz w:val="20"/>
                  <w:u w:val="single"/>
                </w:rPr>
                <w:t>PART I - FINANCIAL INFORMATION</w:t>
              </w:r>
            </w:hyperlink>
          </w:p>
        </w:tc>
        <w:tc>
          <w:tcPr>
            <w:tcW w:w="5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65bd50e6e0134a778ca5f9a1e0365124_19">
              <w:r>
                <w:rPr>
                  <w:rStyle w:val="InternetLink"/>
                  <w:rFonts w:ascii="Times New Roman;serif" w:hAnsi="Times New Roman;serif"/>
                  <w:b w:val="false"/>
                  <w:strike w:val="false"/>
                  <w:dstrike w:val="false"/>
                  <w:color w:val="000000"/>
                  <w:sz w:val="20"/>
                  <w:u w:val="none"/>
                  <w:effect w:val="none"/>
                </w:rPr>
                <w:t>Item 1.</w:t>
              </w:r>
            </w:hyperlink>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65bd50e6e0134a778ca5f9a1e0365124_19">
              <w:r>
                <w:rPr>
                  <w:rStyle w:val="InternetLink"/>
                  <w:rFonts w:ascii="Times New Roman;serif" w:hAnsi="Times New Roman;serif"/>
                  <w:b w:val="false"/>
                  <w:strike w:val="false"/>
                  <w:dstrike w:val="false"/>
                  <w:color w:val="000000"/>
                  <w:sz w:val="20"/>
                  <w:u w:val="none"/>
                  <w:effect w:val="none"/>
                </w:rPr>
                <w:t>Financial Statements</w:t>
              </w:r>
            </w:hyperlink>
          </w:p>
        </w:tc>
        <w:tc>
          <w:tcPr>
            <w:tcW w:w="575"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pPr>
            <w:hyperlink w:anchor="i65bd50e6e0134a778ca5f9a1e0365124_19">
              <w:r>
                <w:rPr>
                  <w:rStyle w:val="InternetLink"/>
                  <w:rFonts w:ascii="Times New Roman;serif" w:hAnsi="Times New Roman;serif"/>
                  <w:b w:val="false"/>
                  <w:strike w:val="false"/>
                  <w:dstrike w:val="false"/>
                  <w:color w:val="000000"/>
                  <w:sz w:val="20"/>
                  <w:u w:val="none"/>
                  <w:effect w:val="none"/>
                </w:rPr>
                <w:t>3</w:t>
              </w:r>
            </w:hyperlink>
          </w:p>
        </w:tc>
      </w:tr>
      <w:tr>
        <w:trPr/>
        <w:tc>
          <w:tcPr>
            <w:tcW w:w="1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5bd50e6e0134a778ca5f9a1e0365124_22">
              <w:r>
                <w:rPr>
                  <w:rStyle w:val="InternetLink"/>
                  <w:rFonts w:ascii="Times New Roman;serif" w:hAnsi="Times New Roman;serif"/>
                  <w:b w:val="false"/>
                  <w:strike w:val="false"/>
                  <w:dstrike w:val="false"/>
                  <w:color w:val="000000"/>
                  <w:sz w:val="20"/>
                  <w:u w:val="none"/>
                  <w:effect w:val="none"/>
                </w:rPr>
                <w:t>Condensed Consolidated Balance Sheets</w:t>
              </w:r>
            </w:hyperlink>
          </w:p>
        </w:tc>
        <w:tc>
          <w:tcPr>
            <w:tcW w:w="5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65bd50e6e0134a778ca5f9a1e0365124_22">
              <w:r>
                <w:rPr>
                  <w:rStyle w:val="InternetLink"/>
                  <w:rFonts w:ascii="Times New Roman;serif" w:hAnsi="Times New Roman;serif"/>
                  <w:b w:val="false"/>
                  <w:strike w:val="false"/>
                  <w:dstrike w:val="false"/>
                  <w:color w:val="000000"/>
                  <w:sz w:val="20"/>
                  <w:u w:val="none"/>
                  <w:effect w:val="none"/>
                </w:rPr>
                <w:t>3</w:t>
              </w:r>
            </w:hyperlink>
          </w:p>
        </w:tc>
      </w:tr>
      <w:tr>
        <w:trPr/>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65bd50e6e0134a778ca5f9a1e0365124_25">
              <w:r>
                <w:rPr>
                  <w:rStyle w:val="InternetLink"/>
                  <w:rFonts w:ascii="Times New Roman;serif" w:hAnsi="Times New Roman;serif"/>
                  <w:b w:val="false"/>
                  <w:strike w:val="false"/>
                  <w:dstrike w:val="false"/>
                  <w:color w:val="000000"/>
                  <w:sz w:val="20"/>
                  <w:u w:val="none"/>
                  <w:effect w:val="none"/>
                </w:rPr>
                <w:t>Condensed Consolidated Statements of Operations</w:t>
              </w:r>
            </w:hyperlink>
          </w:p>
        </w:tc>
        <w:tc>
          <w:tcPr>
            <w:tcW w:w="5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65bd50e6e0134a778ca5f9a1e0365124_25">
              <w:r>
                <w:rPr>
                  <w:rStyle w:val="InternetLink"/>
                  <w:rFonts w:ascii="Times New Roman;serif" w:hAnsi="Times New Roman;serif"/>
                  <w:b w:val="false"/>
                  <w:strike w:val="false"/>
                  <w:dstrike w:val="false"/>
                  <w:color w:val="000000"/>
                  <w:sz w:val="20"/>
                  <w:u w:val="none"/>
                  <w:effect w:val="none"/>
                </w:rPr>
                <w:t>4</w:t>
              </w:r>
            </w:hyperlink>
          </w:p>
        </w:tc>
      </w:tr>
      <w:tr>
        <w:trPr/>
        <w:tc>
          <w:tcPr>
            <w:tcW w:w="1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5bd50e6e0134a778ca5f9a1e0365124_28">
              <w:r>
                <w:rPr>
                  <w:rStyle w:val="InternetLink"/>
                  <w:rFonts w:ascii="Times New Roman;serif" w:hAnsi="Times New Roman;serif"/>
                  <w:b w:val="false"/>
                  <w:strike w:val="false"/>
                  <w:dstrike w:val="false"/>
                  <w:color w:val="000000"/>
                  <w:sz w:val="20"/>
                  <w:u w:val="none"/>
                  <w:effect w:val="none"/>
                </w:rPr>
                <w:t>Condensed Consolidated Statements of Comprehensive Loss</w:t>
              </w:r>
            </w:hyperlink>
          </w:p>
        </w:tc>
        <w:tc>
          <w:tcPr>
            <w:tcW w:w="5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65bd50e6e0134a778ca5f9a1e0365124_28">
              <w:r>
                <w:rPr>
                  <w:rStyle w:val="InternetLink"/>
                  <w:rFonts w:ascii="Times New Roman;serif" w:hAnsi="Times New Roman;serif"/>
                  <w:b w:val="false"/>
                  <w:strike w:val="false"/>
                  <w:dstrike w:val="false"/>
                  <w:color w:val="000000"/>
                  <w:sz w:val="20"/>
                  <w:u w:val="none"/>
                  <w:effect w:val="none"/>
                </w:rPr>
                <w:t>5</w:t>
              </w:r>
            </w:hyperlink>
          </w:p>
        </w:tc>
      </w:tr>
      <w:tr>
        <w:trPr/>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65bd50e6e0134a778ca5f9a1e0365124_31">
              <w:r>
                <w:rPr>
                  <w:rStyle w:val="InternetLink"/>
                  <w:rFonts w:ascii="Times New Roman;serif" w:hAnsi="Times New Roman;serif"/>
                  <w:b w:val="false"/>
                  <w:strike w:val="false"/>
                  <w:dstrike w:val="false"/>
                  <w:color w:val="000000"/>
                  <w:sz w:val="20"/>
                  <w:u w:val="none"/>
                  <w:effect w:val="none"/>
                </w:rPr>
                <w:t>Condensed Consolidated Statements of Shareholders’ Equity</w:t>
              </w:r>
            </w:hyperlink>
          </w:p>
        </w:tc>
        <w:tc>
          <w:tcPr>
            <w:tcW w:w="5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65bd50e6e0134a778ca5f9a1e0365124_31">
              <w:r>
                <w:rPr>
                  <w:rStyle w:val="InternetLink"/>
                  <w:rFonts w:ascii="Times New Roman;serif" w:hAnsi="Times New Roman;serif"/>
                  <w:b w:val="false"/>
                  <w:strike w:val="false"/>
                  <w:dstrike w:val="false"/>
                  <w:color w:val="000000"/>
                  <w:sz w:val="20"/>
                  <w:u w:val="none"/>
                  <w:effect w:val="none"/>
                </w:rPr>
                <w:t>6</w:t>
              </w:r>
            </w:hyperlink>
          </w:p>
        </w:tc>
      </w:tr>
      <w:tr>
        <w:trPr/>
        <w:tc>
          <w:tcPr>
            <w:tcW w:w="1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5bd50e6e0134a778ca5f9a1e0365124_34">
              <w:r>
                <w:rPr>
                  <w:rStyle w:val="InternetLink"/>
                  <w:rFonts w:ascii="Times New Roman;serif" w:hAnsi="Times New Roman;serif"/>
                  <w:b w:val="false"/>
                  <w:strike w:val="false"/>
                  <w:dstrike w:val="false"/>
                  <w:color w:val="000000"/>
                  <w:sz w:val="20"/>
                  <w:u w:val="none"/>
                  <w:effect w:val="none"/>
                </w:rPr>
                <w:t>Condensed Consolidated Statements of Cash Flows</w:t>
              </w:r>
            </w:hyperlink>
          </w:p>
        </w:tc>
        <w:tc>
          <w:tcPr>
            <w:tcW w:w="5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65bd50e6e0134a778ca5f9a1e0365124_34">
              <w:r>
                <w:rPr>
                  <w:rStyle w:val="InternetLink"/>
                  <w:rFonts w:ascii="Times New Roman;serif" w:hAnsi="Times New Roman;serif"/>
                  <w:b w:val="false"/>
                  <w:strike w:val="false"/>
                  <w:dstrike w:val="false"/>
                  <w:color w:val="000000"/>
                  <w:sz w:val="20"/>
                  <w:u w:val="none"/>
                  <w:effect w:val="none"/>
                </w:rPr>
                <w:t>8</w:t>
              </w:r>
            </w:hyperlink>
          </w:p>
        </w:tc>
      </w:tr>
      <w:tr>
        <w:trPr/>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65bd50e6e0134a778ca5f9a1e0365124_37">
              <w:r>
                <w:rPr>
                  <w:rStyle w:val="InternetLink"/>
                  <w:rFonts w:ascii="Times New Roman;serif" w:hAnsi="Times New Roman;serif"/>
                  <w:b w:val="false"/>
                  <w:strike w:val="false"/>
                  <w:dstrike w:val="false"/>
                  <w:color w:val="000000"/>
                  <w:sz w:val="20"/>
                  <w:u w:val="none"/>
                  <w:effect w:val="none"/>
                </w:rPr>
                <w:t>Notes to Condensed Consolidated Financial Statements</w:t>
              </w:r>
            </w:hyperlink>
          </w:p>
        </w:tc>
        <w:tc>
          <w:tcPr>
            <w:tcW w:w="5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65bd50e6e0134a778ca5f9a1e0365124_37">
              <w:r>
                <w:rPr>
                  <w:rStyle w:val="InternetLink"/>
                  <w:rFonts w:ascii="Times New Roman;serif" w:hAnsi="Times New Roman;serif"/>
                  <w:b w:val="false"/>
                  <w:strike w:val="false"/>
                  <w:dstrike w:val="false"/>
                  <w:color w:val="000000"/>
                  <w:sz w:val="20"/>
                  <w:u w:val="none"/>
                  <w:effect w:val="none"/>
                </w:rPr>
                <w:t>9</w:t>
              </w:r>
            </w:hyperlink>
          </w:p>
        </w:tc>
      </w:tr>
      <w:tr>
        <w:trPr/>
        <w:tc>
          <w:tcPr>
            <w:tcW w:w="11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5bd50e6e0134a778ca5f9a1e0365124_133">
              <w:r>
                <w:rPr>
                  <w:rStyle w:val="InternetLink"/>
                  <w:rFonts w:ascii="Times New Roman;serif" w:hAnsi="Times New Roman;serif"/>
                  <w:b w:val="false"/>
                  <w:strike w:val="false"/>
                  <w:dstrike w:val="false"/>
                  <w:color w:val="000000"/>
                  <w:sz w:val="20"/>
                  <w:u w:val="none"/>
                  <w:effect w:val="none"/>
                </w:rPr>
                <w:t>Item 2.</w:t>
              </w:r>
            </w:hyperlink>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5bd50e6e0134a778ca5f9a1e0365124_133">
              <w:r>
                <w:rPr>
                  <w:rStyle w:val="InternetLink"/>
                  <w:rFonts w:ascii="Times New Roman;serif" w:hAnsi="Times New Roman;serif"/>
                  <w:b w:val="false"/>
                  <w:strike w:val="false"/>
                  <w:dstrike w:val="false"/>
                  <w:color w:val="000000"/>
                  <w:sz w:val="20"/>
                  <w:u w:val="none"/>
                  <w:effect w:val="none"/>
                </w:rPr>
                <w:t>Management’s Discussion and Analysis of Financial Condition and Results of Operations</w:t>
              </w:r>
            </w:hyperlink>
          </w:p>
        </w:tc>
        <w:tc>
          <w:tcPr>
            <w:tcW w:w="5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65bd50e6e0134a778ca5f9a1e0365124_133">
              <w:r>
                <w:rPr>
                  <w:rStyle w:val="InternetLink"/>
                  <w:rFonts w:ascii="Times New Roman;serif" w:hAnsi="Times New Roman;serif"/>
                  <w:b w:val="false"/>
                  <w:strike w:val="false"/>
                  <w:dstrike w:val="false"/>
                  <w:color w:val="000000"/>
                  <w:sz w:val="20"/>
                  <w:u w:val="none"/>
                  <w:effect w:val="none"/>
                </w:rPr>
                <w:t>28</w:t>
              </w:r>
            </w:hyperlink>
          </w:p>
        </w:tc>
      </w:tr>
      <w:tr>
        <w:trPr/>
        <w:tc>
          <w:tcPr>
            <w:tcW w:w="11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65bd50e6e0134a778ca5f9a1e0365124_229">
              <w:r>
                <w:rPr>
                  <w:rStyle w:val="InternetLink"/>
                  <w:rFonts w:ascii="Times New Roman;serif" w:hAnsi="Times New Roman;serif"/>
                  <w:b w:val="false"/>
                  <w:strike w:val="false"/>
                  <w:dstrike w:val="false"/>
                  <w:color w:val="000000"/>
                  <w:sz w:val="20"/>
                  <w:u w:val="none"/>
                  <w:effect w:val="none"/>
                </w:rPr>
                <w:t>Item 3.</w:t>
              </w:r>
            </w:hyperlink>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65bd50e6e0134a778ca5f9a1e0365124_229">
              <w:r>
                <w:rPr>
                  <w:rStyle w:val="InternetLink"/>
                  <w:rFonts w:ascii="Times New Roman;serif" w:hAnsi="Times New Roman;serif"/>
                  <w:b w:val="false"/>
                  <w:strike w:val="false"/>
                  <w:dstrike w:val="false"/>
                  <w:color w:val="000000"/>
                  <w:sz w:val="20"/>
                  <w:u w:val="none"/>
                  <w:effect w:val="none"/>
                </w:rPr>
                <w:t>Quantitative and Qualitative Disclosures About Market Risk</w:t>
              </w:r>
            </w:hyperlink>
          </w:p>
        </w:tc>
        <w:tc>
          <w:tcPr>
            <w:tcW w:w="5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65bd50e6e0134a778ca5f9a1e0365124_229">
              <w:r>
                <w:rPr>
                  <w:rStyle w:val="InternetLink"/>
                  <w:rFonts w:ascii="Times New Roman;serif" w:hAnsi="Times New Roman;serif"/>
                  <w:b w:val="false"/>
                  <w:strike w:val="false"/>
                  <w:dstrike w:val="false"/>
                  <w:color w:val="000000"/>
                  <w:sz w:val="20"/>
                  <w:u w:val="none"/>
                  <w:effect w:val="none"/>
                </w:rPr>
                <w:t>48</w:t>
              </w:r>
            </w:hyperlink>
          </w:p>
        </w:tc>
      </w:tr>
      <w:tr>
        <w:trPr/>
        <w:tc>
          <w:tcPr>
            <w:tcW w:w="11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5bd50e6e0134a778ca5f9a1e0365124_232">
              <w:r>
                <w:rPr>
                  <w:rStyle w:val="InternetLink"/>
                  <w:rFonts w:ascii="Times New Roman;serif" w:hAnsi="Times New Roman;serif"/>
                  <w:b w:val="false"/>
                  <w:strike w:val="false"/>
                  <w:dstrike w:val="false"/>
                  <w:color w:val="000000"/>
                  <w:sz w:val="20"/>
                  <w:u w:val="none"/>
                  <w:effect w:val="none"/>
                </w:rPr>
                <w:t>Item 4.</w:t>
              </w:r>
            </w:hyperlink>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5bd50e6e0134a778ca5f9a1e0365124_232">
              <w:r>
                <w:rPr>
                  <w:rStyle w:val="InternetLink"/>
                  <w:rFonts w:ascii="Times New Roman;serif" w:hAnsi="Times New Roman;serif"/>
                  <w:b w:val="false"/>
                  <w:strike w:val="false"/>
                  <w:dstrike w:val="false"/>
                  <w:color w:val="000000"/>
                  <w:sz w:val="20"/>
                  <w:u w:val="none"/>
                  <w:effect w:val="none"/>
                </w:rPr>
                <w:t>Controls and Procedures</w:t>
              </w:r>
            </w:hyperlink>
          </w:p>
        </w:tc>
        <w:tc>
          <w:tcPr>
            <w:tcW w:w="5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65bd50e6e0134a778ca5f9a1e0365124_232">
              <w:r>
                <w:rPr>
                  <w:rStyle w:val="InternetLink"/>
                  <w:rFonts w:ascii="Times New Roman;serif" w:hAnsi="Times New Roman;serif"/>
                  <w:b w:val="false"/>
                  <w:strike w:val="false"/>
                  <w:dstrike w:val="false"/>
                  <w:color w:val="000000"/>
                  <w:sz w:val="20"/>
                  <w:u w:val="none"/>
                  <w:effect w:val="none"/>
                </w:rPr>
                <w:t>48</w:t>
              </w:r>
            </w:hyperlink>
          </w:p>
        </w:tc>
      </w:tr>
      <w:tr>
        <w:trPr/>
        <w:tc>
          <w:tcPr>
            <w:tcW w:w="9630" w:type="dxa"/>
            <w:gridSpan w:val="9"/>
            <w:tcBorders>
              <w:bottom w:val="single" w:sz="2"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0" w:type="dxa"/>
            <w:gridSpan w:val="9"/>
            <w:tcBorders>
              <w:top w:val="single" w:sz="2" w:space="0" w:color="FFFFFF"/>
            </w:tcBorders>
            <w:shd w:fill="CCEEFF" w:val="clear"/>
            <w:tcMar>
              <w:top w:w="30" w:type="dxa"/>
              <w:left w:w="0" w:type="dxa"/>
              <w:bottom w:w="0" w:type="dxa"/>
              <w:right w:w="0" w:type="dxa"/>
            </w:tcMar>
            <w:vAlign w:val="center"/>
          </w:tcPr>
          <w:p>
            <w:pPr>
              <w:pStyle w:val="TableContents"/>
              <w:bidi w:val="0"/>
              <w:spacing w:lineRule="auto" w:line="288" w:before="0" w:after="0"/>
              <w:jc w:val="left"/>
              <w:rPr/>
            </w:pPr>
            <w:hyperlink w:anchor="i65bd50e6e0134a778ca5f9a1e0365124_235">
              <w:r>
                <w:rPr>
                  <w:rStyle w:val="InternetLink"/>
                  <w:rFonts w:ascii="Times New Roman;serif" w:hAnsi="Times New Roman;serif"/>
                  <w:b/>
                  <w:color w:val="000000"/>
                  <w:sz w:val="20"/>
                  <w:u w:val="single"/>
                </w:rPr>
                <w:t>PART II - OTHER INFORMATION</w:t>
              </w:r>
            </w:hyperlink>
          </w:p>
        </w:tc>
        <w:tc>
          <w:tcPr>
            <w:tcW w:w="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65bd50e6e0134a778ca5f9a1e0365124_238">
              <w:r>
                <w:rPr>
                  <w:rStyle w:val="InternetLink"/>
                  <w:rFonts w:ascii="Times New Roman;serif" w:hAnsi="Times New Roman;serif"/>
                  <w:b w:val="false"/>
                  <w:strike w:val="false"/>
                  <w:dstrike w:val="false"/>
                  <w:color w:val="000000"/>
                  <w:sz w:val="20"/>
                  <w:u w:val="none"/>
                  <w:effect w:val="none"/>
                </w:rPr>
                <w:t>Item 1.</w:t>
              </w:r>
            </w:hyperlink>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65bd50e6e0134a778ca5f9a1e0365124_238">
              <w:r>
                <w:rPr>
                  <w:rStyle w:val="InternetLink"/>
                  <w:rFonts w:ascii="Times New Roman;serif" w:hAnsi="Times New Roman;serif"/>
                  <w:b w:val="false"/>
                  <w:strike w:val="false"/>
                  <w:dstrike w:val="false"/>
                  <w:color w:val="000000"/>
                  <w:sz w:val="20"/>
                  <w:u w:val="none"/>
                  <w:effect w:val="none"/>
                </w:rPr>
                <w:t>Legal Proceedings</w:t>
              </w:r>
            </w:hyperlink>
          </w:p>
        </w:tc>
        <w:tc>
          <w:tcPr>
            <w:tcW w:w="5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65bd50e6e0134a778ca5f9a1e0365124_238">
              <w:r>
                <w:rPr>
                  <w:rStyle w:val="InternetLink"/>
                  <w:rFonts w:ascii="Times New Roman;serif" w:hAnsi="Times New Roman;serif"/>
                  <w:b w:val="false"/>
                  <w:strike w:val="false"/>
                  <w:dstrike w:val="false"/>
                  <w:color w:val="000000"/>
                  <w:sz w:val="20"/>
                  <w:u w:val="none"/>
                  <w:effect w:val="none"/>
                </w:rPr>
                <w:t>50</w:t>
              </w:r>
            </w:hyperlink>
          </w:p>
        </w:tc>
      </w:tr>
      <w:tr>
        <w:trPr/>
        <w:tc>
          <w:tcPr>
            <w:tcW w:w="11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5bd50e6e0134a778ca5f9a1e0365124_241">
              <w:r>
                <w:rPr>
                  <w:rStyle w:val="InternetLink"/>
                  <w:rFonts w:ascii="Times New Roman;serif" w:hAnsi="Times New Roman;serif"/>
                  <w:b w:val="false"/>
                  <w:strike w:val="false"/>
                  <w:dstrike w:val="false"/>
                  <w:color w:val="000000"/>
                  <w:sz w:val="20"/>
                  <w:u w:val="none"/>
                  <w:effect w:val="none"/>
                </w:rPr>
                <w:t>Item 1A.</w:t>
              </w:r>
            </w:hyperlink>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5bd50e6e0134a778ca5f9a1e0365124_241">
              <w:r>
                <w:rPr>
                  <w:rStyle w:val="InternetLink"/>
                  <w:rFonts w:ascii="Times New Roman;serif" w:hAnsi="Times New Roman;serif"/>
                  <w:b w:val="false"/>
                  <w:strike w:val="false"/>
                  <w:dstrike w:val="false"/>
                  <w:color w:val="000000"/>
                  <w:sz w:val="20"/>
                  <w:u w:val="none"/>
                  <w:effect w:val="none"/>
                </w:rPr>
                <w:t>Risk Factors</w:t>
              </w:r>
            </w:hyperlink>
          </w:p>
        </w:tc>
        <w:tc>
          <w:tcPr>
            <w:tcW w:w="5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65bd50e6e0134a778ca5f9a1e0365124_241">
              <w:r>
                <w:rPr>
                  <w:rStyle w:val="InternetLink"/>
                  <w:rFonts w:ascii="Times New Roman;serif" w:hAnsi="Times New Roman;serif"/>
                  <w:b w:val="false"/>
                  <w:strike w:val="false"/>
                  <w:dstrike w:val="false"/>
                  <w:color w:val="000000"/>
                  <w:sz w:val="20"/>
                  <w:u w:val="none"/>
                  <w:effect w:val="none"/>
                </w:rPr>
                <w:t>50</w:t>
              </w:r>
            </w:hyperlink>
          </w:p>
        </w:tc>
      </w:tr>
      <w:tr>
        <w:trPr/>
        <w:tc>
          <w:tcPr>
            <w:tcW w:w="11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65bd50e6e0134a778ca5f9a1e0365124_244">
              <w:r>
                <w:rPr>
                  <w:rStyle w:val="InternetLink"/>
                  <w:rFonts w:ascii="Times New Roman;serif" w:hAnsi="Times New Roman;serif"/>
                  <w:b w:val="false"/>
                  <w:strike w:val="false"/>
                  <w:dstrike w:val="false"/>
                  <w:color w:val="000000"/>
                  <w:sz w:val="20"/>
                  <w:u w:val="none"/>
                  <w:effect w:val="none"/>
                </w:rPr>
                <w:t>Item 2.</w:t>
              </w:r>
            </w:hyperlink>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65bd50e6e0134a778ca5f9a1e0365124_244">
              <w:r>
                <w:rPr>
                  <w:rStyle w:val="InternetLink"/>
                  <w:rFonts w:ascii="Times New Roman;serif" w:hAnsi="Times New Roman;serif"/>
                  <w:b w:val="false"/>
                  <w:strike w:val="false"/>
                  <w:dstrike w:val="false"/>
                  <w:color w:val="000000"/>
                  <w:sz w:val="20"/>
                  <w:u w:val="none"/>
                  <w:effect w:val="none"/>
                </w:rPr>
                <w:t>Unregistered Sales of Equity Securities and Use of Proceeds</w:t>
              </w:r>
            </w:hyperlink>
          </w:p>
        </w:tc>
        <w:tc>
          <w:tcPr>
            <w:tcW w:w="5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65bd50e6e0134a778ca5f9a1e0365124_244">
              <w:r>
                <w:rPr>
                  <w:rStyle w:val="InternetLink"/>
                  <w:rFonts w:ascii="Times New Roman;serif" w:hAnsi="Times New Roman;serif"/>
                  <w:b w:val="false"/>
                  <w:strike w:val="false"/>
                  <w:dstrike w:val="false"/>
                  <w:color w:val="000000"/>
                  <w:sz w:val="20"/>
                  <w:u w:val="none"/>
                  <w:effect w:val="none"/>
                </w:rPr>
                <w:t>50</w:t>
              </w:r>
            </w:hyperlink>
          </w:p>
        </w:tc>
      </w:tr>
      <w:tr>
        <w:trPr/>
        <w:tc>
          <w:tcPr>
            <w:tcW w:w="11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5bd50e6e0134a778ca5f9a1e0365124_247">
              <w:r>
                <w:rPr>
                  <w:rStyle w:val="InternetLink"/>
                  <w:rFonts w:ascii="Times New Roman;serif" w:hAnsi="Times New Roman;serif"/>
                  <w:b w:val="false"/>
                  <w:strike w:val="false"/>
                  <w:dstrike w:val="false"/>
                  <w:color w:val="000000"/>
                  <w:sz w:val="20"/>
                  <w:u w:val="none"/>
                  <w:effect w:val="none"/>
                </w:rPr>
                <w:t>Item 3.</w:t>
              </w:r>
            </w:hyperlink>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5bd50e6e0134a778ca5f9a1e0365124_247">
              <w:r>
                <w:rPr>
                  <w:rStyle w:val="InternetLink"/>
                  <w:rFonts w:ascii="Times New Roman;serif" w:hAnsi="Times New Roman;serif"/>
                  <w:b w:val="false"/>
                  <w:strike w:val="false"/>
                  <w:dstrike w:val="false"/>
                  <w:color w:val="000000"/>
                  <w:sz w:val="20"/>
                  <w:u w:val="none"/>
                  <w:effect w:val="none"/>
                </w:rPr>
                <w:t>Defaults Upon Senior Securities</w:t>
              </w:r>
            </w:hyperlink>
          </w:p>
        </w:tc>
        <w:tc>
          <w:tcPr>
            <w:tcW w:w="5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65bd50e6e0134a778ca5f9a1e0365124_247">
              <w:r>
                <w:rPr>
                  <w:rStyle w:val="InternetLink"/>
                  <w:rFonts w:ascii="Times New Roman;serif" w:hAnsi="Times New Roman;serif"/>
                  <w:b w:val="false"/>
                  <w:strike w:val="false"/>
                  <w:dstrike w:val="false"/>
                  <w:color w:val="000000"/>
                  <w:sz w:val="20"/>
                  <w:u w:val="none"/>
                  <w:effect w:val="none"/>
                </w:rPr>
                <w:t>50</w:t>
              </w:r>
            </w:hyperlink>
          </w:p>
        </w:tc>
      </w:tr>
      <w:tr>
        <w:trPr/>
        <w:tc>
          <w:tcPr>
            <w:tcW w:w="11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65bd50e6e0134a778ca5f9a1e0365124_250">
              <w:r>
                <w:rPr>
                  <w:rStyle w:val="InternetLink"/>
                  <w:rFonts w:ascii="Times New Roman;serif" w:hAnsi="Times New Roman;serif"/>
                  <w:b w:val="false"/>
                  <w:strike w:val="false"/>
                  <w:dstrike w:val="false"/>
                  <w:color w:val="000000"/>
                  <w:sz w:val="20"/>
                  <w:u w:val="none"/>
                  <w:effect w:val="none"/>
                </w:rPr>
                <w:t>Item 4.</w:t>
              </w:r>
            </w:hyperlink>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65bd50e6e0134a778ca5f9a1e0365124_250">
              <w:r>
                <w:rPr>
                  <w:rStyle w:val="InternetLink"/>
                  <w:rFonts w:ascii="Times New Roman;serif" w:hAnsi="Times New Roman;serif"/>
                  <w:b w:val="false"/>
                  <w:strike w:val="false"/>
                  <w:dstrike w:val="false"/>
                  <w:color w:val="000000"/>
                  <w:sz w:val="20"/>
                  <w:u w:val="none"/>
                  <w:effect w:val="none"/>
                </w:rPr>
                <w:t>Mine Safety Disclosures</w:t>
              </w:r>
            </w:hyperlink>
          </w:p>
        </w:tc>
        <w:tc>
          <w:tcPr>
            <w:tcW w:w="5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65bd50e6e0134a778ca5f9a1e0365124_250">
              <w:r>
                <w:rPr>
                  <w:rStyle w:val="InternetLink"/>
                  <w:rFonts w:ascii="Times New Roman;serif" w:hAnsi="Times New Roman;serif"/>
                  <w:b w:val="false"/>
                  <w:strike w:val="false"/>
                  <w:dstrike w:val="false"/>
                  <w:color w:val="000000"/>
                  <w:sz w:val="20"/>
                  <w:u w:val="none"/>
                  <w:effect w:val="none"/>
                </w:rPr>
                <w:t>50</w:t>
              </w:r>
            </w:hyperlink>
          </w:p>
        </w:tc>
      </w:tr>
      <w:tr>
        <w:trPr/>
        <w:tc>
          <w:tcPr>
            <w:tcW w:w="11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5bd50e6e0134a778ca5f9a1e0365124_253">
              <w:r>
                <w:rPr>
                  <w:rStyle w:val="InternetLink"/>
                  <w:rFonts w:ascii="Times New Roman;serif" w:hAnsi="Times New Roman;serif"/>
                  <w:b w:val="false"/>
                  <w:strike w:val="false"/>
                  <w:dstrike w:val="false"/>
                  <w:color w:val="000000"/>
                  <w:sz w:val="20"/>
                  <w:u w:val="none"/>
                  <w:effect w:val="none"/>
                </w:rPr>
                <w:t>Item 5.</w:t>
              </w:r>
            </w:hyperlink>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5bd50e6e0134a778ca5f9a1e0365124_253">
              <w:r>
                <w:rPr>
                  <w:rStyle w:val="InternetLink"/>
                  <w:rFonts w:ascii="Times New Roman;serif" w:hAnsi="Times New Roman;serif"/>
                  <w:b w:val="false"/>
                  <w:strike w:val="false"/>
                  <w:dstrike w:val="false"/>
                  <w:color w:val="000000"/>
                  <w:sz w:val="20"/>
                  <w:u w:val="none"/>
                  <w:effect w:val="none"/>
                </w:rPr>
                <w:t>Other Information</w:t>
              </w:r>
            </w:hyperlink>
          </w:p>
        </w:tc>
        <w:tc>
          <w:tcPr>
            <w:tcW w:w="5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65bd50e6e0134a778ca5f9a1e0365124_253">
              <w:r>
                <w:rPr>
                  <w:rStyle w:val="InternetLink"/>
                  <w:rFonts w:ascii="Times New Roman;serif" w:hAnsi="Times New Roman;serif"/>
                  <w:b w:val="false"/>
                  <w:strike w:val="false"/>
                  <w:dstrike w:val="false"/>
                  <w:color w:val="000000"/>
                  <w:sz w:val="20"/>
                  <w:u w:val="none"/>
                  <w:effect w:val="none"/>
                </w:rPr>
                <w:t>50</w:t>
              </w:r>
            </w:hyperlink>
          </w:p>
        </w:tc>
      </w:tr>
      <w:tr>
        <w:trPr/>
        <w:tc>
          <w:tcPr>
            <w:tcW w:w="11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65bd50e6e0134a778ca5f9a1e0365124_259">
              <w:r>
                <w:rPr>
                  <w:rStyle w:val="InternetLink"/>
                  <w:rFonts w:ascii="Times New Roman;serif" w:hAnsi="Times New Roman;serif"/>
                  <w:b w:val="false"/>
                  <w:strike w:val="false"/>
                  <w:dstrike w:val="false"/>
                  <w:color w:val="000000"/>
                  <w:sz w:val="20"/>
                  <w:u w:val="none"/>
                  <w:effect w:val="none"/>
                </w:rPr>
                <w:t>Item 6.</w:t>
              </w:r>
            </w:hyperlink>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65bd50e6e0134a778ca5f9a1e0365124_259">
              <w:r>
                <w:rPr>
                  <w:rStyle w:val="InternetLink"/>
                  <w:rFonts w:ascii="Times New Roman;serif" w:hAnsi="Times New Roman;serif"/>
                  <w:b w:val="false"/>
                  <w:strike w:val="false"/>
                  <w:dstrike w:val="false"/>
                  <w:color w:val="000000"/>
                  <w:sz w:val="20"/>
                  <w:u w:val="none"/>
                  <w:effect w:val="none"/>
                </w:rPr>
                <w:t>Exhibits</w:t>
              </w:r>
            </w:hyperlink>
          </w:p>
        </w:tc>
        <w:tc>
          <w:tcPr>
            <w:tcW w:w="5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65bd50e6e0134a778ca5f9a1e0365124_259">
              <w:r>
                <w:rPr>
                  <w:rStyle w:val="InternetLink"/>
                  <w:rFonts w:ascii="Times New Roman;serif" w:hAnsi="Times New Roman;serif"/>
                  <w:b w:val="false"/>
                  <w:strike w:val="false"/>
                  <w:dstrike w:val="false"/>
                  <w:color w:val="000000"/>
                  <w:sz w:val="20"/>
                  <w:u w:val="none"/>
                  <w:effect w:val="none"/>
                </w:rPr>
                <w:t>51</w:t>
              </w:r>
            </w:hyperlink>
          </w:p>
        </w:tc>
      </w:tr>
      <w:tr>
        <w:trPr/>
        <w:tc>
          <w:tcPr>
            <w:tcW w:w="1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5bd50e6e0134a778ca5f9a1e0365124_262">
              <w:r>
                <w:rPr>
                  <w:rStyle w:val="InternetLink"/>
                  <w:rFonts w:ascii="Times New Roman;serif" w:hAnsi="Times New Roman;serif"/>
                  <w:b w:val="false"/>
                  <w:strike w:val="false"/>
                  <w:dstrike w:val="false"/>
                  <w:color w:val="000000"/>
                  <w:sz w:val="20"/>
                  <w:u w:val="none"/>
                  <w:effect w:val="none"/>
                </w:rPr>
                <w:t>Signatures</w:t>
              </w:r>
            </w:hyperlink>
          </w:p>
        </w:tc>
        <w:tc>
          <w:tcPr>
            <w:tcW w:w="5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65bd50e6e0134a778ca5f9a1e0365124_262">
              <w:r>
                <w:rPr>
                  <w:rStyle w:val="InternetLink"/>
                  <w:rFonts w:ascii="Times New Roman;serif" w:hAnsi="Times New Roman;serif"/>
                  <w:b w:val="false"/>
                  <w:strike w:val="false"/>
                  <w:dstrike w:val="false"/>
                  <w:color w:val="000000"/>
                  <w:sz w:val="20"/>
                  <w:u w:val="none"/>
                  <w:effect w:val="none"/>
                </w:rPr>
                <w:t>52</w:t>
              </w:r>
            </w:hyperlink>
          </w:p>
        </w:tc>
      </w:tr>
    </w:tbl>
    <w:p>
      <w:pPr>
        <w:pStyle w:val="TextBody"/>
        <w:bidi w:val="0"/>
        <w:spacing w:before="240" w:after="283"/>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33" w:before="0" w:after="0"/>
        <w:jc w:val="left"/>
        <w:rPr/>
      </w:pPr>
      <w:hyperlink w:anchor="i65bd50e6e0134a778ca5f9a1e0365124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used in this Quarterly Report on Form 10-Q, unless the context requires otherwise, references to “Opendoor,” the “Company,” “we,” “us,” and “our,” and similar references refer to Opendoor Technologies Inc. and its wholly owned subsidiaries following the Business Combination (as defined herein) and to Opendoor Labs Inc. prior to the Business Combination.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This Quarterly Report on Form 10-Q contains forward-looking statements within the meaning of Section 27A of the Securities Act of 1933, as amended (the “Securities Act”), and Section 21E of the Securities Exchange Act of 1934, as amended (the “Exchange Act”). All statements other than statements of historical facts contained in this Quarterly Report on Form 10-Q, including, without limitation, statements regarding: current and future health and stability of the real estate housing market and general economy; volatility of mortgage interest rates; changes in resale clearance rates and expectations regarding future behavior of consumers and partners; the health and status of our financial condition; our liquidity position; anticipated future results of operations or financial performance; priorities of the Company to achieve future financial and business goals; impacts to our business from political and regulatory activity, including recent trade policies, tariffs and geopolitical conflict; the likelihood of offer acceptance among high-quality homes in response to refinements to our spread policy; our ability to continue to effectively navigate the markets in which we operate; anticipated future and ongoing impacts and benefits of acquisitions, partnership channel expansions, product innovations and other business decisions; health of our balance sheet to weather ongoing market transitions and any expectation to quickly re-scale in the future upon market stabilization; our ability to adopt an effective approach to manage economic and industry risk, as well as inventory health, including by improving the quality of homes in our portfolio and supporting faster sell-through; our expectations with respect to the future success of our partnerships; our business strategy and plans, including plans to grow market share; market opportunity and expansion and objectives of management for future operations, including statements regarding the benefits and timing of the roll out of new products or technology, including our mortgage product, and our expectations regarding improving customer experience and unit economics through such mortgage product; and the expected diversification of funding sources, are forward-looking statements. When used in this Quarterly Report on Form 10-Q, words such as “anticipate,” “believe,” “contemplate,” “continue,” “could,” “estimate,” “expect,” “forecast,” “future,” “guidance,” “intend,” “may,” “might,” “opportunity,” “plan,” “possible,” “potential,” “predict,” “project,” “should,” “strategy,” “strive,” “target,” “vision,” “will,” or “would,” any negative of these words or other similar terms or expressions may identify forward-looking statements. The absence of these words does not mean that a statement is not forward-looking. </w:t>
      </w:r>
    </w:p>
    <w:p>
      <w:pPr>
        <w:pStyle w:val="TextBody"/>
        <w:bidi w:val="0"/>
        <w:spacing w:lineRule="auto" w:line="288" w:before="240" w:after="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These forward-looking statements are based on information available as of the date of this Quarterly Report on Form 10-Q and current expectations, forecasts and assumptions, which involve a number of judgments, risks and uncertainties, including without limitation, risks related to:</w:t>
      </w:r>
    </w:p>
    <w:p>
      <w:pPr>
        <w:pStyle w:val="TextBody"/>
        <w:bidi w:val="0"/>
        <w:spacing w:lineRule="auto" w:line="288" w:before="0" w:after="0"/>
        <w:ind w:left="0" w:right="0" w:hanging="270"/>
        <w:jc w:val="left"/>
        <w:rPr/>
      </w:pPr>
      <w:r>
        <w:rPr>
          <w:color w:val="000000"/>
        </w:rPr>
        <w:t>•</w:t>
      </w:r>
      <w:r>
        <w:rPr>
          <w:rFonts w:ascii="Times New Roman;serif" w:hAnsi="Times New Roman;serif"/>
          <w:b w:val="false"/>
          <w:color w:val="000000"/>
          <w:sz w:val="20"/>
        </w:rPr>
        <w:t>the current and future health and stability of the economy, financial conditions and residential housing market, including any extended downturns or slowdowns;</w:t>
      </w:r>
    </w:p>
    <w:p>
      <w:pPr>
        <w:pStyle w:val="TextBody"/>
        <w:bidi w:val="0"/>
        <w:spacing w:lineRule="auto" w:line="288" w:before="60" w:after="283"/>
        <w:ind w:left="0" w:right="0" w:hanging="270"/>
        <w:jc w:val="left"/>
        <w:rPr/>
      </w:pPr>
      <w:r>
        <w:rPr>
          <w:color w:val="000000"/>
        </w:rPr>
        <w:t>•</w:t>
      </w:r>
      <w:r>
        <w:rPr>
          <w:rFonts w:ascii="Times New Roman;serif" w:hAnsi="Times New Roman;serif"/>
          <w:b w:val="false"/>
          <w:color w:val="000000"/>
          <w:sz w:val="20"/>
        </w:rPr>
        <w:t>changes in general economic and financial conditions (including federal monetary policy, the imposition of tariffs and price or exchange controls, interest rates, inflation, actual or anticipated recession, home price fluctuations, and housing inventory), as well as the probability of such changes occurring, that may impact demand for our products and services, lower our profitability or reduce our access to future financings;</w:t>
      </w:r>
    </w:p>
    <w:p>
      <w:pPr>
        <w:pStyle w:val="TextBody"/>
        <w:bidi w:val="0"/>
        <w:spacing w:lineRule="auto" w:line="288" w:before="60" w:after="283"/>
        <w:ind w:left="0" w:right="0" w:hanging="270"/>
        <w:jc w:val="left"/>
        <w:rPr/>
      </w:pPr>
      <w:r>
        <w:rPr>
          <w:color w:val="000000"/>
        </w:rPr>
        <w:t>•</w:t>
      </w:r>
      <w:r>
        <w:rPr>
          <w:rFonts w:ascii="Times New Roman;serif" w:hAnsi="Times New Roman;serif"/>
          <w:b w:val="false"/>
          <w:color w:val="000000"/>
          <w:sz w:val="20"/>
        </w:rPr>
        <w:t>our real estate assets and increased competition in the U.S. residential real estate industry;</w:t>
      </w:r>
    </w:p>
    <w:p>
      <w:pPr>
        <w:pStyle w:val="TextBody"/>
        <w:bidi w:val="0"/>
        <w:spacing w:lineRule="auto" w:line="288" w:before="60" w:after="283"/>
        <w:ind w:left="0" w:right="0" w:hanging="270"/>
        <w:jc w:val="left"/>
        <w:rPr/>
      </w:pPr>
      <w:r>
        <w:rPr>
          <w:color w:val="000000"/>
        </w:rPr>
        <w:t>•</w:t>
      </w:r>
      <w:r>
        <w:rPr>
          <w:rFonts w:ascii="Times New Roman;serif" w:hAnsi="Times New Roman;serif"/>
          <w:b w:val="false"/>
          <w:color w:val="000000"/>
          <w:sz w:val="20"/>
        </w:rPr>
        <w:t>ability to operate and grow our core business products, including the ability to obtain sufficient financing and resell purchased homes;</w:t>
      </w:r>
    </w:p>
    <w:p>
      <w:pPr>
        <w:pStyle w:val="TextBody"/>
        <w:bidi w:val="0"/>
        <w:spacing w:lineRule="auto" w:line="288" w:before="60" w:after="283"/>
        <w:ind w:left="0" w:right="0" w:hanging="270"/>
        <w:jc w:val="left"/>
        <w:rPr/>
      </w:pPr>
      <w:r>
        <w:rPr>
          <w:color w:val="000000"/>
        </w:rPr>
        <w:t>•</w:t>
      </w:r>
      <w:r>
        <w:rPr>
          <w:rFonts w:ascii="Times New Roman;serif" w:hAnsi="Times New Roman;serif"/>
          <w:b w:val="false"/>
          <w:color w:val="000000"/>
          <w:sz w:val="20"/>
        </w:rPr>
        <w:t>investment of resources to pursue strategies and develop new products and services that may not prove effective or that are not attractive to customers and real estate partners or that do not allow us to compete successfully;</w:t>
      </w:r>
    </w:p>
    <w:p>
      <w:pPr>
        <w:pStyle w:val="TextBody"/>
        <w:bidi w:val="0"/>
        <w:spacing w:lineRule="auto" w:line="288" w:before="60" w:after="283"/>
        <w:ind w:left="0" w:right="0" w:hanging="270"/>
        <w:jc w:val="left"/>
        <w:rPr/>
      </w:pPr>
      <w:r>
        <w:rPr>
          <w:color w:val="000000"/>
        </w:rPr>
        <w:t>•</w:t>
      </w:r>
      <w:r>
        <w:rPr>
          <w:rFonts w:ascii="Times New Roman;serif" w:hAnsi="Times New Roman;serif"/>
          <w:b w:val="false"/>
          <w:color w:val="000000"/>
          <w:sz w:val="20"/>
        </w:rPr>
        <w:t>our ability to acquire and resell homes profitably;</w:t>
      </w:r>
    </w:p>
    <w:p>
      <w:pPr>
        <w:pStyle w:val="TextBody"/>
        <w:bidi w:val="0"/>
        <w:spacing w:lineRule="auto" w:line="288" w:before="60" w:after="283"/>
        <w:ind w:left="0" w:right="0" w:hanging="270"/>
        <w:jc w:val="left"/>
        <w:rPr/>
      </w:pPr>
      <w:r>
        <w:rPr>
          <w:color w:val="000000"/>
        </w:rPr>
        <w:t>•</w:t>
      </w:r>
      <w:r>
        <w:rPr>
          <w:rFonts w:ascii="Times New Roman;serif" w:hAnsi="Times New Roman;serif"/>
          <w:b w:val="false"/>
          <w:color w:val="000000"/>
          <w:sz w:val="20"/>
        </w:rPr>
        <w:t>our ability to grow market share;</w:t>
      </w:r>
    </w:p>
    <w:p>
      <w:pPr>
        <w:pStyle w:val="TextBody"/>
        <w:bidi w:val="0"/>
        <w:spacing w:lineRule="auto" w:line="288" w:before="60" w:after="283"/>
        <w:ind w:left="0" w:right="0" w:hanging="270"/>
        <w:jc w:val="left"/>
        <w:rPr/>
      </w:pPr>
      <w:r>
        <w:rPr>
          <w:color w:val="000000"/>
        </w:rPr>
        <w:t>•</w:t>
      </w:r>
      <w:r>
        <w:rPr>
          <w:rFonts w:ascii="Times New Roman;serif" w:hAnsi="Times New Roman;serif"/>
          <w:b w:val="false"/>
          <w:color w:val="000000"/>
          <w:sz w:val="20"/>
        </w:rPr>
        <w:t>our ability to leverage artificial intelligence (“AI”) to drive operational efficiency;</w:t>
      </w:r>
    </w:p>
    <w:p>
      <w:pPr>
        <w:pStyle w:val="TextBody"/>
        <w:bidi w:val="0"/>
        <w:spacing w:lineRule="auto" w:line="288" w:before="60" w:after="283"/>
        <w:ind w:left="0" w:right="0" w:hanging="270"/>
        <w:jc w:val="left"/>
        <w:rPr/>
      </w:pPr>
      <w:r>
        <w:rPr>
          <w:color w:val="000000"/>
        </w:rPr>
        <w:t>•</w:t>
      </w:r>
      <w:r>
        <w:rPr>
          <w:rFonts w:ascii="Times New Roman;serif" w:hAnsi="Times New Roman;serif"/>
          <w:b w:val="false"/>
          <w:color w:val="000000"/>
          <w:sz w:val="20"/>
        </w:rPr>
        <w:t>our ability to manage our growth effectively;</w:t>
      </w:r>
    </w:p>
    <w:p>
      <w:pPr>
        <w:pStyle w:val="TextBody"/>
        <w:bidi w:val="0"/>
        <w:spacing w:lineRule="auto" w:line="288" w:before="60" w:after="283"/>
        <w:ind w:left="0" w:right="0" w:hanging="270"/>
        <w:jc w:val="left"/>
        <w:rPr/>
      </w:pPr>
      <w:r>
        <w:rPr>
          <w:color w:val="000000"/>
        </w:rPr>
        <w:t>•</w:t>
      </w:r>
      <w:r>
        <w:rPr>
          <w:rFonts w:ascii="Times New Roman;serif" w:hAnsi="Times New Roman;serif"/>
          <w:b w:val="false"/>
          <w:color w:val="000000"/>
          <w:sz w:val="20"/>
        </w:rPr>
        <w:t>our ability to expeditiously sell and appropriately price our inventory;</w:t>
      </w:r>
    </w:p>
    <w:p>
      <w:pPr>
        <w:pStyle w:val="TextBody"/>
        <w:bidi w:val="0"/>
        <w:spacing w:lineRule="auto" w:line="288" w:before="60" w:after="283"/>
        <w:ind w:left="0" w:right="0" w:hanging="270"/>
        <w:jc w:val="left"/>
        <w:rPr/>
      </w:pPr>
      <w:r>
        <w:rPr>
          <w:color w:val="000000"/>
        </w:rPr>
        <w:t>•</w:t>
      </w:r>
      <w:r>
        <w:rPr>
          <w:rFonts w:ascii="Times New Roman;serif" w:hAnsi="Times New Roman;serif"/>
          <w:b w:val="false"/>
          <w:color w:val="000000"/>
          <w:sz w:val="20"/>
        </w:rPr>
        <w:t>our ability to manage our liquidity and capital resources and access sources of capital, including our ability to satisfy the obligations of our outstanding convertible notes, our ability to conduct debt and equity financings to support our real estate inventories;</w:t>
      </w:r>
    </w:p>
    <w:p>
      <w:pPr>
        <w:pStyle w:val="TextBody"/>
        <w:bidi w:val="0"/>
        <w:spacing w:lineRule="auto" w:line="288" w:before="60" w:after="283"/>
        <w:ind w:left="0" w:right="0" w:hanging="270"/>
        <w:jc w:val="left"/>
        <w:rPr/>
      </w:pPr>
      <w:r>
        <w:rPr>
          <w:color w:val="000000"/>
        </w:rPr>
        <w:t>•</w:t>
      </w:r>
      <w:r>
        <w:rPr>
          <w:rFonts w:ascii="Times New Roman;serif" w:hAnsi="Times New Roman;serif"/>
          <w:b w:val="false"/>
          <w:color w:val="000000"/>
          <w:sz w:val="20"/>
        </w:rPr>
        <w:t>our ability to maintain and enhance our products and brand, and to attract customers;</w:t>
      </w:r>
    </w:p>
    <w:p>
      <w:pPr>
        <w:pStyle w:val="TextBody"/>
        <w:bidi w:val="0"/>
        <w:spacing w:lineRule="auto" w:line="288" w:before="60" w:after="283"/>
        <w:ind w:left="0" w:right="0" w:hanging="270"/>
        <w:jc w:val="left"/>
        <w:rPr/>
      </w:pPr>
      <w:r>
        <w:rPr>
          <w:color w:val="000000"/>
        </w:rPr>
        <w:t>•</w:t>
      </w:r>
      <w:r>
        <w:rPr>
          <w:rFonts w:ascii="Times New Roman;serif" w:hAnsi="Times New Roman;serif"/>
          <w:b w:val="false"/>
          <w:color w:val="000000"/>
          <w:sz w:val="20"/>
        </w:rPr>
        <w:t>our ability to manage, develop and refine our digital platform, including our automated pricing and valuation technology;</w:t>
      </w:r>
    </w:p>
    <w:p>
      <w:pPr>
        <w:pStyle w:val="TextBody"/>
        <w:bidi w:val="0"/>
        <w:spacing w:lineRule="auto" w:line="288" w:before="0" w:after="0"/>
        <w:ind w:left="0" w:right="0" w:hanging="270"/>
        <w:jc w:val="left"/>
        <w:rPr/>
      </w:pPr>
      <w:r>
        <w:rPr>
          <w:color w:val="000000"/>
        </w:rPr>
        <w:t>•</w:t>
      </w:r>
      <w:r>
        <w:rPr>
          <w:rFonts w:ascii="Times New Roman;serif" w:hAnsi="Times New Roman;serif"/>
          <w:b w:val="false"/>
          <w:color w:val="000000"/>
          <w:sz w:val="20"/>
        </w:rPr>
        <w:t>our ability to realize expected benefits from our restructuring and cost reduction efforts;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333" w:before="0" w:after="0"/>
        <w:jc w:val="left"/>
        <w:rPr/>
      </w:pPr>
      <w:hyperlink w:anchor="i65bd50e6e0134a778ca5f9a1e0365124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60" w:after="283"/>
        <w:ind w:left="0" w:right="0" w:hanging="270"/>
        <w:jc w:val="left"/>
        <w:rPr/>
      </w:pPr>
      <w:r>
        <w:rPr>
          <w:color w:val="000000"/>
        </w:rPr>
        <w:t>•</w:t>
      </w:r>
      <w:r>
        <w:rPr>
          <w:rFonts w:ascii="Times New Roman;serif" w:hAnsi="Times New Roman;serif"/>
          <w:b w:val="false"/>
          <w:color w:val="000000"/>
          <w:sz w:val="20"/>
        </w:rPr>
        <w:t>our ability to comply with multiple listing service rules and requirements to access and use listing data, and to maintain or establish relationships with listings and data providers;</w:t>
      </w:r>
    </w:p>
    <w:p>
      <w:pPr>
        <w:pStyle w:val="TextBody"/>
        <w:bidi w:val="0"/>
        <w:spacing w:lineRule="auto" w:line="288" w:before="60" w:after="283"/>
        <w:ind w:left="0" w:right="0" w:hanging="270"/>
        <w:jc w:val="left"/>
        <w:rPr/>
      </w:pPr>
      <w:r>
        <w:rPr>
          <w:color w:val="000000"/>
        </w:rPr>
        <w:t>•</w:t>
      </w:r>
      <w:r>
        <w:rPr>
          <w:rFonts w:ascii="Times New Roman;serif" w:hAnsi="Times New Roman;serif"/>
          <w:b w:val="false"/>
          <w:color w:val="000000"/>
          <w:sz w:val="20"/>
        </w:rPr>
        <w:t>our ability to obtain or maintain licenses and permits to support our current and future business operations;</w:t>
      </w:r>
    </w:p>
    <w:p>
      <w:pPr>
        <w:pStyle w:val="TextBody"/>
        <w:bidi w:val="0"/>
        <w:spacing w:lineRule="auto" w:line="288" w:before="60" w:after="283"/>
        <w:ind w:left="0" w:right="0" w:hanging="270"/>
        <w:jc w:val="left"/>
        <w:rPr/>
      </w:pPr>
      <w:r>
        <w:rPr>
          <w:color w:val="000000"/>
        </w:rPr>
        <w:t>•</w:t>
      </w:r>
      <w:r>
        <w:rPr>
          <w:rFonts w:ascii="Times New Roman;serif" w:hAnsi="Times New Roman;serif"/>
          <w:b w:val="false"/>
          <w:color w:val="000000"/>
          <w:sz w:val="20"/>
        </w:rPr>
        <w:t>acquisitions, strategic partnerships, joint ventures, capital-raising activities or other corporate transactions or commitments by us or our competitors;</w:t>
      </w:r>
    </w:p>
    <w:p>
      <w:pPr>
        <w:pStyle w:val="TextBody"/>
        <w:bidi w:val="0"/>
        <w:spacing w:lineRule="auto" w:line="288" w:before="60" w:after="283"/>
        <w:ind w:left="0" w:right="0" w:hanging="270"/>
        <w:jc w:val="left"/>
        <w:rPr/>
      </w:pPr>
      <w:r>
        <w:rPr>
          <w:color w:val="000000"/>
        </w:rPr>
        <w:t>•</w:t>
      </w:r>
      <w:r>
        <w:rPr>
          <w:rFonts w:ascii="Times New Roman;serif" w:hAnsi="Times New Roman;serif"/>
          <w:b w:val="false"/>
          <w:color w:val="000000"/>
          <w:sz w:val="20"/>
        </w:rPr>
        <w:t>actual or anticipated changes in technology, products, markets or services by us or our competitors;</w:t>
      </w:r>
    </w:p>
    <w:p>
      <w:pPr>
        <w:pStyle w:val="TextBody"/>
        <w:bidi w:val="0"/>
        <w:spacing w:lineRule="auto" w:line="288" w:before="60" w:after="283"/>
        <w:ind w:left="0" w:right="0" w:hanging="270"/>
        <w:jc w:val="left"/>
        <w:rPr/>
      </w:pPr>
      <w:r>
        <w:rPr>
          <w:color w:val="000000"/>
        </w:rPr>
        <w:t>•</w:t>
      </w:r>
      <w:r>
        <w:rPr>
          <w:rFonts w:ascii="Times New Roman;serif" w:hAnsi="Times New Roman;serif"/>
          <w:b w:val="false"/>
          <w:color w:val="000000"/>
          <w:sz w:val="20"/>
        </w:rPr>
        <w:t xml:space="preserve">our success in retaining or recruiting, or changes required in, our officers, key employees and/or directors; </w:t>
      </w:r>
    </w:p>
    <w:p>
      <w:pPr>
        <w:pStyle w:val="TextBody"/>
        <w:bidi w:val="0"/>
        <w:spacing w:lineRule="auto" w:line="288" w:before="60" w:after="283"/>
        <w:ind w:left="0" w:right="0" w:hanging="270"/>
        <w:jc w:val="left"/>
        <w:rPr/>
      </w:pPr>
      <w:r>
        <w:rPr>
          <w:color w:val="000000"/>
        </w:rPr>
        <w:t>•</w:t>
      </w:r>
      <w:r>
        <w:rPr>
          <w:rFonts w:ascii="Times New Roman;serif" w:hAnsi="Times New Roman;serif"/>
          <w:b w:val="false"/>
          <w:color w:val="000000"/>
          <w:sz w:val="20"/>
        </w:rPr>
        <w:t xml:space="preserve">the impact of the regulatory environment and potential regulatory instability within our industry and complexities with compliance related to such environment; </w:t>
      </w:r>
    </w:p>
    <w:p>
      <w:pPr>
        <w:pStyle w:val="TextBody"/>
        <w:bidi w:val="0"/>
        <w:spacing w:lineRule="auto" w:line="288" w:before="60" w:after="283"/>
        <w:ind w:left="0" w:right="0" w:hanging="270"/>
        <w:jc w:val="left"/>
        <w:rPr/>
      </w:pPr>
      <w:r>
        <w:rPr>
          <w:color w:val="000000"/>
        </w:rPr>
        <w:t>•</w:t>
      </w:r>
      <w:r>
        <w:rPr>
          <w:rFonts w:ascii="Times New Roman;serif" w:hAnsi="Times New Roman;serif"/>
          <w:b w:val="false"/>
          <w:color w:val="000000"/>
          <w:sz w:val="20"/>
        </w:rPr>
        <w:t>any future impact of pandemics, epidemics, or other public health crises on our ability to operate, demand for our products or services, or general economic conditions;</w:t>
      </w:r>
    </w:p>
    <w:p>
      <w:pPr>
        <w:pStyle w:val="TextBody"/>
        <w:bidi w:val="0"/>
        <w:spacing w:lineRule="auto" w:line="288" w:before="60" w:after="283"/>
        <w:ind w:left="0" w:right="0" w:hanging="270"/>
        <w:jc w:val="left"/>
        <w:rPr/>
      </w:pPr>
      <w:r>
        <w:rPr>
          <w:color w:val="000000"/>
        </w:rPr>
        <w:t>•</w:t>
      </w:r>
      <w:r>
        <w:rPr>
          <w:rFonts w:ascii="Times New Roman;serif" w:hAnsi="Times New Roman;serif"/>
          <w:b w:val="false"/>
          <w:color w:val="000000"/>
          <w:sz w:val="20"/>
        </w:rPr>
        <w:t>our ability to maintain our listing on the Nasdaq Global Select Market;</w:t>
      </w:r>
    </w:p>
    <w:p>
      <w:pPr>
        <w:pStyle w:val="TextBody"/>
        <w:bidi w:val="0"/>
        <w:spacing w:lineRule="auto" w:line="288" w:before="60" w:after="283"/>
        <w:ind w:left="0" w:right="0" w:hanging="270"/>
        <w:jc w:val="left"/>
        <w:rPr/>
      </w:pPr>
      <w:r>
        <w:rPr>
          <w:color w:val="000000"/>
        </w:rPr>
        <w:t>•</w:t>
      </w:r>
      <w:r>
        <w:rPr>
          <w:rFonts w:ascii="Times New Roman;serif" w:hAnsi="Times New Roman;serif"/>
          <w:b w:val="false"/>
          <w:color w:val="000000"/>
          <w:sz w:val="20"/>
        </w:rPr>
        <w:t xml:space="preserve">changes in laws or government regulation affecting our business; </w:t>
      </w:r>
    </w:p>
    <w:p>
      <w:pPr>
        <w:pStyle w:val="TextBody"/>
        <w:bidi w:val="0"/>
        <w:spacing w:lineRule="auto" w:line="288" w:before="60" w:after="283"/>
        <w:ind w:left="0" w:right="0" w:hanging="270"/>
        <w:jc w:val="left"/>
        <w:rPr/>
      </w:pPr>
      <w:r>
        <w:rPr>
          <w:color w:val="000000"/>
        </w:rPr>
        <w:t>•</w:t>
      </w:r>
      <w:r>
        <w:rPr>
          <w:rFonts w:ascii="Times New Roman;serif" w:hAnsi="Times New Roman;serif"/>
          <w:b w:val="false"/>
          <w:color w:val="000000"/>
          <w:sz w:val="20"/>
        </w:rPr>
        <w:t>the impact of pending or any future litigation or regulatory actions; and</w:t>
      </w:r>
    </w:p>
    <w:p>
      <w:pPr>
        <w:pStyle w:val="TextBody"/>
        <w:bidi w:val="0"/>
        <w:spacing w:lineRule="auto" w:line="288" w:before="60" w:after="283"/>
        <w:ind w:left="0" w:right="0" w:hanging="270"/>
        <w:jc w:val="left"/>
        <w:rPr/>
      </w:pPr>
      <w:r>
        <w:rPr>
          <w:color w:val="000000"/>
        </w:rPr>
        <w:t>•</w:t>
      </w:r>
      <w:r>
        <w:rPr>
          <w:rFonts w:ascii="Times New Roman;serif" w:hAnsi="Times New Roman;serif"/>
          <w:b w:val="false"/>
          <w:color w:val="000000"/>
          <w:sz w:val="20"/>
        </w:rPr>
        <w:t>the other important factors described in the “Risk Factors” section of this Quarterly Report on Form 10-Q and in Part I. Item 1A “Risk Factors” in our Annual Report on Form 10-K for the year ended December 31, 2025 (the “Annual Report”).</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Moreover, we operate in a very competitive and rapidly changing environment. New risks emerge from time to time. It is not possible for our management to predict all risks, nor can we assess the effect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report may not occur and actual results could differ materially and adversely from those anticipated or implied in the forward-looking statements. Accordingly,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 You should not place undue reliance on these forward-looking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333" w:before="0" w:after="0"/>
        <w:jc w:val="left"/>
        <w:rPr/>
      </w:pPr>
      <w:hyperlink w:anchor="i65bd50e6e0134a778ca5f9a1e0365124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center"/>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pPr>
      <w:r>
        <w:rPr>
          <w:rFonts w:ascii="Times New Roman;serif" w:hAnsi="Times New Roman;serif"/>
          <w:b w:val="false"/>
          <w:color w:val="000000"/>
          <w:sz w:val="18"/>
        </w:rPr>
        <w:t xml:space="preserve">(In millions, except </w:t>
      </w:r>
      <w:r>
        <w:rPr>
          <w:rFonts w:ascii="Times New Roman;serif" w:hAnsi="Times New Roman;serif"/>
          <w:b w:val="false"/>
          <w:color w:val="000000"/>
          <w:sz w:val="20"/>
        </w:rPr>
        <w:t>s</w:t>
      </w:r>
      <w:r>
        <w:rPr>
          <w:rFonts w:ascii="Times New Roman;serif" w:hAnsi="Times New Roman;serif"/>
          <w:b w:val="false"/>
          <w:color w:val="000000"/>
          <w:sz w:val="18"/>
        </w:rPr>
        <w:t>hare data)</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(Unaudited)</w:t>
      </w:r>
    </w:p>
    <w:tbl>
      <w:tblPr>
        <w:tblW w:w="10205" w:type="dxa"/>
        <w:jc w:val="left"/>
        <w:tblInd w:w="0" w:type="dxa"/>
        <w:tblLayout w:type="fixed"/>
        <w:tblCellMar>
          <w:top w:w="28" w:type="dxa"/>
          <w:left w:w="28" w:type="dxa"/>
          <w:bottom w:w="28" w:type="dxa"/>
          <w:right w:w="28" w:type="dxa"/>
        </w:tblCellMar>
      </w:tblPr>
      <w:tblGrid>
        <w:gridCol w:w="2973"/>
        <w:gridCol w:w="2318"/>
        <w:gridCol w:w="2350"/>
        <w:gridCol w:w="109"/>
        <w:gridCol w:w="109"/>
        <w:gridCol w:w="109"/>
        <w:gridCol w:w="196"/>
        <w:gridCol w:w="556"/>
        <w:gridCol w:w="109"/>
        <w:gridCol w:w="109"/>
        <w:gridCol w:w="109"/>
        <w:gridCol w:w="109"/>
        <w:gridCol w:w="226"/>
        <w:gridCol w:w="643"/>
        <w:gridCol w:w="180"/>
      </w:tblGrid>
      <w:tr>
        <w:trPr/>
        <w:tc>
          <w:tcPr>
            <w:tcW w:w="2973" w:type="dxa"/>
            <w:tcBorders/>
            <w:vAlign w:val="center"/>
          </w:tcPr>
          <w:p>
            <w:pPr>
              <w:pStyle w:val="TableContents"/>
              <w:bidi w:val="0"/>
              <w:spacing w:before="0" w:after="283"/>
              <w:jc w:val="left"/>
              <w:rPr>
                <w:sz w:val="4"/>
                <w:szCs w:val="4"/>
              </w:rPr>
            </w:pPr>
            <w:r>
              <w:rPr>
                <w:sz w:val="4"/>
                <w:szCs w:val="4"/>
              </w:rPr>
            </w:r>
          </w:p>
        </w:tc>
        <w:tc>
          <w:tcPr>
            <w:tcW w:w="2318"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7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December 31, </w:t>
              <w:br/>
              <w:t>2025</w:t>
            </w:r>
          </w:p>
        </w:tc>
      </w:tr>
      <w:tr>
        <w:trPr/>
        <w:tc>
          <w:tcPr>
            <w:tcW w:w="76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962 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76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Escrow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76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Real estate inventory,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925 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Other current assets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2,299 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AND EQUIPMENT –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RIGHT OF 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76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rFonts w:ascii="Times New Roman;serif" w:hAnsi="Times New Roman;serif"/>
                <w:b w:val="false"/>
                <w:color w:val="000000"/>
                <w:sz w:val="10"/>
              </w:rPr>
            </w:pPr>
            <w:r>
              <w:rPr>
                <w:rFonts w:ascii="Times New Roman;serif" w:hAnsi="Times New Roman;serif"/>
                <w:b w:val="false"/>
                <w:color w:val="000000"/>
                <w:sz w:val="10"/>
              </w:rPr>
              <w:t>(1)</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2,407 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LIABILITIES AND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 and other 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Non-recourse asset-backed debt –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Convertible senior notes – current portion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76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76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76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Lease liabilities –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327 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NON-RECOURSE ASSET-BACKED DEBT – Net of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1,068 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76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76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LEASE LIABILITIES – Net of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rFonts w:ascii="Times New Roman;serif" w:hAnsi="Times New Roman;serif"/>
                <w:b w:val="false"/>
                <w:color w:val="000000"/>
                <w:sz w:val="10"/>
              </w:rPr>
            </w:pPr>
            <w:r>
              <w:rPr>
                <w:rFonts w:ascii="Times New Roman;serif" w:hAnsi="Times New Roman;serif"/>
                <w:b w:val="false"/>
                <w:color w:val="000000"/>
                <w:sz w:val="10"/>
              </w:rPr>
              <w:t>(2)</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1,402 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COMMITMENTS AND CONTINGENCIES (See Note 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76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76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76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76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76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76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76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Common stock, $0.0001 par value; 3,000,000,000 shares authorized; 968,626,958 and 957,245,487 shares issued, respectively; 968,626,958 and 957,245,487 shares outstanding,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6,038 </w:t>
            </w:r>
          </w:p>
        </w:tc>
        <w:tc>
          <w:tcPr>
            <w:tcW w:w="18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(5,033)</w:t>
            </w:r>
          </w:p>
        </w:tc>
        <w:tc>
          <w:tcPr>
            <w:tcW w:w="18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Total shareholders’ equity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1,005 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 AND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2,407 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w:t>
      </w:r>
    </w:p>
    <w:p>
      <w:pPr>
        <w:pStyle w:val="TextBody"/>
        <w:bidi w:val="0"/>
        <w:spacing w:lineRule="auto" w:line="288" w:before="120" w:after="283"/>
        <w:ind w:left="0" w:right="0" w:hanging="360"/>
        <w:jc w:val="left"/>
        <w:rPr/>
      </w:pPr>
      <w:r>
        <w:rPr>
          <w:rFonts w:ascii="Times New Roman;serif" w:hAnsi="Times New Roman;serif"/>
          <w:b w:val="false"/>
          <w:color w:val="000000"/>
          <w:sz w:val="10"/>
        </w:rPr>
        <w:t>(1)</w:t>
      </w:r>
      <w:r>
        <w:rPr>
          <w:rFonts w:ascii="Times New Roman;serif" w:hAnsi="Times New Roman;serif"/>
          <w:b w:val="false"/>
          <w:color w:val="000000"/>
          <w:sz w:val="16"/>
        </w:rPr>
        <w:t>The Company’s consolidated assets at June 30, 2026 and December 31, 2025 include the following assets of certain variable interest entities (“VIEs”) that can only be used to settle the liabilities of those VIEs: Restricted cash, $61 and $334; Real estate inventory, net, $1,842 and $916; Escrow receivable, $13 and $4; Other current assets, $6 and $3; and Total assets of $1,922 and $1,257, respectively.</w:t>
      </w:r>
    </w:p>
    <w:p>
      <w:pPr>
        <w:pStyle w:val="TextBody"/>
        <w:bidi w:val="0"/>
        <w:spacing w:lineRule="auto" w:line="288" w:before="60" w:after="283"/>
        <w:ind w:left="0" w:right="0" w:hanging="360"/>
        <w:jc w:val="left"/>
        <w:rPr/>
      </w:pPr>
      <w:r>
        <w:rPr>
          <w:rFonts w:ascii="Times New Roman;serif" w:hAnsi="Times New Roman;serif"/>
          <w:b w:val="false"/>
          <w:color w:val="000000"/>
          <w:sz w:val="10"/>
        </w:rPr>
        <w:t>(2)</w:t>
      </w:r>
      <w:r>
        <w:rPr>
          <w:rFonts w:ascii="Times New Roman;serif" w:hAnsi="Times New Roman;serif"/>
          <w:b w:val="false"/>
          <w:color w:val="000000"/>
          <w:sz w:val="16"/>
        </w:rPr>
        <w:t>The Company’s consolidated liabilities at June 30, 2026 and December 31, 2025 include the following liabilities for which the VIE creditors generally do not have recourse to Opendoor: Accounts payable and other accrued liabilities, $30 and $12; Current portion of non-recourse asset-backed debt, $691 and $52; Interest payable, $2 and $1; Non-recourse asset-backed debt, net of current portion, $1,071 and $1,068; and Total liabilities, $1,794 and $1,133, respectively. See “</w:t>
      </w:r>
      <w:r>
        <w:rPr>
          <w:rFonts w:ascii="Times New Roman;serif" w:hAnsi="Times New Roman;serif"/>
          <w:b w:val="false"/>
          <w:i/>
          <w:color w:val="000000"/>
          <w:sz w:val="16"/>
        </w:rPr>
        <w:t>Note 4. Variable Interest Entities</w:t>
      </w:r>
      <w:r>
        <w:rPr>
          <w:color w:val="000000"/>
        </w:rPr>
        <w:t xml:space="preserve">” </w:t>
      </w:r>
      <w:r>
        <w:rPr>
          <w:rFonts w:ascii="Times New Roman;serif" w:hAnsi="Times New Roman;serif"/>
          <w:b w:val="false"/>
          <w:color w:val="000000"/>
          <w:sz w:val="16"/>
        </w:rPr>
        <w:t>for additional information regarding our VIEs.</w:t>
      </w:r>
    </w:p>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333" w:before="0" w:after="0"/>
        <w:jc w:val="left"/>
        <w:rPr/>
      </w:pPr>
      <w:hyperlink w:anchor="i65bd50e6e0134a778ca5f9a1e0365124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(In millions, except share amounts which are presented in thousands, and per share amounts)</w:t>
      </w:r>
    </w:p>
    <w:p>
      <w:pPr>
        <w:pStyle w:val="TextBody"/>
        <w:bidi w:val="0"/>
        <w:spacing w:lineRule="auto" w:line="288" w:before="0" w:after="200"/>
        <w:jc w:val="center"/>
        <w:rPr>
          <w:rFonts w:ascii="Times New Roman;serif" w:hAnsi="Times New Roman;serif"/>
          <w:b w:val="false"/>
          <w:color w:val="000000"/>
          <w:sz w:val="18"/>
        </w:rPr>
      </w:pPr>
      <w:r>
        <w:rPr>
          <w:rFonts w:ascii="Times New Roman;serif" w:hAnsi="Times New Roman;serif"/>
          <w:b w:val="false"/>
          <w:color w:val="000000"/>
          <w:sz w:val="18"/>
        </w:rPr>
        <w:t>(Unaudited)</w:t>
      </w:r>
    </w:p>
    <w:tbl>
      <w:tblPr>
        <w:tblW w:w="9374" w:type="dxa"/>
        <w:jc w:val="left"/>
        <w:tblInd w:w="0" w:type="dxa"/>
        <w:tblLayout w:type="fixed"/>
        <w:tblCellMar>
          <w:top w:w="28" w:type="dxa"/>
          <w:left w:w="28" w:type="dxa"/>
          <w:bottom w:w="28" w:type="dxa"/>
          <w:right w:w="28" w:type="dxa"/>
        </w:tblCellMar>
      </w:tblPr>
      <w:tblGrid>
        <w:gridCol w:w="1669"/>
        <w:gridCol w:w="1465"/>
        <w:gridCol w:w="1471"/>
        <w:gridCol w:w="236"/>
        <w:gridCol w:w="590"/>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669"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GROSS PROFIT </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9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marketing and operations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and development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EXTINGUISHMENT OF DEBT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 Net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NET LOSS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605"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loss per share attributable to common shareholders:</w:t>
            </w:r>
          </w:p>
        </w:tc>
        <w:tc>
          <w:tcPr>
            <w:tcW w:w="9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3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3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w:t>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965,780 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729,484 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962,574 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726,529 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965,780 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729,484 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962,574 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726,529 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333" w:before="0" w:after="0"/>
        <w:jc w:val="left"/>
        <w:rPr/>
      </w:pPr>
      <w:hyperlink w:anchor="i65bd50e6e0134a778ca5f9a1e0365124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LOSS</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(In millions)</w:t>
      </w:r>
    </w:p>
    <w:p>
      <w:pPr>
        <w:pStyle w:val="TextBody"/>
        <w:bidi w:val="0"/>
        <w:spacing w:lineRule="auto" w:line="288" w:before="0" w:after="200"/>
        <w:jc w:val="center"/>
        <w:rPr>
          <w:rFonts w:ascii="Times New Roman;serif" w:hAnsi="Times New Roman;serif"/>
          <w:b w:val="false"/>
          <w:color w:val="000000"/>
          <w:sz w:val="18"/>
        </w:rPr>
      </w:pPr>
      <w:r>
        <w:rPr>
          <w:rFonts w:ascii="Times New Roman;serif" w:hAnsi="Times New Roman;serif"/>
          <w:b w:val="false"/>
          <w:color w:val="000000"/>
          <w:sz w:val="18"/>
        </w:rPr>
        <w:t>(Unaudited)</w:t>
      </w:r>
    </w:p>
    <w:tbl>
      <w:tblPr>
        <w:tblW w:w="7365" w:type="dxa"/>
        <w:jc w:val="left"/>
        <w:tblInd w:w="0" w:type="dxa"/>
        <w:tblLayout w:type="fixed"/>
        <w:tblCellMar>
          <w:top w:w="28" w:type="dxa"/>
          <w:left w:w="28" w:type="dxa"/>
          <w:bottom w:w="28" w:type="dxa"/>
          <w:right w:w="28" w:type="dxa"/>
        </w:tblCellMar>
      </w:tblPr>
      <w:tblGrid>
        <w:gridCol w:w="1084"/>
        <w:gridCol w:w="951"/>
        <w:gridCol w:w="965"/>
        <w:gridCol w:w="211"/>
        <w:gridCol w:w="541"/>
        <w:gridCol w:w="109"/>
        <w:gridCol w:w="109"/>
        <w:gridCol w:w="109"/>
        <w:gridCol w:w="109"/>
        <w:gridCol w:w="211"/>
        <w:gridCol w:w="436"/>
        <w:gridCol w:w="109"/>
        <w:gridCol w:w="109"/>
        <w:gridCol w:w="109"/>
        <w:gridCol w:w="109"/>
        <w:gridCol w:w="211"/>
        <w:gridCol w:w="541"/>
        <w:gridCol w:w="109"/>
        <w:gridCol w:w="109"/>
        <w:gridCol w:w="109"/>
        <w:gridCol w:w="109"/>
        <w:gridCol w:w="211"/>
        <w:gridCol w:w="541"/>
        <w:gridCol w:w="154"/>
      </w:tblGrid>
      <w:tr>
        <w:trPr/>
        <w:tc>
          <w:tcPr>
            <w:tcW w:w="1084"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translation adjustment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998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333" w:before="0" w:after="0"/>
        <w:jc w:val="left"/>
        <w:rPr/>
      </w:pPr>
      <w:hyperlink w:anchor="i65bd50e6e0134a778ca5f9a1e0365124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333"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SHAREHOLDERS’ EQUITY</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(In millions, except number of shares)</w:t>
      </w:r>
    </w:p>
    <w:p>
      <w:pPr>
        <w:pStyle w:val="TextBody"/>
        <w:bidi w:val="0"/>
        <w:spacing w:lineRule="auto" w:line="288" w:before="0" w:after="200"/>
        <w:jc w:val="center"/>
        <w:rPr>
          <w:rFonts w:ascii="Times New Roman;serif" w:hAnsi="Times New Roman;serif"/>
          <w:b w:val="false"/>
          <w:color w:val="000000"/>
          <w:sz w:val="18"/>
        </w:rPr>
      </w:pPr>
      <w:r>
        <w:rPr>
          <w:rFonts w:ascii="Times New Roman;serif" w:hAnsi="Times New Roman;serif"/>
          <w:b w:val="false"/>
          <w:color w:val="000000"/>
          <w:sz w:val="18"/>
        </w:rPr>
        <w:t>(Unaudited)</w:t>
      </w:r>
    </w:p>
    <w:p>
      <w:pPr>
        <w:pStyle w:val="TextBody"/>
        <w:bidi w:val="0"/>
        <w:spacing w:before="0" w:after="0"/>
        <w:jc w:val="center"/>
        <w:rPr/>
      </w:pPr>
      <w:r>
        <w:rPr/>
      </w:r>
    </w:p>
    <w:tbl>
      <w:tblPr>
        <w:tblW w:w="14128" w:type="dxa"/>
        <w:jc w:val="left"/>
        <w:tblInd w:w="0" w:type="dxa"/>
        <w:tblLayout w:type="fixed"/>
        <w:tblCellMar>
          <w:top w:w="28" w:type="dxa"/>
          <w:left w:w="28" w:type="dxa"/>
          <w:bottom w:w="28" w:type="dxa"/>
          <w:right w:w="28" w:type="dxa"/>
        </w:tblCellMar>
      </w:tblPr>
      <w:tblGrid>
        <w:gridCol w:w="539"/>
        <w:gridCol w:w="315"/>
        <w:gridCol w:w="317"/>
        <w:gridCol w:w="109"/>
        <w:gridCol w:w="109"/>
        <w:gridCol w:w="109"/>
        <w:gridCol w:w="109"/>
        <w:gridCol w:w="109"/>
        <w:gridCol w:w="109"/>
        <w:gridCol w:w="109"/>
        <w:gridCol w:w="109"/>
        <w:gridCol w:w="109"/>
        <w:gridCol w:w="109"/>
        <w:gridCol w:w="109"/>
        <w:gridCol w:w="255"/>
        <w:gridCol w:w="255"/>
        <w:gridCol w:w="256"/>
        <w:gridCol w:w="109"/>
        <w:gridCol w:w="871"/>
        <w:gridCol w:w="109"/>
        <w:gridCol w:w="1051"/>
        <w:gridCol w:w="109"/>
        <w:gridCol w:w="1216"/>
        <w:gridCol w:w="109"/>
        <w:gridCol w:w="525"/>
        <w:gridCol w:w="526"/>
        <w:gridCol w:w="109"/>
        <w:gridCol w:w="109"/>
        <w:gridCol w:w="109"/>
        <w:gridCol w:w="109"/>
        <w:gridCol w:w="289"/>
        <w:gridCol w:w="600"/>
        <w:gridCol w:w="162"/>
        <w:gridCol w:w="109"/>
        <w:gridCol w:w="109"/>
        <w:gridCol w:w="109"/>
        <w:gridCol w:w="196"/>
        <w:gridCol w:w="556"/>
        <w:gridCol w:w="109"/>
        <w:gridCol w:w="109"/>
        <w:gridCol w:w="109"/>
        <w:gridCol w:w="109"/>
        <w:gridCol w:w="196"/>
        <w:gridCol w:w="571"/>
        <w:gridCol w:w="109"/>
        <w:gridCol w:w="109"/>
        <w:gridCol w:w="109"/>
        <w:gridCol w:w="109"/>
        <w:gridCol w:w="196"/>
        <w:gridCol w:w="406"/>
        <w:gridCol w:w="109"/>
        <w:gridCol w:w="109"/>
        <w:gridCol w:w="109"/>
        <w:gridCol w:w="109"/>
        <w:gridCol w:w="109"/>
        <w:gridCol w:w="109"/>
        <w:gridCol w:w="196"/>
        <w:gridCol w:w="556"/>
        <w:gridCol w:w="154"/>
      </w:tblGrid>
      <w:tr>
        <w:trPr/>
        <w:tc>
          <w:tcPr>
            <w:tcW w:w="53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8" w:type="dxa"/>
            <w:gridSpan w:val="11"/>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Shareholders’ Equity</w:t>
            </w:r>
          </w:p>
        </w:tc>
        <w:tc>
          <w:tcPr>
            <w:tcW w:w="10992" w:type="dxa"/>
            <w:gridSpan w:val="42"/>
            <w:tcBorders/>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109"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109"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109"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Loss</w:t>
            </w:r>
          </w:p>
        </w:tc>
        <w:tc>
          <w:tcPr>
            <w:tcW w:w="109"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Total</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Shareholders’</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Equity</w:t>
            </w:r>
          </w:p>
        </w:tc>
        <w:tc>
          <w:tcPr>
            <w:tcW w:w="4880" w:type="dxa"/>
            <w:gridSpan w:val="26"/>
            <w:tcBorders/>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ind w:left="0" w:right="0" w:hanging="180"/>
              <w:jc w:val="left"/>
              <w:rPr>
                <w:sz w:val="4"/>
                <w:szCs w:val="4"/>
              </w:rPr>
            </w:pPr>
            <w:r>
              <w:rPr>
                <w:sz w:val="4"/>
                <w:szCs w:val="4"/>
              </w:rPr>
            </w:r>
          </w:p>
        </w:tc>
        <w:tc>
          <w:tcPr>
            <w:tcW w:w="906" w:type="dxa"/>
            <w:gridSpan w:val="3"/>
            <w:tcBorders/>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BALANCE–March 31,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963,283,777 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6,160 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for settlement of RSUs, net of shares withheld for participant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5,205,458 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exercise of warrants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136,999 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employee stock purchase plan, net of shares withheld for participant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(162)</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BALANCE–June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968,626,958 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8" w:type="dxa"/>
            <w:gridSpan w:val="11"/>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Shareholders’ Equity</w:t>
            </w:r>
          </w:p>
        </w:tc>
        <w:tc>
          <w:tcPr>
            <w:tcW w:w="10992" w:type="dxa"/>
            <w:gridSpan w:val="42"/>
            <w:tcBorders/>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109"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109"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109"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Loss</w:t>
            </w:r>
          </w:p>
        </w:tc>
        <w:tc>
          <w:tcPr>
            <w:tcW w:w="109"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Total</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Shareholders’</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Equity</w:t>
            </w:r>
          </w:p>
        </w:tc>
        <w:tc>
          <w:tcPr>
            <w:tcW w:w="4880" w:type="dxa"/>
            <w:gridSpan w:val="26"/>
            <w:tcBorders/>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ind w:left="0" w:right="0" w:hanging="180"/>
              <w:jc w:val="left"/>
              <w:rPr>
                <w:sz w:val="4"/>
                <w:szCs w:val="4"/>
              </w:rPr>
            </w:pPr>
            <w:r>
              <w:rPr>
                <w:sz w:val="4"/>
                <w:szCs w:val="4"/>
              </w:rPr>
            </w:r>
          </w:p>
        </w:tc>
        <w:tc>
          <w:tcPr>
            <w:tcW w:w="906" w:type="dxa"/>
            <w:gridSpan w:val="3"/>
            <w:tcBorders/>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BALANCE–December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957,245,487 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for settlement of RSUs, net of shares withheld for participant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10,522,151 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exercise of warrants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248,105 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employee stock purchase plan, net of shares withheld for participant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609,080 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(335)</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BALANCE–June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968,626,958 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(5,368)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914 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333" w:before="0" w:after="0"/>
        <w:jc w:val="left"/>
        <w:rPr/>
      </w:pPr>
      <w:hyperlink w:anchor="i65bd50e6e0134a778ca5f9a1e0365124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333"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SHAREHOLDERS’ EQUITY</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(In millions, except number of shares)</w:t>
      </w:r>
    </w:p>
    <w:p>
      <w:pPr>
        <w:pStyle w:val="TextBody"/>
        <w:bidi w:val="0"/>
        <w:spacing w:lineRule="auto" w:line="288" w:before="0" w:after="200"/>
        <w:jc w:val="center"/>
        <w:rPr>
          <w:rFonts w:ascii="Times New Roman;serif" w:hAnsi="Times New Roman;serif"/>
          <w:b w:val="false"/>
          <w:color w:val="000000"/>
          <w:sz w:val="18"/>
        </w:rPr>
      </w:pPr>
      <w:r>
        <w:rPr>
          <w:rFonts w:ascii="Times New Roman;serif" w:hAnsi="Times New Roman;serif"/>
          <w:b w:val="false"/>
          <w:color w:val="000000"/>
          <w:sz w:val="18"/>
        </w:rPr>
        <w:t>(Unaudited)</w:t>
      </w:r>
    </w:p>
    <w:tbl>
      <w:tblPr>
        <w:tblW w:w="13993" w:type="dxa"/>
        <w:jc w:val="left"/>
        <w:tblInd w:w="0" w:type="dxa"/>
        <w:tblLayout w:type="fixed"/>
        <w:tblCellMar>
          <w:top w:w="28" w:type="dxa"/>
          <w:left w:w="28" w:type="dxa"/>
          <w:bottom w:w="28" w:type="dxa"/>
          <w:right w:w="28" w:type="dxa"/>
        </w:tblCellMar>
      </w:tblPr>
      <w:tblGrid>
        <w:gridCol w:w="539"/>
        <w:gridCol w:w="315"/>
        <w:gridCol w:w="317"/>
        <w:gridCol w:w="109"/>
        <w:gridCol w:w="109"/>
        <w:gridCol w:w="109"/>
        <w:gridCol w:w="109"/>
        <w:gridCol w:w="109"/>
        <w:gridCol w:w="109"/>
        <w:gridCol w:w="109"/>
        <w:gridCol w:w="109"/>
        <w:gridCol w:w="109"/>
        <w:gridCol w:w="109"/>
        <w:gridCol w:w="109"/>
        <w:gridCol w:w="255"/>
        <w:gridCol w:w="255"/>
        <w:gridCol w:w="256"/>
        <w:gridCol w:w="109"/>
        <w:gridCol w:w="871"/>
        <w:gridCol w:w="109"/>
        <w:gridCol w:w="1051"/>
        <w:gridCol w:w="109"/>
        <w:gridCol w:w="1216"/>
        <w:gridCol w:w="109"/>
        <w:gridCol w:w="525"/>
        <w:gridCol w:w="526"/>
        <w:gridCol w:w="109"/>
        <w:gridCol w:w="109"/>
        <w:gridCol w:w="109"/>
        <w:gridCol w:w="109"/>
        <w:gridCol w:w="289"/>
        <w:gridCol w:w="600"/>
        <w:gridCol w:w="162"/>
        <w:gridCol w:w="109"/>
        <w:gridCol w:w="109"/>
        <w:gridCol w:w="109"/>
        <w:gridCol w:w="196"/>
        <w:gridCol w:w="556"/>
        <w:gridCol w:w="109"/>
        <w:gridCol w:w="109"/>
        <w:gridCol w:w="109"/>
        <w:gridCol w:w="109"/>
        <w:gridCol w:w="196"/>
        <w:gridCol w:w="571"/>
        <w:gridCol w:w="109"/>
        <w:gridCol w:w="109"/>
        <w:gridCol w:w="109"/>
        <w:gridCol w:w="109"/>
        <w:gridCol w:w="196"/>
        <w:gridCol w:w="406"/>
        <w:gridCol w:w="109"/>
        <w:gridCol w:w="109"/>
        <w:gridCol w:w="109"/>
        <w:gridCol w:w="109"/>
        <w:gridCol w:w="109"/>
        <w:gridCol w:w="109"/>
        <w:gridCol w:w="196"/>
        <w:gridCol w:w="421"/>
        <w:gridCol w:w="154"/>
      </w:tblGrid>
      <w:tr>
        <w:trPr/>
        <w:tc>
          <w:tcPr>
            <w:tcW w:w="53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8" w:type="dxa"/>
            <w:gridSpan w:val="11"/>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Shareholders’ Equity</w:t>
            </w:r>
          </w:p>
        </w:tc>
        <w:tc>
          <w:tcPr>
            <w:tcW w:w="10857" w:type="dxa"/>
            <w:gridSpan w:val="42"/>
            <w:tcBorders/>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109"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109"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109"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Loss</w:t>
            </w:r>
          </w:p>
        </w:tc>
        <w:tc>
          <w:tcPr>
            <w:tcW w:w="109"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Total</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Shareholders’</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Equity</w:t>
            </w:r>
          </w:p>
        </w:tc>
        <w:tc>
          <w:tcPr>
            <w:tcW w:w="4745" w:type="dxa"/>
            <w:gridSpan w:val="26"/>
            <w:tcBorders/>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ind w:left="0" w:right="0" w:hanging="180"/>
              <w:jc w:val="left"/>
              <w:rPr>
                <w:sz w:val="4"/>
                <w:szCs w:val="4"/>
              </w:rPr>
            </w:pPr>
            <w:r>
              <w:rPr>
                <w:sz w:val="4"/>
                <w:szCs w:val="4"/>
              </w:rPr>
            </w:r>
          </w:p>
        </w:tc>
        <w:tc>
          <w:tcPr>
            <w:tcW w:w="771" w:type="dxa"/>
            <w:gridSpan w:val="3"/>
            <w:tcBorders/>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BALANCE–March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726,835,454 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for settlement of RSUs, net of shares withheld for participant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6,757,526 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employee stock purchase plan, net of shares withheld for participant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BALANCE–June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733,592,980 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8" w:type="dxa"/>
            <w:gridSpan w:val="11"/>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Shareholders’ Equity</w:t>
            </w:r>
          </w:p>
        </w:tc>
        <w:tc>
          <w:tcPr>
            <w:tcW w:w="10857" w:type="dxa"/>
            <w:gridSpan w:val="42"/>
            <w:tcBorders/>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109"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109"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109"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Loss</w:t>
            </w:r>
          </w:p>
        </w:tc>
        <w:tc>
          <w:tcPr>
            <w:tcW w:w="109"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Total</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Shareholders’</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Equity</w:t>
            </w:r>
          </w:p>
        </w:tc>
        <w:tc>
          <w:tcPr>
            <w:tcW w:w="4745" w:type="dxa"/>
            <w:gridSpan w:val="26"/>
            <w:tcBorders/>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ind w:left="0" w:right="0" w:hanging="180"/>
              <w:jc w:val="left"/>
              <w:rPr>
                <w:sz w:val="4"/>
                <w:szCs w:val="4"/>
              </w:rPr>
            </w:pPr>
            <w:r>
              <w:rPr>
                <w:sz w:val="4"/>
                <w:szCs w:val="4"/>
              </w:rPr>
            </w:r>
          </w:p>
        </w:tc>
        <w:tc>
          <w:tcPr>
            <w:tcW w:w="771" w:type="dxa"/>
            <w:gridSpan w:val="3"/>
            <w:tcBorders/>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BALANCE–December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719,990,121 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for settlement of RSUs, net of shares withheld for participant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12,631,037 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employee stock purchase plan, net of shares withheld for participant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943,339 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(114)</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BALANCE–June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733,592,980 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(3,839)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30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333" w:before="0" w:after="0"/>
        <w:jc w:val="left"/>
        <w:rPr/>
      </w:pPr>
      <w:hyperlink w:anchor="i65bd50e6e0134a778ca5f9a1e0365124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333"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CASH FLOWS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(In millions)</w:t>
      </w:r>
    </w:p>
    <w:p>
      <w:pPr>
        <w:pStyle w:val="TextBody"/>
        <w:bidi w:val="0"/>
        <w:spacing w:lineRule="auto" w:line="288" w:before="0" w:after="200"/>
        <w:jc w:val="center"/>
        <w:rPr>
          <w:rFonts w:ascii="Times New Roman;serif" w:hAnsi="Times New Roman;serif"/>
          <w:b w:val="false"/>
          <w:color w:val="000000"/>
          <w:sz w:val="18"/>
        </w:rPr>
      </w:pPr>
      <w:r>
        <w:rPr>
          <w:rFonts w:ascii="Times New Roman;serif" w:hAnsi="Times New Roman;serif"/>
          <w:b w:val="false"/>
          <w:color w:val="000000"/>
          <w:sz w:val="18"/>
        </w:rPr>
        <w:t>(Unaudited)</w:t>
      </w:r>
    </w:p>
    <w:tbl>
      <w:tblPr>
        <w:tblW w:w="10205" w:type="dxa"/>
        <w:jc w:val="center"/>
        <w:tblInd w:w="0" w:type="dxa"/>
        <w:tblLayout w:type="fixed"/>
        <w:tblCellMar>
          <w:top w:w="28" w:type="dxa"/>
          <w:left w:w="28" w:type="dxa"/>
          <w:bottom w:w="28" w:type="dxa"/>
          <w:right w:w="28" w:type="dxa"/>
        </w:tblCellMar>
      </w:tblPr>
      <w:tblGrid>
        <w:gridCol w:w="2902"/>
        <w:gridCol w:w="2520"/>
        <w:gridCol w:w="2533"/>
        <w:gridCol w:w="196"/>
        <w:gridCol w:w="491"/>
        <w:gridCol w:w="109"/>
        <w:gridCol w:w="109"/>
        <w:gridCol w:w="109"/>
        <w:gridCol w:w="109"/>
        <w:gridCol w:w="196"/>
        <w:gridCol w:w="556"/>
        <w:gridCol w:w="109"/>
        <w:gridCol w:w="109"/>
        <w:gridCol w:w="157"/>
      </w:tblGrid>
      <w:tr>
        <w:trPr/>
        <w:tc>
          <w:tcPr>
            <w:tcW w:w="2902" w:type="dxa"/>
            <w:tcBorders/>
            <w:vAlign w:val="center"/>
          </w:tcPr>
          <w:p>
            <w:pPr>
              <w:pStyle w:val="TableContents"/>
              <w:bidi w:val="0"/>
              <w:spacing w:before="0" w:after="283"/>
              <w:jc w:val="left"/>
              <w:rPr>
                <w:sz w:val="4"/>
                <w:szCs w:val="4"/>
              </w:rPr>
            </w:pPr>
            <w:r>
              <w:rPr>
                <w:sz w:val="4"/>
                <w:szCs w:val="4"/>
              </w:rPr>
            </w:r>
          </w:p>
        </w:tc>
        <w:tc>
          <w:tcPr>
            <w:tcW w:w="2520" w:type="dxa"/>
            <w:tcBorders/>
            <w:vAlign w:val="center"/>
          </w:tcPr>
          <w:p>
            <w:pPr>
              <w:pStyle w:val="TableContents"/>
              <w:bidi w:val="0"/>
              <w:spacing w:before="0" w:after="283"/>
              <w:jc w:val="left"/>
              <w:rPr>
                <w:sz w:val="4"/>
                <w:szCs w:val="4"/>
              </w:rPr>
            </w:pPr>
            <w:r>
              <w:rPr>
                <w:sz w:val="4"/>
                <w:szCs w:val="4"/>
              </w:rPr>
            </w:r>
          </w:p>
        </w:tc>
        <w:tc>
          <w:tcPr>
            <w:tcW w:w="25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OPERATING ACTIVITIES:</w:t>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79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loss to cash, cash equivalents, and restricted cash (used in) provided by operating activities:</w:t>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 </w:t>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right of use asset</w:t>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5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5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5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Inventory valuation adjustment</w:t>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5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fair value of equity securities</w:t>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5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5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5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Loss (gain) on extinguishment of debt</w:t>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5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79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Origination of mortgage loans held for sale</w:t>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7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 and principal collections of mortgage loans held for sale</w:t>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79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w:t>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Escrow receivable</w:t>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Real estate inventory</w:t>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 and other accrued liabilities</w:t>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payable</w:t>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Lease liabilities</w:t>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provided by operating activities</w:t>
            </w:r>
          </w:p>
        </w:tc>
        <w:tc>
          <w:tcPr>
            <w:tcW w:w="6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(964)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INVESTING ACTIVITIES:</w:t>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property and equipment</w:t>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5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5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sales, maturities, redemptions and paydowns of marketable securities</w:t>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Purchase of non-marketable equity securities</w:t>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5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5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5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5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provided by investing activities</w:t>
            </w:r>
          </w:p>
        </w:tc>
        <w:tc>
          <w:tcPr>
            <w:tcW w:w="6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FINANCING ACTIVITIES:</w:t>
            </w:r>
          </w:p>
        </w:tc>
        <w:tc>
          <w:tcPr>
            <w:tcW w:w="7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5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5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5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5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5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5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Proceeds from issuance of convertible senior notes, net of discount</w:t>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5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5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5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issuance of common stock for ESPP</w:t>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5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5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5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5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5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5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5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5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non-recourse asset-backed debt</w:t>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Principal payments on non-recourse asset-backed debt</w:t>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5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5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of loan origination fees and debt issuance costs</w:t>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5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5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5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5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5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5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financing activities</w:t>
            </w:r>
          </w:p>
        </w:tc>
        <w:tc>
          <w:tcPr>
            <w:tcW w:w="6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(DECREASE) INCREASE IN CASH, CASH EQUIVALENTS, AND RESTRICTED CASH</w:t>
            </w:r>
          </w:p>
        </w:tc>
        <w:tc>
          <w:tcPr>
            <w:tcW w:w="6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 – Beginning of period</w:t>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 –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SUPPLEMENTAL DISCLOSURE OF CASH FLOW INFORMATION – Cash paid during the period for interest</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DISCLOSURES OF NONCASH INVESTING AND FINANCING ACTIVITIES:</w:t>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 capitalized for internally developed software</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Principal value of 2026 Notes extinguished in Debt Exchange </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Principal value of 2030 Notes issued in Debt Exchange </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5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5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5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5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5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5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5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RECONCILIATION TO CONDENSED CONSOLIDATED BALANCE SHEETS:</w:t>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w:t>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333" w:before="0" w:after="0"/>
        <w:jc w:val="left"/>
        <w:rPr/>
      </w:pPr>
      <w:hyperlink w:anchor="i65bd50e6e0134a778ca5f9a1e036512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(Tabular amounts in millions, except share and per share amounts, ratios, or as noted)</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450"/>
        <w:jc w:val="left"/>
        <w:rPr>
          <w:rFonts w:ascii="Times New Roman;serif" w:hAnsi="Times New Roman;serif"/>
          <w:b/>
          <w:color w:val="000000"/>
          <w:sz w:val="20"/>
        </w:rPr>
      </w:pPr>
      <w:r>
        <w:rPr>
          <w:rFonts w:ascii="Times New Roman;serif" w:hAnsi="Times New Roman;serif"/>
          <w:b/>
          <w:color w:val="000000"/>
          <w:sz w:val="20"/>
        </w:rPr>
        <w:t>1.DESCRIPTION OF BUSINESS AND ACCOUNTING POLICIES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Description of Business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Opendoor Technologies Inc. (the “Company” and “Opendoor”) including its consolidated subsidiaries and certain variable interest entities (“VIEs”), is a leading e-commerce platform for residential real estate transactions. By leveraging its centralized digital platform, Opendoor is working towards a future that enables sellers and buyers of residential real estate to experience a simple and certain transaction that is dramatically improved from the traditional process. The Company was incorporated in Delaware on December 30, 2013.</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completed a business combination with Social Capital Hedosophia Holdings Corp. II (“SCH”), a Cayman Islands exempted company formed for the purpose of effecting a merger, share exchange, asset acquisition, share purchase, reorganization or similar business combination with one or more businesses (the “Business Combination”). The Business Combination, pursuant to which Opendoor Labs Inc. became a wholly owned subsidiary of SCH and SCH changed its name from “Social Capital Hedosophia Holdings Corp. II” to “Opendoor Technologies Inc.”, was completed on December 18, 2020, and was accounted for as a reverse recapitalization, in accordance with GAAP.</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Basis of Presentation and Principles of Consolidation</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accompanying unaudited condensed consolidated financial statements have been prepared pursuant to generally accepted accounting principles in the United States of America (“GAAP”). The condensed consolidated financial statements as of June 30, 2026 and December 31, 2025 and for the three and six month periods ended June 30, 2026 and 2025 include the accounts of Opendoor, its wholly owned subsidiaries and VIEs where the Company is the primary beneficiary. The accompanying unaudited condensed consolidated financial statements reflect all adjustments which are, in the opinion of management, necessary for a fair statement of the results for the interim periods presented. Intercompany accounts and transactions have been eliminated in the condensed consolidated financial statements herein. </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accompanying interim condensed consolidated financial statements and these related notes should be read in conjunction with the consolidated financial statements and related notes included in the Company’s Annual Report on Form 10-K for the year ended December 31, 2025 (the “Annual Report”) filed on February 19, 2026.</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GAAP requires management to make estimates and assumptions that have a material impact on the amounts reported in the financial statements and accompanying notes. Significant estimates, assumptions and judgments made by management include, among others, share-based awards and inventory valuation adjustments. Management believes that the estimates and judgments upon which management relies are reasonable based upon information available to management at the time that these estimates and judgments are made. To the extent there are material differences between these estimates, assumptions and judgments and actual results, the carrying values of the Company’s assets and liabilities and the results of operations will be affected. The health of the residential housing market and interest rate environment have introduced additional uncertainty with respect to judgments, estimates, and assumptions, which may materially impact the estimates previously listed, among others.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Significant Risks and Uncertainties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operates in a dynamic industry and, accordingly, can be affected by a variety of factors. For example, the Company believes that changes in any of the following factors could have a significant negative effect on the Company in terms of its future financial position, results of operations or cash flows: its rates of revenue growth; its ability to manage inventory; engagement and usage of its products; the effectiveness of its investment of resources to pursue strategies; competition in its market; the stability of the residential real estate market; the impact of interest rate changes on demand for and pricing of its products and on the cost of capital; its ability to leverage artificial intelligence (“AI”) to drive operational efficiency; impacts to its business from political and regulatory activity, including trade policies and potential increased tariffs; changes in technology, products, markets or services by the Company or its competitors; its ability to maintain or establish relationships with listings and data providers; its ability to obtain or maintain licenses and permits to support its current and future businesses; actual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333" w:before="0" w:after="0"/>
        <w:jc w:val="left"/>
        <w:rPr/>
      </w:pPr>
      <w:hyperlink w:anchor="i65bd50e6e0134a778ca5f9a1e036512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(Tabular amounts in millions, except share and per share amounts, ratios, or as noted)</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(Unaudited)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anticipated changes to its products and services; changes in government regulation affecting its business; the outcomes of legal proceedings; natural disasters and catastrophic events, such as pandemics or epidemics; scaling and adaptation of existing technology and network infrastructure; its management of its growth; its ability to attract and retain qualified employees and key personnel; its ability to successfully integrate and realize the benefits of its past or future strategic acquisitions or investments; the protection of customers’ information and other privacy concerns; the protection of its brand and intellectual property; and intellectual property infringement and other claims, among other things.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Concentrations of Credit Risk</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Financial instruments, which potentially subject the Company to concentrations of credit risk, consist primarily of cash and cash equivalents, and restricted cash. The Company places cash and cash equivalents with major financial institutions, which management assesses to be of high credit quality, in order to limit the Company’s exposure to potential losses.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Summary of Significant Accounting Policies</w:t>
      </w:r>
    </w:p>
    <w:p>
      <w:pPr>
        <w:pStyle w:val="TextBody"/>
        <w:bidi w:val="0"/>
        <w:spacing w:lineRule="auto" w:line="288" w:before="240" w:after="283"/>
        <w:ind w:left="0" w:right="0" w:firstLine="450"/>
        <w:jc w:val="left"/>
        <w:rPr/>
      </w:pPr>
      <w:r>
        <w:rPr>
          <w:rFonts w:ascii="Times New Roman;serif" w:hAnsi="Times New Roman;serif"/>
          <w:b w:val="false"/>
          <w:color w:val="000000"/>
          <w:sz w:val="20"/>
        </w:rPr>
        <w:t xml:space="preserve">The Company’s significant accounting policies are discussed in </w:t>
      </w:r>
      <w:r>
        <w:rPr>
          <w:color w:val="000000"/>
        </w:rPr>
        <w:t>“</w:t>
      </w:r>
      <w:r>
        <w:rPr>
          <w:rFonts w:ascii="Times New Roman;serif" w:hAnsi="Times New Roman;serif"/>
          <w:b w:val="false"/>
          <w:i/>
          <w:color w:val="000000"/>
          <w:sz w:val="20"/>
        </w:rPr>
        <w:t>Part II – Item 8 – Financial Statements and Supplementary Data – Note 1. Description of Business and Accounting Policies”</w:t>
      </w:r>
      <w:r>
        <w:rPr>
          <w:color w:val="000000"/>
        </w:rPr>
        <w:t xml:space="preserve"> </w:t>
      </w:r>
      <w:r>
        <w:rPr>
          <w:rFonts w:ascii="Times New Roman;serif" w:hAnsi="Times New Roman;serif"/>
          <w:b w:val="false"/>
          <w:color w:val="000000"/>
          <w:sz w:val="20"/>
        </w:rPr>
        <w:t>in the Annual Report. There have been no changes to these significant accounting policies for the six-month period ended June 30, 2026, except as noted below.</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Impairment of Long-Lived Assets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Long-lived assets, such as property and equipment and definite-lived intangible assets, among other long-lived assets, are reviewed for impairment whenever events or changes in circumstances indicate that the carrying amount of an asset may not be recoverable. If circumstances require a long-lived asset or asset group be tested for possible impairment, the Company first compares undiscounted cash flows expected to be generated by that asset or asset group to its carrying amount. If the carrying amount of the long-lived asset or asset group is not recoverable on an undiscounted cash flow basis, an impairment loss is recognized to the extent the carrying amount of the underlying asset exceeds its fair value. The impairment loss recognized for the periods presented is primarily related to abandonment of certain internally developed software projects. The impairment loss recognized during the periods presented is as follows (in millions):</w:t>
      </w:r>
    </w:p>
    <w:tbl>
      <w:tblPr>
        <w:tblW w:w="6017" w:type="dxa"/>
        <w:jc w:val="left"/>
        <w:tblInd w:w="0" w:type="dxa"/>
        <w:tblLayout w:type="fixed"/>
        <w:tblCellMar>
          <w:top w:w="28" w:type="dxa"/>
          <w:left w:w="28" w:type="dxa"/>
          <w:bottom w:w="28" w:type="dxa"/>
          <w:right w:w="28" w:type="dxa"/>
        </w:tblCellMar>
      </w:tblPr>
      <w:tblGrid>
        <w:gridCol w:w="930"/>
        <w:gridCol w:w="815"/>
        <w:gridCol w:w="819"/>
        <w:gridCol w:w="229"/>
        <w:gridCol w:w="277"/>
        <w:gridCol w:w="118"/>
        <w:gridCol w:w="118"/>
        <w:gridCol w:w="118"/>
        <w:gridCol w:w="118"/>
        <w:gridCol w:w="229"/>
        <w:gridCol w:w="277"/>
        <w:gridCol w:w="118"/>
        <w:gridCol w:w="109"/>
        <w:gridCol w:w="109"/>
        <w:gridCol w:w="109"/>
        <w:gridCol w:w="211"/>
        <w:gridCol w:w="256"/>
        <w:gridCol w:w="109"/>
        <w:gridCol w:w="109"/>
        <w:gridCol w:w="109"/>
        <w:gridCol w:w="109"/>
        <w:gridCol w:w="211"/>
        <w:gridCol w:w="256"/>
        <w:gridCol w:w="154"/>
      </w:tblGrid>
      <w:tr>
        <w:trPr/>
        <w:tc>
          <w:tcPr>
            <w:tcW w:w="93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564"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and development</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impairment loss</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Recently Issued Accounting Standards</w:t>
      </w:r>
    </w:p>
    <w:p>
      <w:pPr>
        <w:pStyle w:val="TextBody"/>
        <w:bidi w:val="0"/>
        <w:spacing w:lineRule="auto" w:line="288" w:before="24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Recently Adopted Accounting Standards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For the six months ended June 30, 2026, the Company did not adopt any material new accounting standards. </w:t>
      </w:r>
    </w:p>
    <w:p>
      <w:pPr>
        <w:pStyle w:val="TextBody"/>
        <w:bidi w:val="0"/>
        <w:spacing w:lineRule="auto" w:line="288" w:before="24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Recently Issued Accounting Standards Not Yet Adopted</w:t>
      </w:r>
    </w:p>
    <w:p>
      <w:pPr>
        <w:pStyle w:val="TextBody"/>
        <w:bidi w:val="0"/>
        <w:spacing w:lineRule="auto" w:line="288" w:before="240" w:after="283"/>
        <w:ind w:left="0" w:right="0" w:firstLine="450"/>
        <w:jc w:val="left"/>
        <w:rPr/>
      </w:pPr>
      <w:r>
        <w:rPr>
          <w:rFonts w:ascii="Times New Roman;serif" w:hAnsi="Times New Roman;serif"/>
          <w:b w:val="false"/>
          <w:color w:val="000000"/>
          <w:sz w:val="20"/>
        </w:rPr>
        <w:t>In October 2023, the FASB issued ASU 2023-06 which is intended to clarify or improve disclosure and presentation requirements of a variety of topics. It will allow users to more easily compare entities subject to the U.S. Securities and Exchange Commission’s (</w:t>
      </w:r>
      <w:r>
        <w:rPr>
          <w:color w:val="000000"/>
        </w:rPr>
        <w:t>“</w:t>
      </w:r>
      <w:r>
        <w:rPr>
          <w:rFonts w:ascii="Times New Roman;serif" w:hAnsi="Times New Roman;serif"/>
          <w:b w:val="false"/>
          <w:color w:val="000000"/>
          <w:sz w:val="20"/>
        </w:rPr>
        <w:t>SEC”) existing disclosures with those entities that were not previously subject to the requirements and align the requirements in the FASB accounting standard codification with the SEC’s regulations. The effective date for each amendment will be the date on which the SEC’s removal of that related disclosure from Regulation S-X or Regulation S-K becomes effective, or if the SEC has not removed the applicable disclosure requirement by June 30, 2027, the amendment will not be effective for any entity. Early adoption is prohibited. The Company is currently assessing the impact on the Company's disclosures.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November 2024, the FASB issued ASU 2024-03, which is intended to improve the disclosures about a public business entity’s expenses and provide detailed information about the types of expenses in commonly presented expense captions.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333" w:before="0" w:after="0"/>
        <w:jc w:val="left"/>
        <w:rPr/>
      </w:pPr>
      <w:hyperlink w:anchor="i65bd50e6e0134a778ca5f9a1e036512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(Tabular amounts in millions, except share and per share amounts, ratios, or as noted)</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(Unaudited)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new guidance is effective for fiscal years beginning after December 15, 2026, and interim periods within fiscal years beginning after December 15, 2027, and early adoption is permitted. The Company is currently assessing the impact on the Company's condensed consolidated financial statements and disclosures.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September 2025, the FASB issued ASU 2025-06, Intangibles – Goodwill and Other – Internal-Use Software, to modernize the outdated guidance for accounting for software costs by aligning the accounting with how software is developed today. This guidance is effective for fiscal years beginning after December 15, 2027 and interim periods within those fiscal years. Early adoption is permitted. The amendments in ASU 2025-06 should be applied either prospectively, retrospectively, or utilizing a modified transition approach. The Company is currently assessing the impact on the Company's condensed consolidated financial statements and disclosures.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September 2025, the FASB issued ASU 2025-07. This update clarifies the application of derivative accounting to certain contracts and refines the guidance for share-based noncash consideration received from customers. Specifically, ASU 2025-07 introduces a scope exception for contracts that are not exchange-traded and whose underlying is tied to operations or activities specific to one party. It also clarifies that share-based noncash consideration from a customer should initially be accounted for under Topic 606 until the right to receive or retain such consideration becomes unconditional, at which point financial instruments guidance may apply. The effective date for the standard is for fiscal years beginning after December 15, 2026 and interim periods within those fiscal years. Early adoption is permitted. The amendments in ASU 2025-07 should be applied either prospectively or by utilizing a modified retrospective approach. The Company is currently assessing the impact on the Company's condensed consolidated financial statements and disclosures.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December 2025, the FASB issued ASU 2025</w:t>
        <w:noBreakHyphen/>
        <w:t>11, Interim Reporting (Topic 270): Narrow</w:t>
        <w:noBreakHyphen/>
        <w:t>Scope Improvements. This update clarifies interim disclosure requirements and centralizes such requirements within Topic 270. Among other changes, ASU 2025</w:t>
        <w:noBreakHyphen/>
        <w:t>11 introduces a disclosure principle requiring entities to provide information about significant events or changes since the end of the last annual reporting period that have a material impact, clarifies when duplicative annual disclosures may be omitted from interim reports, and aligns interim reporting requirements with applicable SEC guidance for registrants. This guidance is effective for interim reporting periods within annual reporting periods beginning after December 15, 2027. Early adoption is permitted. The amendments in ASU 2025</w:t>
        <w:noBreakHyphen/>
        <w:t>11 should be applied prospectively. The Company is currently assessing the impact on the Company’s condensed consolidated financial statements and disclosures.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December 2025, the FASB issued ASU 2025</w:t>
        <w:noBreakHyphen/>
        <w:t>12, Codification Improvements. This update addresses shareholder suggestions on the Accounting Standards Codification and makes other incremental improvements to U.S. GAAP. The amendments make codification updates to a broad range of topics arising from technical corrections, unintended application of the codification, clarifications, and other minor improvements. This guidance is effective for annual reporting periods beginning after December 15, 2026 and interim reporting periods within those annual periods. Early adoption is permitted and may be elected on an issue</w:t>
        <w:noBreakHyphen/>
        <w:t>by</w:t>
        <w:noBreakHyphen/>
        <w:t>issue basis. The amendments in ASU 2025</w:t>
        <w:noBreakHyphen/>
        <w:t>12 are to be applied prospectively. The Company is currently assessing the impact on the Company’s condensed consolidated financial statements and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450"/>
        <w:jc w:val="left"/>
        <w:rPr>
          <w:rFonts w:ascii="Times New Roman;serif" w:hAnsi="Times New Roman;serif"/>
          <w:b/>
          <w:color w:val="000000"/>
          <w:sz w:val="20"/>
        </w:rPr>
      </w:pPr>
      <w:r>
        <w:rPr>
          <w:rFonts w:ascii="Times New Roman;serif" w:hAnsi="Times New Roman;serif"/>
          <w:b/>
          <w:color w:val="000000"/>
          <w:sz w:val="20"/>
        </w:rPr>
        <w:t>2.REAL ESTATE INVENTORY</w:t>
      </w:r>
    </w:p>
    <w:p>
      <w:pPr>
        <w:pStyle w:val="TextBody"/>
        <w:bidi w:val="0"/>
        <w:spacing w:lineRule="auto" w:line="288" w:before="240" w:after="283"/>
        <w:ind w:left="0" w:right="0" w:firstLine="450"/>
        <w:jc w:val="left"/>
        <w:rPr/>
      </w:pPr>
      <w:r>
        <w:rPr>
          <w:rFonts w:ascii="Times New Roman;serif" w:hAnsi="Times New Roman;serif"/>
          <w:b w:val="false"/>
          <w:color w:val="000000"/>
          <w:sz w:val="20"/>
        </w:rPr>
        <w:t>The following table presents the components of inventory, net of applicable inventory valuation adjustments of $20 million</w:t>
      </w:r>
      <w:r>
        <w:rPr>
          <w:color w:val="0094FF"/>
        </w:rPr>
        <w:t xml:space="preserve"> </w:t>
      </w:r>
      <w:r>
        <w:rPr>
          <w:rFonts w:ascii="Times New Roman;serif" w:hAnsi="Times New Roman;serif"/>
          <w:b w:val="false"/>
          <w:color w:val="000000"/>
          <w:sz w:val="20"/>
        </w:rPr>
        <w:t>and $20 million, as of June 30, 2026 and December 31, 2025, respectively (in millions):</w:t>
      </w:r>
    </w:p>
    <w:tbl>
      <w:tblPr>
        <w:tblW w:w="4434" w:type="dxa"/>
        <w:jc w:val="left"/>
        <w:tblInd w:w="0" w:type="dxa"/>
        <w:tblLayout w:type="fixed"/>
        <w:tblCellMar>
          <w:top w:w="28" w:type="dxa"/>
          <w:left w:w="28" w:type="dxa"/>
          <w:bottom w:w="28" w:type="dxa"/>
          <w:right w:w="28" w:type="dxa"/>
        </w:tblCellMar>
      </w:tblPr>
      <w:tblGrid>
        <w:gridCol w:w="814"/>
        <w:gridCol w:w="715"/>
        <w:gridCol w:w="720"/>
        <w:gridCol w:w="211"/>
        <w:gridCol w:w="616"/>
        <w:gridCol w:w="109"/>
        <w:gridCol w:w="109"/>
        <w:gridCol w:w="289"/>
        <w:gridCol w:w="639"/>
        <w:gridCol w:w="212"/>
      </w:tblGrid>
      <w:tr>
        <w:trPr/>
        <w:tc>
          <w:tcPr>
            <w:tcW w:w="814"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109" w:type="dxa"/>
            <w:tcBorders/>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249" w:type="dxa"/>
            <w:gridSpan w:val="3"/>
            <w:tcBorders>
              <w:top w:val="single" w:sz="2" w:space="0" w:color="FFFFFF"/>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progress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Listed for sale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484 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Under contract for sale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op w:val="single" w:sz="2" w:space="0" w:color="FFFFFF"/>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real estate inventory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925 </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left"/>
        <w:rPr/>
      </w:pPr>
      <w:r>
        <w:rPr>
          <w:rFonts w:ascii="Times New Roman;serif" w:hAnsi="Times New Roman;serif"/>
          <w:b w:val="false"/>
          <w:color w:val="000000"/>
          <w:sz w:val="20"/>
        </w:rPr>
        <w:t>As of June 30, 2026, the Company was in contract to purchase</w:t>
      </w:r>
      <w:r>
        <w:rPr>
          <w:color w:val="0094FF"/>
        </w:rPr>
        <w:t xml:space="preserve"> </w:t>
      </w:r>
      <w:r>
        <w:rPr>
          <w:rFonts w:ascii="Times New Roman;serif" w:hAnsi="Times New Roman;serif"/>
          <w:b w:val="false"/>
          <w:color w:val="000000"/>
          <w:sz w:val="20"/>
        </w:rPr>
        <w:t xml:space="preserve">2,310 homes for an aggregate purchase price of $736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333" w:before="0" w:after="0"/>
        <w:jc w:val="left"/>
        <w:rPr/>
      </w:pPr>
      <w:hyperlink w:anchor="i65bd50e6e0134a778ca5f9a1e036512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(Tabular amounts in millions, except share and per share amounts, ratios, or as noted)</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(Unaudited)</w:t>
      </w:r>
    </w:p>
    <w:p>
      <w:pPr>
        <w:pStyle w:val="TextBody"/>
        <w:bidi w:val="0"/>
        <w:spacing w:lineRule="auto" w:line="288" w:before="240" w:after="283"/>
        <w:ind w:left="0" w:right="0" w:firstLine="450"/>
        <w:jc w:val="left"/>
        <w:rPr/>
      </w:pPr>
      <w:r>
        <w:rPr>
          <w:rFonts w:ascii="Times New Roman;serif" w:hAnsi="Times New Roman;serif"/>
          <w:b w:val="false"/>
          <w:color w:val="000000"/>
          <w:sz w:val="20"/>
        </w:rPr>
        <w:t>During the three and six months ended June 30, 2026, the Company recorded valuation adjustments for real estate inventory of $14 million</w:t>
      </w:r>
      <w:r>
        <w:rPr>
          <w:color w:val="0094FF"/>
        </w:rPr>
        <w:t xml:space="preserve"> </w:t>
      </w:r>
      <w:r>
        <w:rPr>
          <w:rFonts w:ascii="Times New Roman;serif" w:hAnsi="Times New Roman;serif"/>
          <w:b w:val="false"/>
          <w:color w:val="000000"/>
          <w:sz w:val="20"/>
        </w:rPr>
        <w:t>and $23 million, respectively, in Cost of revenue in the condensed consolidated statements of operations. During the three and six months ended June 30, 2025, the Company recorded valuation adjustments for real estate inventory of $21 million and $34 million, respectively, in Cost of revenue in the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450"/>
        <w:jc w:val="left"/>
        <w:rPr>
          <w:rFonts w:ascii="Times New Roman;serif" w:hAnsi="Times New Roman;serif"/>
          <w:b/>
          <w:color w:val="000000"/>
          <w:sz w:val="20"/>
        </w:rPr>
      </w:pPr>
      <w:r>
        <w:rPr>
          <w:rFonts w:ascii="Times New Roman;serif" w:hAnsi="Times New Roman;serif"/>
          <w:b/>
          <w:color w:val="000000"/>
          <w:sz w:val="20"/>
        </w:rPr>
        <w:t>3.CASH, CASH EQUIVALENTS, AND INVESTMENTS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amortized cost, gross unrealized gains and losses, and fair value of cash and cash equivalents, as of June 30, 2026 and December 31, 2025, were as follows (in millions):</w:t>
      </w:r>
    </w:p>
    <w:tbl>
      <w:tblPr>
        <w:tblW w:w="7998" w:type="dxa"/>
        <w:jc w:val="left"/>
        <w:tblInd w:w="0" w:type="dxa"/>
        <w:tblLayout w:type="fixed"/>
        <w:tblCellMar>
          <w:top w:w="28" w:type="dxa"/>
          <w:left w:w="28" w:type="dxa"/>
          <w:bottom w:w="28" w:type="dxa"/>
          <w:right w:w="28" w:type="dxa"/>
        </w:tblCellMar>
      </w:tblPr>
      <w:tblGrid>
        <w:gridCol w:w="650"/>
        <w:gridCol w:w="571"/>
        <w:gridCol w:w="579"/>
        <w:gridCol w:w="211"/>
        <w:gridCol w:w="466"/>
        <w:gridCol w:w="109"/>
        <w:gridCol w:w="109"/>
        <w:gridCol w:w="109"/>
        <w:gridCol w:w="109"/>
        <w:gridCol w:w="257"/>
        <w:gridCol w:w="495"/>
        <w:gridCol w:w="134"/>
        <w:gridCol w:w="109"/>
        <w:gridCol w:w="109"/>
        <w:gridCol w:w="109"/>
        <w:gridCol w:w="257"/>
        <w:gridCol w:w="495"/>
        <w:gridCol w:w="134"/>
        <w:gridCol w:w="109"/>
        <w:gridCol w:w="109"/>
        <w:gridCol w:w="109"/>
        <w:gridCol w:w="237"/>
        <w:gridCol w:w="525"/>
        <w:gridCol w:w="122"/>
        <w:gridCol w:w="109"/>
        <w:gridCol w:w="109"/>
        <w:gridCol w:w="109"/>
        <w:gridCol w:w="317"/>
        <w:gridCol w:w="702"/>
        <w:gridCol w:w="166"/>
        <w:gridCol w:w="109"/>
        <w:gridCol w:w="154"/>
      </w:tblGrid>
      <w:tr>
        <w:trPr/>
        <w:tc>
          <w:tcPr>
            <w:tcW w:w="650"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5"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263" w:type="dxa"/>
            <w:gridSpan w:val="2"/>
            <w:tcBorders/>
          </w:tcPr>
          <w:p>
            <w:pPr>
              <w:pStyle w:val="TableContents"/>
              <w:bidi w:val="0"/>
              <w:spacing w:before="0" w:after="283"/>
              <w:jc w:val="left"/>
              <w:rPr>
                <w:sz w:val="4"/>
                <w:szCs w:val="4"/>
              </w:rPr>
            </w:pPr>
            <w:r>
              <w:rPr>
                <w:sz w:val="4"/>
                <w:szCs w:val="4"/>
              </w:rPr>
            </w:r>
          </w:p>
        </w:tc>
      </w:tr>
      <w:tr>
        <w:trPr/>
        <w:tc>
          <w:tcPr>
            <w:tcW w:w="1800" w:type="dxa"/>
            <w:gridSpan w:val="3"/>
            <w:tcBorders>
              <w:top w:val="single" w:sz="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33" w:after="283"/>
              <w:jc w:val="center"/>
              <w:rPr>
                <w:rFonts w:ascii="Times New Roman;serif" w:hAnsi="Times New Roman;serif"/>
                <w:b/>
                <w:color w:val="000000"/>
                <w:sz w:val="16"/>
              </w:rPr>
            </w:pPr>
            <w:r>
              <w:rPr>
                <w:rFonts w:ascii="Times New Roman;serif" w:hAnsi="Times New Roman;serif"/>
                <w:b/>
                <w:color w:val="000000"/>
                <w:sz w:val="16"/>
              </w:rPr>
              <w:t>Cost</w:t>
            </w:r>
          </w:p>
          <w:p>
            <w:pPr>
              <w:pStyle w:val="TableContents"/>
              <w:bidi w:val="0"/>
              <w:spacing w:lineRule="auto" w:line="333" w:before="0" w:after="30"/>
              <w:jc w:val="center"/>
              <w:rPr>
                <w:rFonts w:ascii="Times New Roman;serif" w:hAnsi="Times New Roman;serif"/>
                <w:b/>
                <w:color w:val="000000"/>
                <w:sz w:val="16"/>
              </w:rPr>
            </w:pPr>
            <w:r>
              <w:rPr>
                <w:rFonts w:ascii="Times New Roman;serif" w:hAnsi="Times New Roman;serif"/>
                <w:b/>
                <w:color w:val="000000"/>
                <w:sz w:val="16"/>
              </w:rPr>
              <w:t>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33" w:after="283"/>
              <w:jc w:val="center"/>
              <w:rPr>
                <w:rFonts w:ascii="Times New Roman;serif" w:hAnsi="Times New Roman;serif"/>
                <w:b/>
                <w:color w:val="000000"/>
                <w:sz w:val="16"/>
              </w:rPr>
            </w:pPr>
            <w:r>
              <w:rPr>
                <w:rFonts w:ascii="Times New Roman;serif" w:hAnsi="Times New Roman;serif"/>
                <w:b/>
                <w:color w:val="000000"/>
                <w:sz w:val="16"/>
              </w:rPr>
              <w:t>Unrealized</w:t>
            </w:r>
          </w:p>
          <w:p>
            <w:pPr>
              <w:pStyle w:val="TableContents"/>
              <w:bidi w:val="0"/>
              <w:spacing w:lineRule="auto" w:line="333" w:before="0" w:after="30"/>
              <w:jc w:val="center"/>
              <w:rPr>
                <w:rFonts w:ascii="Times New Roman;serif" w:hAnsi="Times New Roman;serif"/>
                <w:b/>
                <w:color w:val="000000"/>
                <w:sz w:val="16"/>
              </w:rPr>
            </w:pPr>
            <w:r>
              <w:rPr>
                <w:rFonts w:ascii="Times New Roman;serif" w:hAnsi="Times New Roman;serif"/>
                <w:b/>
                <w:color w:val="000000"/>
                <w:sz w:val="16"/>
              </w:rP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33" w:after="283"/>
              <w:jc w:val="center"/>
              <w:rPr>
                <w:rFonts w:ascii="Times New Roman;serif" w:hAnsi="Times New Roman;serif"/>
                <w:b/>
                <w:color w:val="000000"/>
                <w:sz w:val="16"/>
              </w:rPr>
            </w:pPr>
            <w:r>
              <w:rPr>
                <w:rFonts w:ascii="Times New Roman;serif" w:hAnsi="Times New Roman;serif"/>
                <w:b/>
                <w:color w:val="000000"/>
                <w:sz w:val="16"/>
              </w:rPr>
              <w:t>Unrealized</w:t>
            </w:r>
          </w:p>
          <w:p>
            <w:pPr>
              <w:pStyle w:val="TableContents"/>
              <w:bidi w:val="0"/>
              <w:spacing w:lineRule="auto" w:line="333" w:before="0" w:after="30"/>
              <w:jc w:val="center"/>
              <w:rPr>
                <w:rFonts w:ascii="Times New Roman;serif" w:hAnsi="Times New Roman;serif"/>
                <w:b/>
                <w:color w:val="000000"/>
                <w:sz w:val="16"/>
              </w:rPr>
            </w:pPr>
            <w:r>
              <w:rPr>
                <w:rFonts w:ascii="Times New Roman;serif" w:hAnsi="Times New Roman;serif"/>
                <w:b/>
                <w:color w:val="000000"/>
                <w:sz w:val="16"/>
              </w:rP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33" w:after="283"/>
              <w:jc w:val="center"/>
              <w:rPr>
                <w:rFonts w:ascii="Times New Roman;serif" w:hAnsi="Times New Roman;serif"/>
                <w:b/>
                <w:color w:val="000000"/>
                <w:sz w:val="16"/>
              </w:rPr>
            </w:pPr>
            <w:r>
              <w:rPr>
                <w:rFonts w:ascii="Times New Roman;serif" w:hAnsi="Times New Roman;serif"/>
                <w:b/>
                <w:color w:val="000000"/>
                <w:sz w:val="16"/>
              </w:rPr>
              <w:t>Cash and Cash</w:t>
            </w:r>
          </w:p>
          <w:p>
            <w:pPr>
              <w:pStyle w:val="TableContents"/>
              <w:bidi w:val="0"/>
              <w:spacing w:lineRule="auto" w:line="333" w:before="0" w:after="30"/>
              <w:jc w:val="center"/>
              <w:rPr>
                <w:rFonts w:ascii="Times New Roman;serif" w:hAnsi="Times New Roman;serif"/>
                <w:b/>
                <w:color w:val="000000"/>
                <w:sz w:val="16"/>
              </w:rPr>
            </w:pPr>
            <w:r>
              <w:rPr>
                <w:rFonts w:ascii="Times New Roman;serif" w:hAnsi="Times New Roman;serif"/>
                <w:b/>
                <w:color w:val="000000"/>
                <w:sz w:val="16"/>
              </w:rPr>
              <w:t>Equivalents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op w:val="single" w:sz="2" w:space="0" w:color="FFFFFF"/>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896 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896 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7998" w:type="dxa"/>
        <w:jc w:val="left"/>
        <w:tblInd w:w="0" w:type="dxa"/>
        <w:tblLayout w:type="fixed"/>
        <w:tblCellMar>
          <w:top w:w="28" w:type="dxa"/>
          <w:left w:w="28" w:type="dxa"/>
          <w:bottom w:w="28" w:type="dxa"/>
          <w:right w:w="28" w:type="dxa"/>
        </w:tblCellMar>
      </w:tblPr>
      <w:tblGrid>
        <w:gridCol w:w="650"/>
        <w:gridCol w:w="571"/>
        <w:gridCol w:w="579"/>
        <w:gridCol w:w="211"/>
        <w:gridCol w:w="466"/>
        <w:gridCol w:w="109"/>
        <w:gridCol w:w="109"/>
        <w:gridCol w:w="109"/>
        <w:gridCol w:w="109"/>
        <w:gridCol w:w="257"/>
        <w:gridCol w:w="495"/>
        <w:gridCol w:w="134"/>
        <w:gridCol w:w="109"/>
        <w:gridCol w:w="109"/>
        <w:gridCol w:w="109"/>
        <w:gridCol w:w="257"/>
        <w:gridCol w:w="495"/>
        <w:gridCol w:w="134"/>
        <w:gridCol w:w="109"/>
        <w:gridCol w:w="109"/>
        <w:gridCol w:w="109"/>
        <w:gridCol w:w="237"/>
        <w:gridCol w:w="525"/>
        <w:gridCol w:w="122"/>
        <w:gridCol w:w="109"/>
        <w:gridCol w:w="109"/>
        <w:gridCol w:w="109"/>
        <w:gridCol w:w="317"/>
        <w:gridCol w:w="702"/>
        <w:gridCol w:w="166"/>
        <w:gridCol w:w="109"/>
        <w:gridCol w:w="154"/>
      </w:tblGrid>
      <w:tr>
        <w:trPr/>
        <w:tc>
          <w:tcPr>
            <w:tcW w:w="650"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5"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263" w:type="dxa"/>
            <w:gridSpan w:val="2"/>
            <w:tcBorders/>
          </w:tcPr>
          <w:p>
            <w:pPr>
              <w:pStyle w:val="TableContents"/>
              <w:bidi w:val="0"/>
              <w:spacing w:before="0" w:after="283"/>
              <w:jc w:val="left"/>
              <w:rPr>
                <w:sz w:val="4"/>
                <w:szCs w:val="4"/>
              </w:rPr>
            </w:pPr>
            <w:r>
              <w:rPr>
                <w:sz w:val="4"/>
                <w:szCs w:val="4"/>
              </w:rPr>
            </w:r>
          </w:p>
        </w:tc>
      </w:tr>
      <w:tr>
        <w:trPr/>
        <w:tc>
          <w:tcPr>
            <w:tcW w:w="1800" w:type="dxa"/>
            <w:gridSpan w:val="3"/>
            <w:tcBorders>
              <w:top w:val="single" w:sz="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33" w:after="283"/>
              <w:jc w:val="center"/>
              <w:rPr>
                <w:rFonts w:ascii="Times New Roman;serif" w:hAnsi="Times New Roman;serif"/>
                <w:b/>
                <w:color w:val="000000"/>
                <w:sz w:val="16"/>
              </w:rPr>
            </w:pPr>
            <w:r>
              <w:rPr>
                <w:rFonts w:ascii="Times New Roman;serif" w:hAnsi="Times New Roman;serif"/>
                <w:b/>
                <w:color w:val="000000"/>
                <w:sz w:val="16"/>
              </w:rPr>
              <w:t>Cost</w:t>
            </w:r>
          </w:p>
          <w:p>
            <w:pPr>
              <w:pStyle w:val="TableContents"/>
              <w:bidi w:val="0"/>
              <w:spacing w:lineRule="auto" w:line="333" w:before="0" w:after="30"/>
              <w:jc w:val="center"/>
              <w:rPr>
                <w:rFonts w:ascii="Times New Roman;serif" w:hAnsi="Times New Roman;serif"/>
                <w:b/>
                <w:color w:val="000000"/>
                <w:sz w:val="16"/>
              </w:rPr>
            </w:pPr>
            <w:r>
              <w:rPr>
                <w:rFonts w:ascii="Times New Roman;serif" w:hAnsi="Times New Roman;serif"/>
                <w:b/>
                <w:color w:val="000000"/>
                <w:sz w:val="16"/>
              </w:rPr>
              <w:t>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33" w:after="283"/>
              <w:jc w:val="center"/>
              <w:rPr>
                <w:rFonts w:ascii="Times New Roman;serif" w:hAnsi="Times New Roman;serif"/>
                <w:b/>
                <w:color w:val="000000"/>
                <w:sz w:val="16"/>
              </w:rPr>
            </w:pPr>
            <w:r>
              <w:rPr>
                <w:rFonts w:ascii="Times New Roman;serif" w:hAnsi="Times New Roman;serif"/>
                <w:b/>
                <w:color w:val="000000"/>
                <w:sz w:val="16"/>
              </w:rPr>
              <w:t>Unrealized</w:t>
            </w:r>
          </w:p>
          <w:p>
            <w:pPr>
              <w:pStyle w:val="TableContents"/>
              <w:bidi w:val="0"/>
              <w:spacing w:lineRule="auto" w:line="333" w:before="0" w:after="30"/>
              <w:jc w:val="center"/>
              <w:rPr>
                <w:rFonts w:ascii="Times New Roman;serif" w:hAnsi="Times New Roman;serif"/>
                <w:b/>
                <w:color w:val="000000"/>
                <w:sz w:val="16"/>
              </w:rPr>
            </w:pPr>
            <w:r>
              <w:rPr>
                <w:rFonts w:ascii="Times New Roman;serif" w:hAnsi="Times New Roman;serif"/>
                <w:b/>
                <w:color w:val="000000"/>
                <w:sz w:val="16"/>
              </w:rP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33" w:after="283"/>
              <w:jc w:val="center"/>
              <w:rPr>
                <w:rFonts w:ascii="Times New Roman;serif" w:hAnsi="Times New Roman;serif"/>
                <w:b/>
                <w:color w:val="000000"/>
                <w:sz w:val="16"/>
              </w:rPr>
            </w:pPr>
            <w:r>
              <w:rPr>
                <w:rFonts w:ascii="Times New Roman;serif" w:hAnsi="Times New Roman;serif"/>
                <w:b/>
                <w:color w:val="000000"/>
                <w:sz w:val="16"/>
              </w:rPr>
              <w:t>Unrealized</w:t>
            </w:r>
          </w:p>
          <w:p>
            <w:pPr>
              <w:pStyle w:val="TableContents"/>
              <w:bidi w:val="0"/>
              <w:spacing w:lineRule="auto" w:line="333" w:before="0" w:after="30"/>
              <w:jc w:val="center"/>
              <w:rPr>
                <w:rFonts w:ascii="Times New Roman;serif" w:hAnsi="Times New Roman;serif"/>
                <w:b/>
                <w:color w:val="000000"/>
                <w:sz w:val="16"/>
              </w:rPr>
            </w:pPr>
            <w:r>
              <w:rPr>
                <w:rFonts w:ascii="Times New Roman;serif" w:hAnsi="Times New Roman;serif"/>
                <w:b/>
                <w:color w:val="000000"/>
                <w:sz w:val="16"/>
              </w:rP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33" w:after="283"/>
              <w:jc w:val="center"/>
              <w:rPr>
                <w:rFonts w:ascii="Times New Roman;serif" w:hAnsi="Times New Roman;serif"/>
                <w:b/>
                <w:color w:val="000000"/>
                <w:sz w:val="16"/>
              </w:rPr>
            </w:pPr>
            <w:r>
              <w:rPr>
                <w:rFonts w:ascii="Times New Roman;serif" w:hAnsi="Times New Roman;serif"/>
                <w:b/>
                <w:color w:val="000000"/>
                <w:sz w:val="16"/>
              </w:rPr>
              <w:t>Cash and Cash</w:t>
            </w:r>
          </w:p>
          <w:p>
            <w:pPr>
              <w:pStyle w:val="TableContents"/>
              <w:bidi w:val="0"/>
              <w:spacing w:lineRule="auto" w:line="333" w:before="0" w:after="30"/>
              <w:jc w:val="center"/>
              <w:rPr>
                <w:rFonts w:ascii="Times New Roman;serif" w:hAnsi="Times New Roman;serif"/>
                <w:b/>
                <w:color w:val="000000"/>
                <w:sz w:val="16"/>
              </w:rPr>
            </w:pPr>
            <w:r>
              <w:rPr>
                <w:rFonts w:ascii="Times New Roman;serif" w:hAnsi="Times New Roman;serif"/>
                <w:b/>
                <w:color w:val="000000"/>
                <w:sz w:val="16"/>
              </w:rPr>
              <w:t>Equivalents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op w:val="single" w:sz="2" w:space="0" w:color="FFFFFF"/>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962 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962 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23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 summary of equity method investments and non-marketable equity securities as of June 30, 2026 and December 31, 2025 were as follows (in millions):</w:t>
      </w:r>
    </w:p>
    <w:tbl>
      <w:tblPr>
        <w:tblW w:w="4774" w:type="dxa"/>
        <w:jc w:val="left"/>
        <w:tblInd w:w="0" w:type="dxa"/>
        <w:tblLayout w:type="fixed"/>
        <w:tblCellMar>
          <w:top w:w="28" w:type="dxa"/>
          <w:left w:w="28" w:type="dxa"/>
          <w:bottom w:w="28" w:type="dxa"/>
          <w:right w:w="28" w:type="dxa"/>
        </w:tblCellMar>
      </w:tblPr>
      <w:tblGrid>
        <w:gridCol w:w="1016"/>
        <w:gridCol w:w="893"/>
        <w:gridCol w:w="896"/>
        <w:gridCol w:w="223"/>
        <w:gridCol w:w="382"/>
        <w:gridCol w:w="115"/>
        <w:gridCol w:w="109"/>
        <w:gridCol w:w="331"/>
        <w:gridCol w:w="567"/>
        <w:gridCol w:w="242"/>
      </w:tblGrid>
      <w:tr>
        <w:trPr/>
        <w:tc>
          <w:tcPr>
            <w:tcW w:w="1016"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109" w:type="dxa"/>
            <w:tcBorders/>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805" w:type="dxa"/>
            <w:gridSpan w:val="3"/>
            <w:tcBorders>
              <w:top w:val="single" w:sz="2" w:space="0" w:color="FFFFFF"/>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 investments</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Non-marketable equity securities</w:t>
            </w:r>
          </w:p>
        </w:tc>
        <w:tc>
          <w:tcPr>
            <w:tcW w:w="6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a subsidiary of the Company entered into a Simple Agreement for Future Equity (“SAFE”) with a private company for an aggregate amount of $5 million, which is accounted for as a non-marketable equity security under the measurement alternative. The SAFE converts into preferred equity upon a qualifying financing at a predetermined valuation cap. No losses, whether from impairment or other observable price changes, were recognized in the condensed consolidated statements of operations for both the three and six months ended June 30, 2026 and 2025 related to non-marketable equity securities held as of those dates.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450"/>
        <w:jc w:val="left"/>
        <w:rPr>
          <w:rFonts w:ascii="Times New Roman;serif" w:hAnsi="Times New Roman;serif"/>
          <w:b/>
          <w:color w:val="000000"/>
          <w:sz w:val="20"/>
        </w:rPr>
      </w:pPr>
      <w:r>
        <w:rPr>
          <w:rFonts w:ascii="Times New Roman;serif" w:hAnsi="Times New Roman;serif"/>
          <w:b/>
          <w:color w:val="000000"/>
          <w:sz w:val="20"/>
        </w:rPr>
        <w:t>4.VARIABLE INTEREST ENTITIES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utilizes VIEs in the normal course of business to support the Company’s financing needs. The Company determines whether the Company is the primary beneficiary of a VIE at the time it becomes involved with the VIE and reconsiders that conclusion on an on-going basis.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established certain special purpose entities (“SPEs”) for the purpose of financing the Company’s purchase and renovation of real estate inventory through the issuance of asset-backed debt. The Company is the primary beneficiary of the various VIEs within these financing structures and consolidates these VIEs. The Company is determined to be the primary beneficiary based on its power to direct the activities that most significantly impact the economic outcomes of the SPEs through its role in designing the SPEs and managing the real estate inventory they purchase and sell. The Company has a potentially significant variable interest in the entities based upon the equity interest the Company holds in the VIEs.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333" w:before="0" w:after="0"/>
        <w:jc w:val="left"/>
        <w:rPr/>
      </w:pPr>
      <w:hyperlink w:anchor="i65bd50e6e0134a778ca5f9a1e036512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(Tabular amounts in millions, except share and per share amounts, ratios, or as noted)</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(Unaudited)</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assets and liabilities related to the VIEs consolidated by the Company as of June 30, 2026 and December 31, 2025 (in millions):</w:t>
      </w:r>
    </w:p>
    <w:tbl>
      <w:tblPr>
        <w:tblW w:w="5088" w:type="dxa"/>
        <w:jc w:val="left"/>
        <w:tblInd w:w="0" w:type="dxa"/>
        <w:tblLayout w:type="fixed"/>
        <w:tblCellMar>
          <w:top w:w="28" w:type="dxa"/>
          <w:left w:w="28" w:type="dxa"/>
          <w:bottom w:w="28" w:type="dxa"/>
          <w:right w:w="28" w:type="dxa"/>
        </w:tblCellMar>
      </w:tblPr>
      <w:tblGrid>
        <w:gridCol w:w="968"/>
        <w:gridCol w:w="854"/>
        <w:gridCol w:w="863"/>
        <w:gridCol w:w="211"/>
        <w:gridCol w:w="616"/>
        <w:gridCol w:w="109"/>
        <w:gridCol w:w="109"/>
        <w:gridCol w:w="109"/>
        <w:gridCol w:w="109"/>
        <w:gridCol w:w="245"/>
        <w:gridCol w:w="716"/>
        <w:gridCol w:w="179"/>
      </w:tblGrid>
      <w:tr>
        <w:trPr/>
        <w:tc>
          <w:tcPr>
            <w:tcW w:w="968"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u w:val="single"/>
              </w:rPr>
            </w:pPr>
            <w:r>
              <w:rPr>
                <w:rFonts w:ascii="Times New Roman;serif" w:hAnsi="Times New Roman;serif"/>
                <w:b/>
                <w:color w:val="000000"/>
                <w:sz w:val="20"/>
                <w:u w:val="single"/>
              </w:rPr>
              <w:t>Assets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inventory,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erif" w:hAnsi="Times New Roman;serif"/>
                <w:b w:val="false"/>
                <w:color w:val="000000"/>
                <w:sz w:val="20"/>
              </w:rPr>
              <w:t>Other</w:t>
            </w:r>
            <w:r>
              <w:rPr>
                <w:rFonts w:ascii="Times New Roman;serif" w:hAnsi="Times New Roman;serif"/>
                <w:b w:val="false"/>
                <w:color w:val="000000"/>
                <w:sz w:val="13"/>
              </w:rPr>
              <w:t>(1)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1,257 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u w:val="single"/>
              </w:rPr>
            </w:pPr>
            <w:r>
              <w:rPr>
                <w:rFonts w:ascii="Times New Roman;serif" w:hAnsi="Times New Roman;serif"/>
                <w:b/>
                <w:color w:val="000000"/>
                <w:sz w:val="20"/>
                <w:u w:val="single"/>
              </w:rPr>
              <w:t>Liabilities</w:t>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Non-recourse asset-backed debt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erif" w:hAnsi="Times New Roman;serif"/>
                <w:b w:val="false"/>
                <w:color w:val="000000"/>
                <w:sz w:val="20"/>
              </w:rPr>
              <w:t>Other</w:t>
            </w:r>
            <w:r>
              <w:rPr>
                <w:rFonts w:ascii="Times New Roman;serif" w:hAnsi="Times New Roman;serif"/>
                <w:b w:val="false"/>
                <w:color w:val="000000"/>
                <w:sz w:val="13"/>
              </w:rPr>
              <w:t>(2)</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1,133 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________________</w:t>
      </w:r>
    </w:p>
    <w:p>
      <w:pPr>
        <w:pStyle w:val="TextBody"/>
        <w:bidi w:val="0"/>
        <w:spacing w:lineRule="auto" w:line="288" w:before="120" w:after="283"/>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Includes escrow receivable and other current assets.</w:t>
      </w:r>
    </w:p>
    <w:p>
      <w:pPr>
        <w:pStyle w:val="TextBody"/>
        <w:bidi w:val="0"/>
        <w:spacing w:lineRule="auto" w:line="288" w:before="120" w:after="283"/>
        <w:ind w:left="0" w:right="0" w:hanging="360"/>
        <w:jc w:val="left"/>
        <w:rPr/>
      </w:pPr>
      <w:r>
        <w:rPr>
          <w:rFonts w:ascii="Times New Roman;serif" w:hAnsi="Times New Roman;serif"/>
          <w:b w:val="false"/>
          <w:color w:val="000000"/>
          <w:sz w:val="13"/>
        </w:rPr>
        <w:t>(2)</w:t>
      </w:r>
      <w:r>
        <w:rPr>
          <w:rFonts w:ascii="Times New Roman;serif" w:hAnsi="Times New Roman;serif"/>
          <w:b w:val="false"/>
          <w:color w:val="000000"/>
          <w:sz w:val="20"/>
        </w:rPr>
        <w:t>Includes accounts payable and other accrued liabilities and interest payable.</w:t>
      </w:r>
    </w:p>
    <w:p>
      <w:pPr>
        <w:pStyle w:val="TextBody"/>
        <w:bidi w:val="0"/>
        <w:spacing w:lineRule="auto" w:line="288" w:before="240" w:after="283"/>
        <w:ind w:left="0" w:right="0" w:firstLine="450"/>
        <w:jc w:val="left"/>
        <w:rPr/>
      </w:pPr>
      <w:r>
        <w:rPr>
          <w:rFonts w:ascii="Times New Roman;serif" w:hAnsi="Times New Roman;serif"/>
          <w:b w:val="false"/>
          <w:color w:val="000000"/>
          <w:sz w:val="20"/>
        </w:rPr>
        <w:t xml:space="preserve">The creditors of the VIEs generally do not have recourse to the Company’s general credit solely by virtue of being creditors of the VIEs. However, certain of the financial covenants included in the inventory financing facilities to which the VIEs are party are calculated by reference to Opendoor Labs Inc. and its consolidated subsidiaries’ assets and liabilities. As a result, under certain circumstances, this may limit the Company’s flexibility to transfer assets from Opendoor subsidiaries to the Parent Company. See </w:t>
      </w:r>
      <w:r>
        <w:rPr>
          <w:color w:val="000000"/>
        </w:rPr>
        <w:t>“</w:t>
      </w:r>
      <w:r>
        <w:rPr>
          <w:rFonts w:ascii="Times New Roman;serif" w:hAnsi="Times New Roman;serif"/>
          <w:b w:val="false"/>
          <w:i/>
          <w:color w:val="000000"/>
          <w:sz w:val="20"/>
        </w:rPr>
        <w:t>Note 5. Credit Facilities, Long-Term Debt, and Convertible Notes”</w:t>
      </w:r>
      <w:r>
        <w:rPr>
          <w:color w:val="000000"/>
        </w:rPr>
        <w:t xml:space="preserve"> </w:t>
      </w:r>
      <w:r>
        <w:rPr>
          <w:rFonts w:ascii="Times New Roman;serif" w:hAnsi="Times New Roman;serif"/>
          <w:b w:val="false"/>
          <w:color w:val="000000"/>
          <w:sz w:val="20"/>
        </w:rPr>
        <w:t>for further discussion of the recourse obligations with respect to the VIEs.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333" w:before="0" w:after="0"/>
        <w:jc w:val="left"/>
        <w:rPr/>
      </w:pPr>
      <w:hyperlink w:anchor="i65bd50e6e0134a778ca5f9a1e036512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(Tabular amounts in millions, except share and per share amounts, ratios, or as noted)</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(Unaudited)</w:t>
      </w:r>
    </w:p>
    <w:p>
      <w:pPr>
        <w:pStyle w:val="TextBody"/>
        <w:bidi w:val="0"/>
        <w:spacing w:lineRule="auto" w:line="288" w:before="240" w:after="283"/>
        <w:ind w:left="0" w:right="0" w:hanging="450"/>
        <w:jc w:val="left"/>
        <w:rPr>
          <w:rFonts w:ascii="Times New Roman;serif" w:hAnsi="Times New Roman;serif"/>
          <w:b/>
          <w:color w:val="000000"/>
          <w:sz w:val="20"/>
        </w:rPr>
      </w:pPr>
      <w:r>
        <w:rPr>
          <w:rFonts w:ascii="Times New Roman;serif" w:hAnsi="Times New Roman;serif"/>
          <w:b/>
          <w:color w:val="000000"/>
          <w:sz w:val="20"/>
        </w:rPr>
        <w:t>5.CREDIT FACILITIES, LONG-TERM DEBT, AND CONVERTIBLE NOTES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tables summarize certain details related to the Company's non-recourse asset-backed debt as of June 30, 2026 and December 31, 2025 (in millions, except interest rates):</w:t>
      </w:r>
    </w:p>
    <w:tbl>
      <w:tblPr>
        <w:tblW w:w="10205" w:type="dxa"/>
        <w:jc w:val="left"/>
        <w:tblInd w:w="0" w:type="dxa"/>
        <w:tblLayout w:type="fixed"/>
        <w:tblCellMar>
          <w:top w:w="28" w:type="dxa"/>
          <w:left w:w="28" w:type="dxa"/>
          <w:bottom w:w="28" w:type="dxa"/>
          <w:right w:w="28" w:type="dxa"/>
        </w:tblCellMar>
      </w:tblPr>
      <w:tblGrid>
        <w:gridCol w:w="668"/>
        <w:gridCol w:w="588"/>
        <w:gridCol w:w="576"/>
        <w:gridCol w:w="109"/>
        <w:gridCol w:w="109"/>
        <w:gridCol w:w="109"/>
        <w:gridCol w:w="201"/>
        <w:gridCol w:w="572"/>
        <w:gridCol w:w="113"/>
        <w:gridCol w:w="109"/>
        <w:gridCol w:w="109"/>
        <w:gridCol w:w="109"/>
        <w:gridCol w:w="196"/>
        <w:gridCol w:w="421"/>
        <w:gridCol w:w="109"/>
        <w:gridCol w:w="109"/>
        <w:gridCol w:w="109"/>
        <w:gridCol w:w="109"/>
        <w:gridCol w:w="239"/>
        <w:gridCol w:w="678"/>
        <w:gridCol w:w="134"/>
        <w:gridCol w:w="109"/>
        <w:gridCol w:w="109"/>
        <w:gridCol w:w="109"/>
        <w:gridCol w:w="297"/>
        <w:gridCol w:w="259"/>
        <w:gridCol w:w="459"/>
        <w:gridCol w:w="109"/>
        <w:gridCol w:w="109"/>
        <w:gridCol w:w="109"/>
        <w:gridCol w:w="546"/>
        <w:gridCol w:w="546"/>
        <w:gridCol w:w="548"/>
        <w:gridCol w:w="109"/>
        <w:gridCol w:w="109"/>
        <w:gridCol w:w="109"/>
        <w:gridCol w:w="354"/>
        <w:gridCol w:w="303"/>
        <w:gridCol w:w="436"/>
      </w:tblGrid>
      <w:tr>
        <w:trPr/>
        <w:tc>
          <w:tcPr>
            <w:tcW w:w="66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r>
      <w:tr>
        <w:trPr/>
        <w:tc>
          <w:tcPr>
            <w:tcW w:w="1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Outstanding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333" w:before="53" w:after="283"/>
              <w:jc w:val="center"/>
              <w:rPr>
                <w:rFonts w:ascii="Times New Roman;serif" w:hAnsi="Times New Roman;serif"/>
                <w:b/>
                <w:color w:val="000000"/>
                <w:sz w:val="16"/>
              </w:rPr>
            </w:pPr>
            <w:r>
              <w:rPr>
                <w:rFonts w:ascii="Times New Roman;serif" w:hAnsi="Times New Roman;serif"/>
                <w:b/>
                <w:color w:val="000000"/>
                <w:sz w:val="16"/>
              </w:rPr>
              <w:t>Borrowing</w:t>
            </w:r>
          </w:p>
          <w:p>
            <w:pPr>
              <w:pStyle w:val="TableContents"/>
              <w:bidi w:val="0"/>
              <w:spacing w:lineRule="auto" w:line="333" w:before="0" w:after="30"/>
              <w:jc w:val="center"/>
              <w:rPr>
                <w:rFonts w:ascii="Times New Roman;serif" w:hAnsi="Times New Roman;serif"/>
                <w:b/>
                <w:color w:val="000000"/>
                <w:sz w:val="16"/>
              </w:rPr>
            </w:pPr>
            <w:r>
              <w:rPr>
                <w:rFonts w:ascii="Times New Roman;serif" w:hAnsi="Times New Roman;serif"/>
                <w:b/>
                <w:color w:val="000000"/>
                <w:sz w:val="16"/>
              </w:rPr>
              <w:t>Capacity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0" w:after="283"/>
              <w:jc w:val="center"/>
              <w:rPr>
                <w:rFonts w:ascii="Times New Roman;serif" w:hAnsi="Times New Roman;serif"/>
                <w:b/>
                <w:color w:val="000000"/>
                <w:sz w:val="16"/>
              </w:rPr>
            </w:pPr>
            <w:r>
              <w:rPr>
                <w:rFonts w:ascii="Times New Roman;serif" w:hAnsi="Times New Roman;serif"/>
                <w:b/>
                <w:color w:val="000000"/>
                <w:sz w:val="16"/>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0" w:after="283"/>
              <w:jc w:val="center"/>
              <w:rPr>
                <w:rFonts w:ascii="Times New Roman;serif" w:hAnsi="Times New Roman;serif"/>
                <w:b/>
                <w:color w:val="000000"/>
                <w:sz w:val="16"/>
              </w:rPr>
            </w:pPr>
            <w:r>
              <w:rPr>
                <w:rFonts w:ascii="Times New Roman;serif" w:hAnsi="Times New Roman;serif"/>
                <w:b/>
                <w:color w:val="000000"/>
                <w:sz w:val="16"/>
              </w:rPr>
              <w:t>Non-Current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lineRule="auto" w:line="333" w:before="53" w:after="283"/>
              <w:jc w:val="center"/>
              <w:rPr>
                <w:rFonts w:ascii="Times New Roman;serif" w:hAnsi="Times New Roman;serif"/>
                <w:b/>
                <w:color w:val="000000"/>
                <w:sz w:val="16"/>
              </w:rPr>
            </w:pPr>
            <w:r>
              <w:rPr>
                <w:rFonts w:ascii="Times New Roman;serif" w:hAnsi="Times New Roman;serif"/>
                <w:b/>
                <w:color w:val="000000"/>
                <w:sz w:val="16"/>
              </w:rPr>
              <w:t>Weighted</w:t>
            </w:r>
          </w:p>
          <w:p>
            <w:pPr>
              <w:pStyle w:val="TableContents"/>
              <w:bidi w:val="0"/>
              <w:spacing w:lineRule="auto" w:line="333" w:before="0" w:after="0"/>
              <w:jc w:val="center"/>
              <w:rPr>
                <w:rFonts w:ascii="Times New Roman;serif" w:hAnsi="Times New Roman;serif"/>
                <w:b/>
                <w:color w:val="000000"/>
                <w:sz w:val="16"/>
              </w:rPr>
            </w:pPr>
            <w:r>
              <w:rPr>
                <w:rFonts w:ascii="Times New Roman;serif" w:hAnsi="Times New Roman;serif"/>
                <w:b/>
                <w:color w:val="000000"/>
                <w:sz w:val="16"/>
              </w:rPr>
              <w:t>Average</w:t>
            </w:r>
          </w:p>
          <w:p>
            <w:pPr>
              <w:pStyle w:val="TableContents"/>
              <w:bidi w:val="0"/>
              <w:spacing w:lineRule="auto" w:line="333" w:before="0" w:after="30"/>
              <w:jc w:val="center"/>
              <w:rPr>
                <w:rFonts w:ascii="Times New Roman;serif" w:hAnsi="Times New Roman;serif"/>
                <w:b/>
                <w:color w:val="000000"/>
                <w:sz w:val="16"/>
              </w:rPr>
            </w:pPr>
            <w:r>
              <w:rPr>
                <w:rFonts w:ascii="Times New Roman;serif" w:hAnsi="Times New Roman;serif"/>
                <w:b/>
                <w:color w:val="000000"/>
                <w:sz w:val="16"/>
              </w:rP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cMar>
              <w:top w:w="0" w:type="dxa"/>
              <w:left w:w="0" w:type="dxa"/>
              <w:bottom w:w="0" w:type="dxa"/>
              <w:right w:w="0" w:type="dxa"/>
            </w:tcMar>
            <w:vAlign w:val="center"/>
          </w:tcPr>
          <w:p>
            <w:pPr>
              <w:pStyle w:val="TableContents"/>
              <w:bidi w:val="0"/>
              <w:spacing w:lineRule="auto" w:line="288" w:before="53" w:after="283"/>
              <w:jc w:val="center"/>
              <w:rPr>
                <w:rFonts w:ascii="Times New Roman;serif" w:hAnsi="Times New Roman;serif"/>
                <w:b/>
                <w:color w:val="000000"/>
                <w:sz w:val="16"/>
              </w:rPr>
            </w:pPr>
            <w:r>
              <w:rPr>
                <w:rFonts w:ascii="Times New Roman;serif" w:hAnsi="Times New Roman;serif"/>
                <w:b/>
                <w:color w:val="000000"/>
                <w:sz w:val="16"/>
              </w:rPr>
              <w:t>End of Revolving / Withdrawal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lineRule="auto" w:line="333" w:before="53" w:after="283"/>
              <w:jc w:val="center"/>
              <w:rPr>
                <w:rFonts w:ascii="Times New Roman;serif" w:hAnsi="Times New Roman;serif"/>
                <w:b/>
                <w:color w:val="000000"/>
                <w:sz w:val="16"/>
              </w:rPr>
            </w:pPr>
            <w:r>
              <w:rPr>
                <w:rFonts w:ascii="Times New Roman;serif" w:hAnsi="Times New Roman;serif"/>
                <w:b/>
                <w:color w:val="000000"/>
                <w:sz w:val="16"/>
              </w:rPr>
              <w:t>Final Maturity</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Date</w:t>
            </w:r>
          </w:p>
        </w:tc>
      </w:tr>
      <w:tr>
        <w:trPr/>
        <w:tc>
          <w:tcPr>
            <w:tcW w:w="18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Non-Recourse Asset-backed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Asset-backed Senior Revolving Credit Facilities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Revolving Facility 2018-2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June 25,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June 25, 2027</w:t>
            </w:r>
          </w:p>
        </w:tc>
      </w:tr>
      <w:tr>
        <w:trPr/>
        <w:tc>
          <w:tcPr>
            <w:tcW w:w="18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Revolving Facility 2018-3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6.56 </w:t>
            </w:r>
          </w:p>
        </w:tc>
        <w:tc>
          <w:tcPr>
            <w:tcW w:w="4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December 11,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December 11, 2028</w:t>
            </w:r>
          </w:p>
        </w:tc>
      </w:tr>
      <w:tr>
        <w:trPr/>
        <w:tc>
          <w:tcPr>
            <w:tcW w:w="18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Revolving Facility 2019-1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February 18,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February 18, 2027</w:t>
            </w:r>
          </w:p>
        </w:tc>
      </w:tr>
      <w:tr>
        <w:trPr/>
        <w:tc>
          <w:tcPr>
            <w:tcW w:w="18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Revolving Facility 2019-2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6.50 </w:t>
            </w:r>
          </w:p>
        </w:tc>
        <w:tc>
          <w:tcPr>
            <w:tcW w:w="4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October 2,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October 1, 2027</w:t>
            </w:r>
          </w:p>
        </w:tc>
      </w:tr>
      <w:tr>
        <w:trPr/>
        <w:tc>
          <w:tcPr>
            <w:tcW w:w="18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Revolving Facility 2019-3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6.58 </w:t>
            </w:r>
          </w:p>
        </w:tc>
        <w:tc>
          <w:tcPr>
            <w:tcW w:w="4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April 5,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April 4, 2029</w:t>
            </w:r>
          </w:p>
        </w:tc>
      </w:tr>
      <w:tr>
        <w:trPr/>
        <w:tc>
          <w:tcPr>
            <w:tcW w:w="1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8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Asset-backed Senior Term Debt Facilities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Term Debt Facility 2021-S1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6.41 </w:t>
            </w:r>
          </w:p>
        </w:tc>
        <w:tc>
          <w:tcPr>
            <w:tcW w:w="4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February 24,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August 24, 2027</w:t>
            </w:r>
          </w:p>
        </w:tc>
      </w:tr>
      <w:tr>
        <w:trPr/>
        <w:tc>
          <w:tcPr>
            <w:tcW w:w="1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8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Term Debt Facility 2021-S3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3.75 </w:t>
            </w:r>
          </w:p>
        </w:tc>
        <w:tc>
          <w:tcPr>
            <w:tcW w:w="4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January 31,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July 31, 2027</w:t>
            </w:r>
          </w:p>
        </w:tc>
      </w:tr>
      <w:tr>
        <w:trPr/>
        <w:tc>
          <w:tcPr>
            <w:tcW w:w="1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8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4,200 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725 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Carrying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723 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Asset-backed Mezzanine Term Debt Facilities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8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Term Debt Facility 2020-M1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12.50 </w:t>
            </w:r>
          </w:p>
        </w:tc>
        <w:tc>
          <w:tcPr>
            <w:tcW w:w="4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February 25,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February 25, 2029</w:t>
            </w:r>
          </w:p>
        </w:tc>
      </w:tr>
      <w:tr>
        <w:trPr/>
        <w:tc>
          <w:tcPr>
            <w:tcW w:w="18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Term Debt Facility 2022-M1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12.50 </w:t>
            </w:r>
          </w:p>
        </w:tc>
        <w:tc>
          <w:tcPr>
            <w:tcW w:w="4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January 31,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November 1, 2027</w:t>
            </w:r>
          </w:p>
        </w:tc>
      </w:tr>
      <w:tr>
        <w:trPr/>
        <w:tc>
          <w:tcPr>
            <w:tcW w:w="18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3,250 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350 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Carrying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348 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Non-Recourse Asset-backed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7,450 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1,071 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333" w:before="0" w:after="0"/>
        <w:jc w:val="left"/>
        <w:rPr/>
      </w:pPr>
      <w:hyperlink w:anchor="i65bd50e6e0134a778ca5f9a1e036512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(Tabular amounts in millions, except share and per share amounts, ratios, or as noted)</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(Unaudited)</w:t>
      </w:r>
    </w:p>
    <w:tbl>
      <w:tblPr>
        <w:tblW w:w="7328" w:type="dxa"/>
        <w:jc w:val="left"/>
        <w:tblInd w:w="0" w:type="dxa"/>
        <w:tblLayout w:type="fixed"/>
        <w:tblCellMar>
          <w:top w:w="28" w:type="dxa"/>
          <w:left w:w="28" w:type="dxa"/>
          <w:bottom w:w="28" w:type="dxa"/>
          <w:right w:w="28" w:type="dxa"/>
        </w:tblCellMar>
      </w:tblPr>
      <w:tblGrid>
        <w:gridCol w:w="1230"/>
        <w:gridCol w:w="1086"/>
        <w:gridCol w:w="1089"/>
        <w:gridCol w:w="109"/>
        <w:gridCol w:w="109"/>
        <w:gridCol w:w="109"/>
        <w:gridCol w:w="196"/>
        <w:gridCol w:w="406"/>
        <w:gridCol w:w="109"/>
        <w:gridCol w:w="109"/>
        <w:gridCol w:w="109"/>
        <w:gridCol w:w="109"/>
        <w:gridCol w:w="239"/>
        <w:gridCol w:w="678"/>
        <w:gridCol w:w="134"/>
        <w:gridCol w:w="109"/>
        <w:gridCol w:w="109"/>
        <w:gridCol w:w="109"/>
        <w:gridCol w:w="280"/>
        <w:gridCol w:w="276"/>
        <w:gridCol w:w="624"/>
      </w:tblGrid>
      <w:tr>
        <w:trPr/>
        <w:tc>
          <w:tcPr>
            <w:tcW w:w="1230"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Outstanding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0" w:after="283"/>
              <w:jc w:val="center"/>
              <w:rPr>
                <w:rFonts w:ascii="Times New Roman;serif" w:hAnsi="Times New Roman;serif"/>
                <w:b/>
                <w:color w:val="000000"/>
                <w:sz w:val="16"/>
              </w:rPr>
            </w:pPr>
            <w:r>
              <w:rPr>
                <w:rFonts w:ascii="Times New Roman;serif" w:hAnsi="Times New Roman;serif"/>
                <w:b/>
                <w:color w:val="000000"/>
                <w:sz w:val="16"/>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0" w:after="283"/>
              <w:jc w:val="center"/>
              <w:rPr>
                <w:rFonts w:ascii="Times New Roman;serif" w:hAnsi="Times New Roman;serif"/>
                <w:b/>
                <w:color w:val="000000"/>
                <w:sz w:val="16"/>
              </w:rPr>
            </w:pPr>
            <w:r>
              <w:rPr>
                <w:rFonts w:ascii="Times New Roman;serif" w:hAnsi="Times New Roman;serif"/>
                <w:b/>
                <w:color w:val="000000"/>
                <w:sz w:val="16"/>
              </w:rPr>
              <w:t>Non-Current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lineRule="auto" w:line="333" w:before="53" w:after="283"/>
              <w:jc w:val="center"/>
              <w:rPr>
                <w:rFonts w:ascii="Times New Roman;serif" w:hAnsi="Times New Roman;serif"/>
                <w:b/>
                <w:color w:val="000000"/>
                <w:sz w:val="16"/>
              </w:rPr>
            </w:pPr>
            <w:r>
              <w:rPr>
                <w:rFonts w:ascii="Times New Roman;serif" w:hAnsi="Times New Roman;serif"/>
                <w:b/>
                <w:color w:val="000000"/>
                <w:sz w:val="16"/>
              </w:rPr>
              <w:t>Weighted</w:t>
            </w:r>
          </w:p>
          <w:p>
            <w:pPr>
              <w:pStyle w:val="TableContents"/>
              <w:bidi w:val="0"/>
              <w:spacing w:lineRule="auto" w:line="333" w:before="0" w:after="0"/>
              <w:jc w:val="center"/>
              <w:rPr>
                <w:rFonts w:ascii="Times New Roman;serif" w:hAnsi="Times New Roman;serif"/>
                <w:b/>
                <w:color w:val="000000"/>
                <w:sz w:val="16"/>
              </w:rPr>
            </w:pPr>
            <w:r>
              <w:rPr>
                <w:rFonts w:ascii="Times New Roman;serif" w:hAnsi="Times New Roman;serif"/>
                <w:b/>
                <w:color w:val="000000"/>
                <w:sz w:val="16"/>
              </w:rPr>
              <w:t>Average</w:t>
            </w:r>
          </w:p>
          <w:p>
            <w:pPr>
              <w:pStyle w:val="TableContents"/>
              <w:bidi w:val="0"/>
              <w:spacing w:lineRule="auto" w:line="333" w:before="0" w:after="30"/>
              <w:jc w:val="center"/>
              <w:rPr>
                <w:rFonts w:ascii="Times New Roman;serif" w:hAnsi="Times New Roman;serif"/>
                <w:b/>
                <w:color w:val="000000"/>
                <w:sz w:val="16"/>
              </w:rPr>
            </w:pPr>
            <w:r>
              <w:rPr>
                <w:rFonts w:ascii="Times New Roman;serif" w:hAnsi="Times New Roman;serif"/>
                <w:b/>
                <w:color w:val="000000"/>
                <w:sz w:val="16"/>
              </w:rPr>
              <w:t>Interest Rate</w:t>
            </w:r>
          </w:p>
        </w:tc>
      </w:tr>
      <w:tr>
        <w:trPr/>
        <w:tc>
          <w:tcPr>
            <w:tcW w:w="34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Non-Recourse Asset-backed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Asset-backed Senior Revolving Credit Facilities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Revolving Facility 2018-2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Revolving Facility 2018-3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7.28 </w:t>
            </w:r>
          </w:p>
        </w:tc>
        <w:tc>
          <w:tcPr>
            <w:tcW w:w="6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Revolving Facility 2019-1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7.24 </w:t>
            </w:r>
          </w:p>
        </w:tc>
        <w:tc>
          <w:tcPr>
            <w:tcW w:w="6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Revolving Facility 2019-2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7.15 </w:t>
            </w:r>
          </w:p>
        </w:tc>
        <w:tc>
          <w:tcPr>
            <w:tcW w:w="6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Revolving Facility 2019-3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7.28 </w:t>
            </w:r>
          </w:p>
        </w:tc>
        <w:tc>
          <w:tcPr>
            <w:tcW w:w="6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Asset-backed Senior Term Debt Facilities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Term Debt Facility 2021-S1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6.03 </w:t>
            </w:r>
          </w:p>
        </w:tc>
        <w:tc>
          <w:tcPr>
            <w:tcW w:w="6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Term Debt Facility 2021-S2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3.57 </w:t>
            </w:r>
          </w:p>
        </w:tc>
        <w:tc>
          <w:tcPr>
            <w:tcW w:w="6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Term Debt Facility 2021-S3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3.75 </w:t>
            </w:r>
          </w:p>
        </w:tc>
        <w:tc>
          <w:tcPr>
            <w:tcW w:w="6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Term Debt Facility 2022-S1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725 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Carrying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722 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Asset-backed Mezzanine Term Debt Facilities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Term Debt Facility 2020-M1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12.12 </w:t>
            </w:r>
          </w:p>
        </w:tc>
        <w:tc>
          <w:tcPr>
            <w:tcW w:w="6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Term Debt Facility 2022-M1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12.31 </w:t>
            </w:r>
          </w:p>
        </w:tc>
        <w:tc>
          <w:tcPr>
            <w:tcW w:w="6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350 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Carrying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346 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Non-Recourse Asset-backed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1,068 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Non-Recourse Asset-backed Debt</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utilizes inventory financing facilities consisting of asset-backed senior debt facilities and asset-backed mezzanine term debt facilities to provide financing for the Company’s real estate inventory purchases and renovation. These inventory financing facilities are typically secured by some combination of restricted cash, equity in real estate owning subsidiaries and related holding companies, and, for senior facilities, the real estate inventory financed by the relevant facility and/or beneficial interests in such inventory.</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Each of the borrowers under the inventory financing facilities is a consolidated subsidiary of Opendoor and a separate legal entity. Neither the assets nor credit of any such borrower subsidiaries are generally available to satisfy the debts and other obligations of any other Opendoor entities. The inventory financing facilities are non-recourse to the Company and are non-recourse to Opendoor subsidiaries not party to the relevant facilities, except for limited guarantees provided by an Opendoor subsidiary for certain obligations involving “bad acts” by an Opendoor entity and certain other limited circumstances.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 had total borrowing capacity with respect to its non-recourse asset-backed debt of $7.5 billion. Borrowing capacity amounts under non-recourse asset-backed debt as reflected in the table above are in some cases not fully committed and any borrowings above the committed amounts are subject to the applicable lender’s discretion. Any amounts repaid for senior term and mezzanine term debt facilities reduce total borrowing capacity as repaid amounts are not available to be reborrowed. As of June 30, 2026, the Company had committed borrowing capacity with respect to the Company’s non-recourse asset-backed debt of $1.5 billion; this committed borrowing capacity is comprised of $400 million for senior revolving credit facilities, $725 million for senior term debt facilities, and $350 million for mezzanine term debt facilities.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333" w:before="0" w:after="0"/>
        <w:jc w:val="left"/>
        <w:rPr/>
      </w:pPr>
      <w:hyperlink w:anchor="i65bd50e6e0134a778ca5f9a1e036512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(Tabular amounts in millions, except share and per share amounts, ratios, or as noted)</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(Unaudited)</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Asset-backed Senior Revolving Credit Facilities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classifies the senior revolving credit facilities as current liabilities on the Company’s condensed consolidated balance sheets as amounts drawn to acquire and renovate homes are required to be repaid as the related real estate inventory is sold, which the Company expects to occur within 12 months.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senior revolving credit facilities are typically structured with an initial revolving period of up to 24 months, as may be amended and extended from time to time, during which time amounts can be borrowed, repaid and borrowed again. The borrowing capacity is generally available until the end of the applicable revolving period as reflected in the table above. Outstanding amounts drawn under each senior revolving credit facility are required to be repaid on the facility maturity date or earlier if accelerated due to an event of default or other mandatory repayment event. The final maturity dates and revolving period end dates reflected in the table above are inclusive of any extensions that are at the sole discretion of the Company. These facilities may also have extensions subject to lender discretion that are not reflected in the table above. </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Borrowings under the senior revolving credit facilities accrue interest at various floating rates based on a secured overnight financing rate (“SOFR”), plus a margin that varies by facility. The Company may also pay fees on certain unused portions of committed borrowing capacity. The Company’s senior revolving credit facility arrangements typically include upfront fees that may be paid at execution of the applicable agreements or be earned at execution and payable over time. These facilities are generally fully prepayable at any time without penalty other than customary breakage costs.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senior revolving credit facilities have aggregated borrowing bases, which increase or decrease based on the cost and value of the properties financed under a given facility and the time that those properties are in the Company’s possession. When the Company resells a home, the proceeds are used to reduce the outstanding balance under the related senior revolving credit facility. The borrowing base for a given facility may be reduced as properties age beyond certain thresholds or the performance of the properties financed under that facility declines, and any borrowing base deficiencies may be satisfied through contributions of additional properties or partial repayment of the facility.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Asset-backed Senior Term Debt Facilities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classifies its senior term debt facilities as current or non-current liabilities on the Company’s condensed consolidated balance sheets based on the applicable final maturity date.</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senior term debt facilities are typically structured with an initial withdrawal period up to 60 months, as may be amended and extended from time to time, during which the outstanding principal amounts are generally not required to be repaid when homes financed through those facilities are sold and instead are intended to remain outstanding until final maturity for each facility. Outstanding amounts drawn under each senior term debt facility are required to be repaid on the facility maturity date or earlier if accelerated due to an event of default or other mandatory repayment event. The final maturity dates and withdrawal period end dates reflected in the table above are inclusive of any extensions that are at the sole discretion of the Company. These facilities may also have extensions subject to lender discretion that are not reflected in the table above.</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Borrowings under the senior term debt facilities accrue interest at a fixed rate or at a floating rate based on SOFR, plus a margin. The Company’s senior term debt facilities may include upfront issuance costs that are capitalized as part of the facilities' respective carrying values. These facilities are fully prepayable at any time but may be subject to certain customary prepayment penalties.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senior term debt facilities have aggregated property borrowing bases, which increase or decrease based on the cost and value of the properties financed under a given facility, the time those properties are in the Company’s possession and the amount of cash collateral pledged by the relevant borrowers. The borrowing base for a given facility may be reduced as properties age or collateral performance declines beyond certain thresholds, and any borrowing base deficiencies may be satisfied through contributions of additional properties, cash or through partial repayment of the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333" w:before="0" w:after="0"/>
        <w:jc w:val="left"/>
        <w:rPr/>
      </w:pPr>
      <w:hyperlink w:anchor="i65bd50e6e0134a778ca5f9a1e036512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(Tabular amounts in millions, except share and per share amounts, ratios, or as noted)</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(Unaudited)</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Asset-backed Mezzanine Term Debt Facilities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classifies its mezzanine term debt facilities as current or non-current liabilities on the Company’s condensed consolidated balance sheets based on the applicable final maturity date. These facilities are structurally and contractually subordinated to the related asset-backed senior debt facilities.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mezzanine term debt facilities have been structured with an initial withdrawal period of up to 42 months, as may be amended and extended from time to time, during which the outstanding principal amounts are generally not required to be repaid when homes financed through those facilities are sold and instead are intended to remain outstanding until final maturity. Outstanding amounts drawn under the mezzanine term debt facilities are required to be repaid on the facility maturity date or earlier if accelerated due to an event of default or other mandatory repayment event. The final maturity date and withdrawal period end date reflected in the table above are inclusive of any extensions that are at the sole discretion of the Company. These facilities may also have extensions subject to lender discretion that are not reflected in the table above.</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Borrowings under a given mezzanine term debt facility accrue interest at a fixed rate. The Company’s mezzanine term debt facilities include upfront issuance costs that are capitalized as part of the facilities’ respective carrying values. These facilities are fully prepayable at any time but may be subject to certain prepayment penalties.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mezzanine term debt facilities have aggregated property borrowing bases, which increase or decrease based on the cost and value of the properties financed under a given facility and time in the Company’s possession of those properties and the amount of cash collateral pledged by the relevant borrowers. The borrowing base for a given facility may be reduced as properties age or collateral performance declines beyond certain thresholds, and any borrowing base deficiencies may be satisfied through contributions of additional properties, cash or through partial repayment of the facility.</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Covenants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Company’s inventory financing facilities include customary representations and warranties, covenants and events of default. Financed properties are subject to customary eligibility criteria and concentration limits.</w:t>
      </w:r>
    </w:p>
    <w:p>
      <w:pPr>
        <w:pStyle w:val="TextBody"/>
        <w:bidi w:val="0"/>
        <w:spacing w:lineRule="auto" w:line="288" w:before="240" w:after="283"/>
        <w:ind w:left="0" w:right="0" w:firstLine="450"/>
        <w:jc w:val="left"/>
        <w:rPr/>
      </w:pPr>
      <w:r>
        <w:rPr>
          <w:rFonts w:ascii="Times New Roman;serif" w:hAnsi="Times New Roman;serif"/>
          <w:b w:val="false"/>
          <w:color w:val="000000"/>
          <w:sz w:val="20"/>
        </w:rPr>
        <w:t>The terms of these inventory financing facilities and related financing documents require an Opendoor subsidiary to comply with customary financial covenants, such as maintaining certain levels of liquidity, tangible net worth or leverage (ratio of debt to tangible net worth). Certain of these financial covenants are calculated by reference to Opendoor Labs Inc. and its consolidated subsidiaries’ assets and liabilities. As a result, under certain circumstances, this may limit the Company’s flexibility to transfer assets from Opendoor subsidiaries to the Parent Company. At June 30, 2026 and December 31, 2025, $230 million and $200 million, respectively, of the Company’s net assets were restricted as they reflect minimum net asset requirements at Opendoor Labs Inc. As of June 30, 2026, the Company was in compliance</w:t>
      </w:r>
      <w:r>
        <w:rPr>
          <w:color w:val="0094FF"/>
        </w:rPr>
        <w:t xml:space="preserve"> </w:t>
      </w:r>
      <w:r>
        <w:rPr>
          <w:rFonts w:ascii="Times New Roman;serif" w:hAnsi="Times New Roman;serif"/>
          <w:b w:val="false"/>
          <w:color w:val="000000"/>
          <w:sz w:val="20"/>
        </w:rPr>
        <w:t>with all financial covenants and no event of default had occurred.</w:t>
      </w:r>
    </w:p>
    <w:p>
      <w:pPr>
        <w:pStyle w:val="TextBody"/>
        <w:bidi w:val="0"/>
        <w:spacing w:lineRule="auto" w:line="288" w:before="240" w:after="283"/>
        <w:jc w:val="left"/>
        <w:rPr/>
      </w:pPr>
      <w:r>
        <w:rPr>
          <w:rFonts w:ascii="Times New Roman;serif" w:hAnsi="Times New Roman;serif"/>
          <w:b/>
          <w:i/>
          <w:color w:val="000000"/>
          <w:sz w:val="20"/>
        </w:rPr>
        <w:t>Convertible Senior Notes</w:t>
      </w:r>
      <w:r>
        <w:rPr>
          <w:color w:val="EE2724"/>
        </w:rPr>
        <w:t xml:space="preserve"> </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August 2021, the Company issued 0.25% convertible senior notes due 2026 (the “2026 Notes”) and in May 2025, the Company issued 7.00% convertible senior notes due 2030 (the “2030 Notes”; collectively with the 2026 Notes, “Convertible Senior Notes”). The following tables summarize certain details related to the Convertible Senior Notes (in millions, except interest rates):</w:t>
      </w:r>
    </w:p>
    <w:tbl>
      <w:tblPr>
        <w:tblW w:w="10205" w:type="dxa"/>
        <w:jc w:val="left"/>
        <w:tblInd w:w="0" w:type="dxa"/>
        <w:tblLayout w:type="fixed"/>
        <w:tblCellMar>
          <w:top w:w="28" w:type="dxa"/>
          <w:left w:w="28" w:type="dxa"/>
          <w:bottom w:w="28" w:type="dxa"/>
          <w:right w:w="28" w:type="dxa"/>
        </w:tblCellMar>
      </w:tblPr>
      <w:tblGrid>
        <w:gridCol w:w="824"/>
        <w:gridCol w:w="725"/>
        <w:gridCol w:w="725"/>
        <w:gridCol w:w="109"/>
        <w:gridCol w:w="109"/>
        <w:gridCol w:w="109"/>
        <w:gridCol w:w="670"/>
        <w:gridCol w:w="1486"/>
        <w:gridCol w:w="350"/>
        <w:gridCol w:w="109"/>
        <w:gridCol w:w="109"/>
        <w:gridCol w:w="109"/>
        <w:gridCol w:w="844"/>
        <w:gridCol w:w="1625"/>
        <w:gridCol w:w="440"/>
        <w:gridCol w:w="109"/>
        <w:gridCol w:w="109"/>
        <w:gridCol w:w="109"/>
        <w:gridCol w:w="388"/>
        <w:gridCol w:w="857"/>
        <w:gridCol w:w="290"/>
      </w:tblGrid>
      <w:tr>
        <w:trPr/>
        <w:tc>
          <w:tcPr>
            <w:tcW w:w="824"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22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3"/>
            <w:tcBorders/>
            <w:tcMar>
              <w:top w:w="0" w:type="dxa"/>
              <w:left w:w="0" w:type="dxa"/>
              <w:bottom w:w="0" w:type="dxa"/>
              <w:right w:w="0" w:type="dxa"/>
            </w:tcMar>
            <w:vAlign w:val="center"/>
          </w:tcPr>
          <w:p>
            <w:pPr>
              <w:pStyle w:val="TableContents"/>
              <w:bidi w:val="0"/>
              <w:spacing w:lineRule="auto" w:line="333" w:before="53" w:after="283"/>
              <w:jc w:val="center"/>
              <w:rPr>
                <w:rFonts w:ascii="Times New Roman;serif" w:hAnsi="Times New Roman;serif"/>
                <w:b/>
                <w:color w:val="000000"/>
                <w:sz w:val="16"/>
              </w:rPr>
            </w:pPr>
            <w:r>
              <w:rPr>
                <w:rFonts w:ascii="Times New Roman;serif" w:hAnsi="Times New Roman;serif"/>
                <w:b/>
                <w:color w:val="000000"/>
                <w:sz w:val="16"/>
              </w:rPr>
              <w:t>Remaining Aggregate Principal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Unamortized Debt Discount and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 Carrying Amount</w:t>
            </w:r>
          </w:p>
        </w:tc>
      </w:tr>
      <w:tr>
        <w:trPr/>
        <w:tc>
          <w:tcPr>
            <w:tcW w:w="22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2030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Convertible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3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4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333" w:before="0" w:after="0"/>
        <w:jc w:val="left"/>
        <w:rPr/>
      </w:pPr>
      <w:hyperlink w:anchor="i65bd50e6e0134a778ca5f9a1e036512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(Tabular amounts in millions, except share and per share amounts, ratios, or as noted)</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(Unaudited)</w:t>
      </w:r>
    </w:p>
    <w:tbl>
      <w:tblPr>
        <w:tblW w:w="10205" w:type="dxa"/>
        <w:jc w:val="left"/>
        <w:tblInd w:w="0" w:type="dxa"/>
        <w:tblLayout w:type="fixed"/>
        <w:tblCellMar>
          <w:top w:w="28" w:type="dxa"/>
          <w:left w:w="28" w:type="dxa"/>
          <w:bottom w:w="28" w:type="dxa"/>
          <w:right w:w="28" w:type="dxa"/>
        </w:tblCellMar>
      </w:tblPr>
      <w:tblGrid>
        <w:gridCol w:w="858"/>
        <w:gridCol w:w="709"/>
        <w:gridCol w:w="707"/>
        <w:gridCol w:w="109"/>
        <w:gridCol w:w="109"/>
        <w:gridCol w:w="109"/>
        <w:gridCol w:w="670"/>
        <w:gridCol w:w="1486"/>
        <w:gridCol w:w="350"/>
        <w:gridCol w:w="109"/>
        <w:gridCol w:w="109"/>
        <w:gridCol w:w="109"/>
        <w:gridCol w:w="844"/>
        <w:gridCol w:w="1625"/>
        <w:gridCol w:w="440"/>
        <w:gridCol w:w="109"/>
        <w:gridCol w:w="109"/>
        <w:gridCol w:w="109"/>
        <w:gridCol w:w="388"/>
        <w:gridCol w:w="857"/>
        <w:gridCol w:w="290"/>
      </w:tblGrid>
      <w:tr>
        <w:trPr/>
        <w:tc>
          <w:tcPr>
            <w:tcW w:w="858"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22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3"/>
            <w:tcBorders/>
            <w:tcMar>
              <w:top w:w="0" w:type="dxa"/>
              <w:left w:w="0" w:type="dxa"/>
              <w:bottom w:w="0" w:type="dxa"/>
              <w:right w:w="0" w:type="dxa"/>
            </w:tcMar>
            <w:vAlign w:val="center"/>
          </w:tcPr>
          <w:p>
            <w:pPr>
              <w:pStyle w:val="TableContents"/>
              <w:bidi w:val="0"/>
              <w:spacing w:lineRule="auto" w:line="333" w:before="53" w:after="283"/>
              <w:jc w:val="center"/>
              <w:rPr>
                <w:rFonts w:ascii="Times New Roman;serif" w:hAnsi="Times New Roman;serif"/>
                <w:b/>
                <w:color w:val="000000"/>
                <w:sz w:val="16"/>
              </w:rPr>
            </w:pPr>
            <w:r>
              <w:rPr>
                <w:rFonts w:ascii="Times New Roman;serif" w:hAnsi="Times New Roman;serif"/>
                <w:b/>
                <w:color w:val="000000"/>
                <w:sz w:val="16"/>
              </w:rPr>
              <w:t>Remaining Aggregate Principal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Unamortized Debt Discount and Issuance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 Carrying Amount</w:t>
            </w:r>
          </w:p>
        </w:tc>
      </w:tr>
      <w:tr>
        <w:trPr/>
        <w:tc>
          <w:tcPr>
            <w:tcW w:w="22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2030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Convertible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3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4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34"/>
        <w:gridCol w:w="228"/>
        <w:gridCol w:w="231"/>
        <w:gridCol w:w="109"/>
        <w:gridCol w:w="109"/>
        <w:gridCol w:w="109"/>
        <w:gridCol w:w="341"/>
        <w:gridCol w:w="341"/>
        <w:gridCol w:w="342"/>
        <w:gridCol w:w="109"/>
        <w:gridCol w:w="109"/>
        <w:gridCol w:w="109"/>
        <w:gridCol w:w="391"/>
        <w:gridCol w:w="256"/>
        <w:gridCol w:w="639"/>
        <w:gridCol w:w="109"/>
        <w:gridCol w:w="109"/>
        <w:gridCol w:w="109"/>
        <w:gridCol w:w="360"/>
        <w:gridCol w:w="249"/>
        <w:gridCol w:w="623"/>
        <w:gridCol w:w="109"/>
        <w:gridCol w:w="109"/>
        <w:gridCol w:w="109"/>
        <w:gridCol w:w="562"/>
        <w:gridCol w:w="562"/>
        <w:gridCol w:w="564"/>
        <w:gridCol w:w="109"/>
        <w:gridCol w:w="109"/>
        <w:gridCol w:w="109"/>
        <w:gridCol w:w="358"/>
        <w:gridCol w:w="358"/>
        <w:gridCol w:w="359"/>
        <w:gridCol w:w="109"/>
        <w:gridCol w:w="109"/>
        <w:gridCol w:w="109"/>
        <w:gridCol w:w="244"/>
        <w:gridCol w:w="713"/>
        <w:gridCol w:w="188"/>
      </w:tblGrid>
      <w:tr>
        <w:trPr/>
        <w:tc>
          <w:tcPr>
            <w:tcW w:w="33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lineRule="auto" w:line="333" w:before="0" w:after="283"/>
              <w:jc w:val="center"/>
              <w:rPr>
                <w:rFonts w:ascii="Times New Roman;serif" w:hAnsi="Times New Roman;serif"/>
                <w:b/>
                <w:color w:val="000000"/>
                <w:sz w:val="16"/>
              </w:rPr>
            </w:pPr>
            <w:r>
              <w:rPr>
                <w:rFonts w:ascii="Times New Roman;serif" w:hAnsi="Times New Roman;serif"/>
                <w:b/>
                <w:color w:val="000000"/>
                <w:sz w:val="16"/>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cMar>
              <w:top w:w="0" w:type="dxa"/>
              <w:left w:w="0" w:type="dxa"/>
              <w:bottom w:w="0" w:type="dxa"/>
              <w:right w:w="0" w:type="dxa"/>
            </w:tcMar>
            <w:vAlign w:val="center"/>
          </w:tcPr>
          <w:p>
            <w:pPr>
              <w:pStyle w:val="TableContents"/>
              <w:bidi w:val="0"/>
              <w:spacing w:lineRule="auto" w:line="333" w:before="0" w:after="283"/>
              <w:jc w:val="center"/>
              <w:rPr>
                <w:rFonts w:ascii="Times New Roman;serif" w:hAnsi="Times New Roman;serif"/>
                <w:b/>
                <w:color w:val="000000"/>
                <w:sz w:val="16"/>
              </w:rPr>
            </w:pPr>
            <w:r>
              <w:rPr>
                <w:rFonts w:ascii="Times New Roman;serif" w:hAnsi="Times New Roman;serif"/>
                <w:b/>
                <w:color w:val="000000"/>
                <w:sz w:val="16"/>
              </w:rPr>
              <w:t>Stated Cash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Effective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Semi-Annual Interest Payment Dates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lineRule="auto" w:line="333" w:before="0" w:after="283"/>
              <w:jc w:val="center"/>
              <w:rPr>
                <w:rFonts w:ascii="Times New Roman;serif" w:hAnsi="Times New Roman;serif"/>
                <w:b/>
                <w:color w:val="000000"/>
                <w:sz w:val="16"/>
              </w:rPr>
            </w:pPr>
            <w:r>
              <w:rPr>
                <w:rFonts w:ascii="Times New Roman;serif" w:hAnsi="Times New Roman;serif"/>
                <w:b/>
                <w:color w:val="000000"/>
                <w:sz w:val="16"/>
              </w:rPr>
              <w:t>Conversion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Conversion Price</w:t>
            </w:r>
          </w:p>
        </w:tc>
      </w:tr>
      <w:tr>
        <w:trPr/>
        <w:tc>
          <w:tcPr>
            <w:tcW w:w="7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2026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August 15,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0.25 </w:t>
            </w:r>
          </w:p>
        </w:tc>
        <w:tc>
          <w:tcPr>
            <w:tcW w:w="6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0.78 </w:t>
            </w:r>
          </w:p>
        </w:tc>
        <w:tc>
          <w:tcPr>
            <w:tcW w:w="6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February 15; August 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53.7097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19.23 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2030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May 15,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6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9.48 </w:t>
            </w:r>
          </w:p>
        </w:tc>
        <w:tc>
          <w:tcPr>
            <w:tcW w:w="6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May 15; November 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637.105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2026 Notes</w:t>
      </w:r>
    </w:p>
    <w:p>
      <w:pPr>
        <w:pStyle w:val="TextBody"/>
        <w:bidi w:val="0"/>
        <w:spacing w:lineRule="auto" w:line="288" w:before="240" w:after="283"/>
        <w:ind w:left="0" w:right="0" w:firstLine="450"/>
        <w:jc w:val="left"/>
        <w:rPr/>
      </w:pPr>
      <w:r>
        <w:rPr>
          <w:rFonts w:ascii="Times New Roman;serif" w:hAnsi="Times New Roman;serif"/>
          <w:b w:val="false"/>
          <w:color w:val="000000"/>
          <w:sz w:val="20"/>
        </w:rPr>
        <w:t xml:space="preserve">Beginning on February 15, 2026 and until the close of business on the second scheduled trading day immediately preceding the maturity date, the 2026 Notes are convertible at any time at the election of each noteholder. In addition, the holders of the 2026 Notes will have the right to require the Company to repurchase all or part of their 2026 Notes if certain corporate events occur that constitute a fundamental change. Beginning on August 20, 2024, the Company has the option to redeem the 2026 Notes, in whole or in part, upon meeting certain conditions related to the price of the Company’s common stock. The redemption price will be paid in cash equal to 100% of the principal amount of the 2026 Notes to be redeemed, plus accrued and unpaid interest, if any. The conversion rate and conversion price are subject to customary adjustments under certain circumstances. In addition, if certain corporate events that constitute a make-whole fundamental change occur, then the conversion rate will, in certain circumstances, be increased for a specified period of time. Upon conversion, the Company may satisfy its obligation by paying cash for the outstanding principal balance, and, a combination of cash and the Company’s common stock, at the Company’s election, for the remaining amount, if any, based on the applicable conversion rate. Refer to </w:t>
      </w:r>
      <w:r>
        <w:rPr>
          <w:rFonts w:ascii="Times New Roman;serif" w:hAnsi="Times New Roman;serif"/>
          <w:b w:val="false"/>
          <w:i/>
          <w:color w:val="000000"/>
          <w:sz w:val="20"/>
        </w:rPr>
        <w:t xml:space="preserve">2030 Notes </w:t>
      </w:r>
      <w:r>
        <w:rPr>
          <w:rFonts w:ascii="Times New Roman;serif" w:hAnsi="Times New Roman;serif"/>
          <w:b w:val="false"/>
          <w:color w:val="000000"/>
          <w:sz w:val="20"/>
        </w:rPr>
        <w:t>section below for information regarding the extinguishment of certain 2026 Notes.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2030 Notes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May 2025, the Company entered into privately negotiated transactions with certain holders of the 2026 Notes and new investors, pursuant to which the Company issued $325 million aggregate principal amount of 2030 Notes consisting of (i) $246 million aggregate principal amount of 2030 Notes issued in exchange for $246 million principal amount of 2026 Notes (the “Debt Exchange") and (ii) $79 million aggregate principal amount of 2030 Notes issued for cash. Such transactions resulted in gross cash proceeds of $75 million, excluding certain fees and other offering expenses, and represent an issue price of 95%. The Company accounted for the Debt Exchange of the 2026 Notes as a debt extinguishment and recorded $10 million of gain on debt extinguishment, included within the Company's condensed consolidated statements of operations. </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2030 Notes are convertible at the option of the holders of the 2030 Notes before November 15, 2029 only upon the occurrence of certain events. In addition, the holders of the 2030 Notes have the right to require the Company to repurchase all or part of their 2030 Notes (i) if certain corporate events occur that constitute a fundamental change or (ii) for a one-time optional repurchase on May 15, 2028. Beginning on May 22, 2028, the Company has the option to redeem the 2030 Notes, in whole or in part, upon meeting certain conditions related to the price of the Company's common stock. The redemption or repurchase price will be paid in cash equal to 100% of the principal amount of the 2030 Notes to be redeemed or repurchased, plus accrued and unpaid interest, if any. Beginning on November 15, 2029 and until the close of business on the second scheduled trading day immediately preceding the maturity date, the 2030 Notes are convertible at any time at the election of each noteholder. The conversion rate and conversion price are subject to customary adjustments under certain circumstances. In addition, if certain corporate events that constitute a make-whole fundamental change occur, then the conversion rate will, under certain circumstances, be increased for a specified period of time. Upon conversion, the Company may satisfy its obligation by paying cash for the outstanding principal balance, and, a combination of cash and the Company's common stock, at the Company's election, for the remaining amount, if any, based on the applicable conversion rate.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333" w:before="0" w:after="0"/>
        <w:jc w:val="left"/>
        <w:rPr/>
      </w:pPr>
      <w:hyperlink w:anchor="i65bd50e6e0134a778ca5f9a1e036512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(Tabular amounts in millions, except share and per share amounts, ratios, or as noted)</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(Unaudited)</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2030 Notes become convertible during any calendar quarter if the last reported sale price of the Company’s common stock exceeds 130% of the conversion price for at least 20 of the 30 consecutive trading days ending on, and including, the last trading day of the immediately preceding calendar quarter. This condition was first met during the quarter ended September 30, 2025, and has been met in each subsequent quarter through June 30, 2026. Accordingly, the 2030 Notes became convertible at the option of the noteholders on October 1, 2025, remain convertible through September 30, 2026 and are classified as a current liability in the condensed consolidated balance sheets as of June 30, 2026 and December 31, 2025.</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interest expense related to the Convertible Senior Notes (in millions):</w:t>
      </w:r>
    </w:p>
    <w:p>
      <w:pPr>
        <w:pStyle w:val="TextBody"/>
        <w:bidi w:val="0"/>
        <w:spacing w:before="0" w:after="0"/>
        <w:jc w:val="left"/>
        <w:rPr/>
      </w:pPr>
      <w:r>
        <w:rPr/>
      </w:r>
    </w:p>
    <w:tbl>
      <w:tblPr>
        <w:tblW w:w="7874" w:type="dxa"/>
        <w:jc w:val="left"/>
        <w:tblInd w:w="0" w:type="dxa"/>
        <w:tblLayout w:type="fixed"/>
        <w:tblCellMar>
          <w:top w:w="28" w:type="dxa"/>
          <w:left w:w="28" w:type="dxa"/>
          <w:bottom w:w="28" w:type="dxa"/>
          <w:right w:w="28" w:type="dxa"/>
        </w:tblCellMar>
      </w:tblPr>
      <w:tblGrid>
        <w:gridCol w:w="1481"/>
        <w:gridCol w:w="1303"/>
        <w:gridCol w:w="1310"/>
        <w:gridCol w:w="109"/>
        <w:gridCol w:w="109"/>
        <w:gridCol w:w="109"/>
        <w:gridCol w:w="229"/>
        <w:gridCol w:w="277"/>
        <w:gridCol w:w="118"/>
        <w:gridCol w:w="118"/>
        <w:gridCol w:w="118"/>
        <w:gridCol w:w="118"/>
        <w:gridCol w:w="229"/>
        <w:gridCol w:w="277"/>
        <w:gridCol w:w="118"/>
        <w:gridCol w:w="109"/>
        <w:gridCol w:w="109"/>
        <w:gridCol w:w="109"/>
        <w:gridCol w:w="211"/>
        <w:gridCol w:w="256"/>
        <w:gridCol w:w="109"/>
        <w:gridCol w:w="109"/>
        <w:gridCol w:w="109"/>
        <w:gridCol w:w="109"/>
        <w:gridCol w:w="211"/>
        <w:gridCol w:w="256"/>
        <w:gridCol w:w="154"/>
      </w:tblGrid>
      <w:tr>
        <w:trPr/>
        <w:tc>
          <w:tcPr>
            <w:tcW w:w="1481"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9"/>
            <w:tcBorders/>
            <w:tcMar>
              <w:top w:w="0" w:type="dxa"/>
              <w:left w:w="0" w:type="dxa"/>
              <w:bottom w:w="0" w:type="dxa"/>
              <w:right w:w="0" w:type="dxa"/>
            </w:tcMar>
            <w:vAlign w:val="center"/>
          </w:tcPr>
          <w:p>
            <w:pPr>
              <w:pStyle w:val="TableContents"/>
              <w:bidi w:val="0"/>
              <w:spacing w:lineRule="auto" w:line="333"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0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Contractual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of debt discount and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Convertible Senior Notes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450"/>
        <w:jc w:val="left"/>
        <w:rPr>
          <w:rFonts w:ascii="Times New Roman;serif" w:hAnsi="Times New Roman;serif"/>
          <w:b/>
          <w:color w:val="000000"/>
          <w:sz w:val="20"/>
        </w:rPr>
      </w:pPr>
      <w:r>
        <w:rPr>
          <w:rFonts w:ascii="Times New Roman;serif" w:hAnsi="Times New Roman;serif"/>
          <w:b/>
          <w:color w:val="000000"/>
          <w:sz w:val="20"/>
        </w:rPr>
        <w:t>6.FAIR VALUE DISCLOSURES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uses fair value measurements to record fair value adjustments to certain assets and liabilities and to determine fair value disclosures.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Following is a discussion of the fair value hierarchy used for assets and liabilities recorded at fair value on a recurring and nonrecurring basis and for estimating fair value for financial instruments not recorded at fair value.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Fair Value Hierarchy</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Fair value measurements of assets and liabilities are categorized based on the following hierarchy:</w:t>
      </w:r>
    </w:p>
    <w:p>
      <w:pPr>
        <w:pStyle w:val="TextBody"/>
        <w:bidi w:val="0"/>
        <w:spacing w:lineRule="auto" w:line="288" w:before="240" w:after="283"/>
        <w:ind w:left="0" w:right="0" w:firstLine="450"/>
        <w:jc w:val="left"/>
        <w:rPr/>
      </w:pPr>
      <w:r>
        <w:rPr>
          <w:rFonts w:ascii="Times New Roman;serif" w:hAnsi="Times New Roman;serif"/>
          <w:b/>
          <w:i/>
          <w:color w:val="000000"/>
          <w:sz w:val="20"/>
        </w:rPr>
        <w:t>Level 1 —</w:t>
      </w:r>
      <w:r>
        <w:rPr>
          <w:color w:val="000000"/>
        </w:rPr>
        <w:t> </w:t>
      </w:r>
      <w:r>
        <w:rPr>
          <w:rFonts w:ascii="Times New Roman;serif" w:hAnsi="Times New Roman;serif"/>
          <w:b w:val="false"/>
          <w:color w:val="000000"/>
          <w:sz w:val="20"/>
        </w:rPr>
        <w:t>Fair value determined based on quoted prices in active markets for identical assets or liabilities.</w:t>
      </w:r>
    </w:p>
    <w:p>
      <w:pPr>
        <w:pStyle w:val="TextBody"/>
        <w:bidi w:val="0"/>
        <w:spacing w:lineRule="auto" w:line="288" w:before="240" w:after="283"/>
        <w:ind w:left="0" w:right="0" w:firstLine="450"/>
        <w:jc w:val="left"/>
        <w:rPr/>
      </w:pPr>
      <w:r>
        <w:rPr>
          <w:rFonts w:ascii="Times New Roman;serif" w:hAnsi="Times New Roman;serif"/>
          <w:b/>
          <w:i/>
          <w:color w:val="000000"/>
          <w:sz w:val="20"/>
        </w:rPr>
        <w:t>Level 2 —</w:t>
      </w:r>
      <w:r>
        <w:rPr>
          <w:color w:val="000000"/>
        </w:rPr>
        <w:t> </w:t>
      </w:r>
      <w:r>
        <w:rPr>
          <w:rFonts w:ascii="Times New Roman;serif" w:hAnsi="Times New Roman;serif"/>
          <w:b w:val="false"/>
          <w:color w:val="000000"/>
          <w:sz w:val="20"/>
        </w:rPr>
        <w:t>Fair value determined using significant observable inputs, such as quoted prices for similar assets or liabilities or quoted prices for identical or similar assets or liabilities in markets that are not active, inputs other than quoted prices that are observable for the asset or liability, or inputs that are derived principally from or corroborated by observable market data, by correlation or other means.</w:t>
      </w:r>
    </w:p>
    <w:p>
      <w:pPr>
        <w:pStyle w:val="TextBody"/>
        <w:bidi w:val="0"/>
        <w:spacing w:lineRule="auto" w:line="288" w:before="240" w:after="283"/>
        <w:ind w:left="0" w:right="0" w:firstLine="450"/>
        <w:jc w:val="left"/>
        <w:rPr/>
      </w:pPr>
      <w:r>
        <w:rPr>
          <w:rFonts w:ascii="Times New Roman;serif" w:hAnsi="Times New Roman;serif"/>
          <w:b/>
          <w:i/>
          <w:color w:val="000000"/>
          <w:sz w:val="20"/>
        </w:rPr>
        <w:t>Level 3 —</w:t>
      </w:r>
      <w:r>
        <w:rPr>
          <w:color w:val="000000"/>
        </w:rPr>
        <w:t> </w:t>
      </w:r>
      <w:r>
        <w:rPr>
          <w:rFonts w:ascii="Times New Roman;serif" w:hAnsi="Times New Roman;serif"/>
          <w:b w:val="false"/>
          <w:color w:val="000000"/>
          <w:sz w:val="20"/>
        </w:rPr>
        <w:t>Fair value determined using significant unobservable inputs, such as pricing models, discounted cash flows, or similar techniques.</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tbl>
      <w:tblPr>
        <w:tblW w:w="300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tbl>
      <w:tblPr>
        <w:tblW w:w="300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333" w:before="0" w:after="0"/>
        <w:jc w:val="left"/>
        <w:rPr/>
      </w:pPr>
      <w:hyperlink w:anchor="i65bd50e6e0134a778ca5f9a1e036512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(Tabular amounts in millions, except share and per share amounts, ratios, or as noted)</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(Unaudited)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Fair Value of Financial Instruments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presents the carrying value, estimated fair value and the levels of the fair value hierarchy for the Company’s financial instruments other than assets and liabilities measured at fair value on a recurring basis (in millions):</w:t>
      </w:r>
    </w:p>
    <w:tbl>
      <w:tblPr>
        <w:tblW w:w="7632" w:type="dxa"/>
        <w:jc w:val="left"/>
        <w:tblInd w:w="0" w:type="dxa"/>
        <w:tblLayout w:type="fixed"/>
        <w:tblCellMar>
          <w:top w:w="28" w:type="dxa"/>
          <w:left w:w="28" w:type="dxa"/>
          <w:bottom w:w="28" w:type="dxa"/>
          <w:right w:w="28" w:type="dxa"/>
        </w:tblCellMar>
      </w:tblPr>
      <w:tblGrid>
        <w:gridCol w:w="970"/>
        <w:gridCol w:w="854"/>
        <w:gridCol w:w="861"/>
        <w:gridCol w:w="109"/>
        <w:gridCol w:w="109"/>
        <w:gridCol w:w="109"/>
        <w:gridCol w:w="211"/>
        <w:gridCol w:w="616"/>
        <w:gridCol w:w="109"/>
        <w:gridCol w:w="109"/>
        <w:gridCol w:w="109"/>
        <w:gridCol w:w="109"/>
        <w:gridCol w:w="211"/>
        <w:gridCol w:w="616"/>
        <w:gridCol w:w="109"/>
        <w:gridCol w:w="109"/>
        <w:gridCol w:w="109"/>
        <w:gridCol w:w="109"/>
        <w:gridCol w:w="211"/>
        <w:gridCol w:w="466"/>
        <w:gridCol w:w="109"/>
        <w:gridCol w:w="109"/>
        <w:gridCol w:w="109"/>
        <w:gridCol w:w="109"/>
        <w:gridCol w:w="211"/>
        <w:gridCol w:w="616"/>
        <w:gridCol w:w="154"/>
      </w:tblGrid>
      <w:tr>
        <w:trPr/>
        <w:tc>
          <w:tcPr>
            <w:tcW w:w="970"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33" w:after="283"/>
              <w:jc w:val="center"/>
              <w:rPr>
                <w:rFonts w:ascii="Times New Roman;serif" w:hAnsi="Times New Roman;serif"/>
                <w:b/>
                <w:color w:val="000000"/>
                <w:sz w:val="16"/>
              </w:rPr>
            </w:pPr>
            <w:r>
              <w:rPr>
                <w:rFonts w:ascii="Times New Roman;serif" w:hAnsi="Times New Roman;serif"/>
                <w:b/>
                <w:color w:val="000000"/>
                <w:sz w:val="16"/>
              </w:rPr>
              <w:t>Carrying</w:t>
            </w:r>
          </w:p>
          <w:p>
            <w:pPr>
              <w:pStyle w:val="TableContents"/>
              <w:bidi w:val="0"/>
              <w:spacing w:lineRule="auto" w:line="333" w:before="0" w:after="30"/>
              <w:jc w:val="center"/>
              <w:rPr>
                <w:rFonts w:ascii="Times New Roman;serif" w:hAnsi="Times New Roman;serif"/>
                <w:b/>
                <w:color w:val="000000"/>
                <w:sz w:val="16"/>
              </w:rPr>
            </w:pPr>
            <w:r>
              <w:rPr>
                <w:rFonts w:ascii="Times New Roman;serif" w:hAnsi="Times New Roman;serif"/>
                <w:b/>
                <w:color w:val="000000"/>
                <w:sz w:val="16"/>
              </w:rP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2</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Non-recourse asset-backed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Convertible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tbl>
      <w:tblPr>
        <w:tblW w:w="7632" w:type="dxa"/>
        <w:jc w:val="left"/>
        <w:tblInd w:w="0" w:type="dxa"/>
        <w:tblLayout w:type="fixed"/>
        <w:tblCellMar>
          <w:top w:w="28" w:type="dxa"/>
          <w:left w:w="28" w:type="dxa"/>
          <w:bottom w:w="28" w:type="dxa"/>
          <w:right w:w="28" w:type="dxa"/>
        </w:tblCellMar>
      </w:tblPr>
      <w:tblGrid>
        <w:gridCol w:w="970"/>
        <w:gridCol w:w="854"/>
        <w:gridCol w:w="861"/>
        <w:gridCol w:w="109"/>
        <w:gridCol w:w="109"/>
        <w:gridCol w:w="109"/>
        <w:gridCol w:w="211"/>
        <w:gridCol w:w="616"/>
        <w:gridCol w:w="109"/>
        <w:gridCol w:w="109"/>
        <w:gridCol w:w="109"/>
        <w:gridCol w:w="109"/>
        <w:gridCol w:w="211"/>
        <w:gridCol w:w="616"/>
        <w:gridCol w:w="109"/>
        <w:gridCol w:w="109"/>
        <w:gridCol w:w="109"/>
        <w:gridCol w:w="109"/>
        <w:gridCol w:w="211"/>
        <w:gridCol w:w="466"/>
        <w:gridCol w:w="109"/>
        <w:gridCol w:w="109"/>
        <w:gridCol w:w="109"/>
        <w:gridCol w:w="109"/>
        <w:gridCol w:w="211"/>
        <w:gridCol w:w="616"/>
        <w:gridCol w:w="154"/>
      </w:tblGrid>
      <w:tr>
        <w:trPr/>
        <w:tc>
          <w:tcPr>
            <w:tcW w:w="970"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33" w:after="283"/>
              <w:jc w:val="center"/>
              <w:rPr>
                <w:rFonts w:ascii="Times New Roman;serif" w:hAnsi="Times New Roman;serif"/>
                <w:b/>
                <w:color w:val="000000"/>
                <w:sz w:val="16"/>
              </w:rPr>
            </w:pPr>
            <w:r>
              <w:rPr>
                <w:rFonts w:ascii="Times New Roman;serif" w:hAnsi="Times New Roman;serif"/>
                <w:b/>
                <w:color w:val="000000"/>
                <w:sz w:val="16"/>
              </w:rPr>
              <w:t>Carrying</w:t>
            </w:r>
          </w:p>
          <w:p>
            <w:pPr>
              <w:pStyle w:val="TableContents"/>
              <w:bidi w:val="0"/>
              <w:spacing w:lineRule="auto" w:line="333" w:before="0" w:after="30"/>
              <w:jc w:val="center"/>
              <w:rPr>
                <w:rFonts w:ascii="Times New Roman;serif" w:hAnsi="Times New Roman;serif"/>
                <w:b/>
                <w:color w:val="000000"/>
                <w:sz w:val="16"/>
              </w:rPr>
            </w:pPr>
            <w:r>
              <w:rPr>
                <w:rFonts w:ascii="Times New Roman;serif" w:hAnsi="Times New Roman;serif"/>
                <w:b/>
                <w:color w:val="000000"/>
                <w:sz w:val="16"/>
              </w:rP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2</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Non-recourse asset-backed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Convertible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tbl>
      <w:tblPr>
        <w:tblW w:w="1477"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tbl>
      <w:tblPr>
        <w:tblW w:w="1477"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450"/>
        <w:jc w:val="left"/>
        <w:rPr>
          <w:rFonts w:ascii="Times New Roman;serif" w:hAnsi="Times New Roman;serif"/>
          <w:b/>
          <w:color w:val="000000"/>
          <w:sz w:val="20"/>
        </w:rPr>
      </w:pPr>
      <w:r>
        <w:rPr>
          <w:rFonts w:ascii="Times New Roman;serif" w:hAnsi="Times New Roman;serif"/>
          <w:b/>
          <w:color w:val="000000"/>
          <w:sz w:val="20"/>
        </w:rPr>
        <w:t>7.PROPERTY AND EQUIPMENT</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Property and equipment as of June 30, 2026 and December 31, 2025, consisted of the following (in millions):</w:t>
      </w:r>
    </w:p>
    <w:tbl>
      <w:tblPr>
        <w:tblW w:w="5876" w:type="dxa"/>
        <w:jc w:val="left"/>
        <w:tblInd w:w="0" w:type="dxa"/>
        <w:tblLayout w:type="fixed"/>
        <w:tblCellMar>
          <w:top w:w="28" w:type="dxa"/>
          <w:left w:w="28" w:type="dxa"/>
          <w:bottom w:w="28" w:type="dxa"/>
          <w:right w:w="28" w:type="dxa"/>
        </w:tblCellMar>
      </w:tblPr>
      <w:tblGrid>
        <w:gridCol w:w="1334"/>
        <w:gridCol w:w="1176"/>
        <w:gridCol w:w="1179"/>
        <w:gridCol w:w="223"/>
        <w:gridCol w:w="382"/>
        <w:gridCol w:w="115"/>
        <w:gridCol w:w="109"/>
        <w:gridCol w:w="109"/>
        <w:gridCol w:w="109"/>
        <w:gridCol w:w="289"/>
        <w:gridCol w:w="639"/>
        <w:gridCol w:w="212"/>
      </w:tblGrid>
      <w:tr>
        <w:trPr/>
        <w:tc>
          <w:tcPr>
            <w:tcW w:w="1334"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Internally developed software</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Computers</w:t>
            </w:r>
          </w:p>
        </w:tc>
        <w:tc>
          <w:tcPr>
            <w:tcW w:w="6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Security systems</w:t>
            </w:r>
          </w:p>
        </w:tc>
        <w:tc>
          <w:tcPr>
            <w:tcW w:w="6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Office equipment</w:t>
            </w:r>
          </w:p>
        </w:tc>
        <w:tc>
          <w:tcPr>
            <w:tcW w:w="6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6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implementation costs</w:t>
            </w:r>
          </w:p>
        </w:tc>
        <w:tc>
          <w:tcPr>
            <w:tcW w:w="6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6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6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 and amortization</w:t>
            </w:r>
          </w:p>
        </w:tc>
        <w:tc>
          <w:tcPr>
            <w:tcW w:w="6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 net</w:t>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 of $5 million and $11 million was recorded for the three and six months ended June 30, 2026, respectively. Depreciation and amortization expense of $8 million and $16 million was recorded for the three and six months ended June 30,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333" w:before="0" w:after="0"/>
        <w:jc w:val="left"/>
        <w:rPr/>
      </w:pPr>
      <w:hyperlink w:anchor="i65bd50e6e0134a778ca5f9a1e036512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(Tabular amounts in millions, except share and per share amounts, ratios, or as noted)</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(Unaudited)</w:t>
      </w:r>
    </w:p>
    <w:p>
      <w:pPr>
        <w:pStyle w:val="TextBody"/>
        <w:bidi w:val="0"/>
        <w:spacing w:lineRule="auto" w:line="288" w:before="240" w:after="283"/>
        <w:ind w:left="0" w:right="0" w:hanging="450"/>
        <w:jc w:val="left"/>
        <w:rPr>
          <w:rFonts w:ascii="Times New Roman;serif" w:hAnsi="Times New Roman;serif"/>
          <w:b/>
          <w:color w:val="000000"/>
          <w:sz w:val="20"/>
        </w:rPr>
      </w:pPr>
      <w:r>
        <w:rPr>
          <w:rFonts w:ascii="Times New Roman;serif" w:hAnsi="Times New Roman;serif"/>
          <w:b/>
          <w:color w:val="000000"/>
          <w:sz w:val="20"/>
        </w:rPr>
        <w:t>8.GOODWILL AND INTANGIBLE ASSETS</w:t>
      </w:r>
    </w:p>
    <w:p>
      <w:pPr>
        <w:pStyle w:val="TextBody"/>
        <w:bidi w:val="0"/>
        <w:spacing w:lineRule="auto" w:line="288" w:before="240" w:after="283"/>
        <w:ind w:left="0" w:right="0" w:firstLine="450"/>
        <w:jc w:val="left"/>
        <w:rPr/>
      </w:pPr>
      <w:r>
        <w:rPr>
          <w:rFonts w:ascii="Times New Roman;serif" w:hAnsi="Times New Roman;serif"/>
          <w:b w:val="false"/>
          <w:color w:val="000000"/>
          <w:sz w:val="20"/>
        </w:rPr>
        <w:t>For the six months ended June 30, 2026 and the year ended December 31, 2025, there were</w:t>
      </w:r>
      <w:r>
        <w:rPr>
          <w:color w:val="0094FF"/>
        </w:rPr>
        <w:t xml:space="preserve"> </w:t>
      </w:r>
      <w:r>
        <w:rPr>
          <w:rFonts w:ascii="Times New Roman;serif" w:hAnsi="Times New Roman;serif"/>
          <w:b w:val="false"/>
          <w:color w:val="000000"/>
          <w:sz w:val="20"/>
        </w:rPr>
        <w:t>no additions to and no</w:t>
      </w:r>
      <w:r>
        <w:rPr>
          <w:color w:val="0094FF"/>
        </w:rPr>
        <w:t xml:space="preserve"> </w:t>
      </w:r>
      <w:r>
        <w:rPr>
          <w:rFonts w:ascii="Times New Roman;serif" w:hAnsi="Times New Roman;serif"/>
          <w:b w:val="false"/>
          <w:color w:val="000000"/>
          <w:sz w:val="20"/>
        </w:rPr>
        <w:t>impairment of goodwill.</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and December 31, 2025, the Company had no remaining intangible assets subject to amortization. There was no amortization expense recognized on the condensed consolidated statements of operations for both the six months ended June 30, 2026 and 2025. </w:t>
      </w:r>
    </w:p>
    <w:tbl>
      <w:tblPr>
        <w:tblW w:w="300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tbl>
      <w:tblPr>
        <w:tblW w:w="300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450"/>
        <w:jc w:val="left"/>
        <w:rPr>
          <w:rFonts w:ascii="Times New Roman;serif" w:hAnsi="Times New Roman;serif"/>
          <w:b/>
          <w:color w:val="000000"/>
          <w:sz w:val="20"/>
        </w:rPr>
      </w:pPr>
      <w:r>
        <w:rPr>
          <w:rFonts w:ascii="Times New Roman;serif" w:hAnsi="Times New Roman;serif"/>
          <w:b/>
          <w:color w:val="000000"/>
          <w:sz w:val="20"/>
        </w:rPr>
        <w:t>9.SHARE-BASED AWARDS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Stock options and RSUs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 summary of the stock option activity for the six months ended June 30, 2026, is as follows:</w:t>
      </w:r>
    </w:p>
    <w:tbl>
      <w:tblPr>
        <w:tblW w:w="7609" w:type="dxa"/>
        <w:jc w:val="left"/>
        <w:tblInd w:w="0" w:type="dxa"/>
        <w:tblLayout w:type="fixed"/>
        <w:tblCellMar>
          <w:top w:w="28" w:type="dxa"/>
          <w:left w:w="28" w:type="dxa"/>
          <w:bottom w:w="28" w:type="dxa"/>
          <w:right w:w="28" w:type="dxa"/>
        </w:tblCellMar>
      </w:tblPr>
      <w:tblGrid>
        <w:gridCol w:w="875"/>
        <w:gridCol w:w="769"/>
        <w:gridCol w:w="771"/>
        <w:gridCol w:w="374"/>
        <w:gridCol w:w="374"/>
        <w:gridCol w:w="376"/>
        <w:gridCol w:w="109"/>
        <w:gridCol w:w="109"/>
        <w:gridCol w:w="109"/>
        <w:gridCol w:w="217"/>
        <w:gridCol w:w="526"/>
        <w:gridCol w:w="112"/>
        <w:gridCol w:w="109"/>
        <w:gridCol w:w="109"/>
        <w:gridCol w:w="109"/>
        <w:gridCol w:w="409"/>
        <w:gridCol w:w="409"/>
        <w:gridCol w:w="411"/>
        <w:gridCol w:w="109"/>
        <w:gridCol w:w="109"/>
        <w:gridCol w:w="109"/>
        <w:gridCol w:w="292"/>
        <w:gridCol w:w="499"/>
        <w:gridCol w:w="214"/>
      </w:tblGrid>
      <w:tr>
        <w:trPr/>
        <w:tc>
          <w:tcPr>
            <w:tcW w:w="87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333" w:before="53" w:after="283"/>
              <w:jc w:val="center"/>
              <w:rPr>
                <w:rFonts w:ascii="Times New Roman;serif" w:hAnsi="Times New Roman;serif"/>
                <w:b/>
                <w:color w:val="000000"/>
                <w:sz w:val="16"/>
              </w:rPr>
            </w:pPr>
            <w:r>
              <w:rPr>
                <w:rFonts w:ascii="Times New Roman;serif" w:hAnsi="Times New Roman;serif"/>
                <w:b/>
                <w:color w:val="000000"/>
                <w:sz w:val="16"/>
              </w:rPr>
              <w:t>Number of</w:t>
            </w:r>
          </w:p>
          <w:p>
            <w:pPr>
              <w:pStyle w:val="TableContents"/>
              <w:bidi w:val="0"/>
              <w:spacing w:lineRule="auto" w:line="333" w:before="0" w:after="0"/>
              <w:jc w:val="center"/>
              <w:rPr>
                <w:rFonts w:ascii="Times New Roman;serif" w:hAnsi="Times New Roman;serif"/>
                <w:b/>
                <w:color w:val="000000"/>
                <w:sz w:val="16"/>
              </w:rPr>
            </w:pPr>
            <w:r>
              <w:rPr>
                <w:rFonts w:ascii="Times New Roman;serif" w:hAnsi="Times New Roman;serif"/>
                <w:b/>
                <w:color w:val="000000"/>
                <w:sz w:val="16"/>
              </w:rPr>
              <w:t>Options</w:t>
            </w:r>
          </w:p>
          <w:p>
            <w:pPr>
              <w:pStyle w:val="TableContents"/>
              <w:bidi w:val="0"/>
              <w:spacing w:lineRule="auto" w:line="333" w:before="0" w:after="30"/>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lineRule="auto" w:line="333" w:before="53" w:after="283"/>
              <w:jc w:val="center"/>
              <w:rPr>
                <w:rFonts w:ascii="Times New Roman;serif" w:hAnsi="Times New Roman;serif"/>
                <w:b/>
                <w:color w:val="000000"/>
                <w:sz w:val="16"/>
              </w:rPr>
            </w:pPr>
            <w:r>
              <w:rPr>
                <w:rFonts w:ascii="Times New Roman;serif" w:hAnsi="Times New Roman;serif"/>
                <w:b/>
                <w:color w:val="000000"/>
                <w:sz w:val="16"/>
              </w:rPr>
              <w:t>Weighted-</w:t>
            </w:r>
          </w:p>
          <w:p>
            <w:pPr>
              <w:pStyle w:val="TableContents"/>
              <w:bidi w:val="0"/>
              <w:spacing w:lineRule="auto" w:line="333" w:before="0" w:after="0"/>
              <w:jc w:val="center"/>
              <w:rPr>
                <w:rFonts w:ascii="Times New Roman;serif" w:hAnsi="Times New Roman;serif"/>
                <w:b/>
                <w:color w:val="000000"/>
                <w:sz w:val="16"/>
              </w:rPr>
            </w:pPr>
            <w:r>
              <w:rPr>
                <w:rFonts w:ascii="Times New Roman;serif" w:hAnsi="Times New Roman;serif"/>
                <w:b/>
                <w:color w:val="000000"/>
                <w:sz w:val="16"/>
              </w:rPr>
              <w:t>Average</w:t>
            </w:r>
          </w:p>
          <w:p>
            <w:pPr>
              <w:pStyle w:val="TableContents"/>
              <w:bidi w:val="0"/>
              <w:spacing w:lineRule="auto" w:line="333" w:before="0" w:after="0"/>
              <w:jc w:val="center"/>
              <w:rPr>
                <w:rFonts w:ascii="Times New Roman;serif" w:hAnsi="Times New Roman;serif"/>
                <w:b/>
                <w:color w:val="000000"/>
                <w:sz w:val="16"/>
              </w:rPr>
            </w:pPr>
            <w:r>
              <w:rPr>
                <w:rFonts w:ascii="Times New Roman;serif" w:hAnsi="Times New Roman;serif"/>
                <w:b/>
                <w:color w:val="000000"/>
                <w:sz w:val="16"/>
              </w:rPr>
              <w:t>Exercise</w:t>
            </w:r>
          </w:p>
          <w:p>
            <w:pPr>
              <w:pStyle w:val="TableContents"/>
              <w:bidi w:val="0"/>
              <w:spacing w:lineRule="auto" w:line="333" w:before="0" w:after="30"/>
              <w:jc w:val="center"/>
              <w:rPr>
                <w:rFonts w:ascii="Times New Roman;serif" w:hAnsi="Times New Roman;serif"/>
                <w:b/>
                <w:color w:val="000000"/>
                <w:sz w:val="16"/>
              </w:rPr>
            </w:pPr>
            <w:r>
              <w:rPr>
                <w:rFonts w:ascii="Times New Roman;serif" w:hAnsi="Times New Roman;serif"/>
                <w:b/>
                <w:color w:val="000000"/>
                <w:sz w:val="16"/>
              </w:rP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333" w:before="53" w:after="283"/>
              <w:jc w:val="center"/>
              <w:rPr>
                <w:rFonts w:ascii="Times New Roman;serif" w:hAnsi="Times New Roman;serif"/>
                <w:b/>
                <w:color w:val="000000"/>
                <w:sz w:val="16"/>
              </w:rPr>
            </w:pPr>
            <w:r>
              <w:rPr>
                <w:rFonts w:ascii="Times New Roman;serif" w:hAnsi="Times New Roman;serif"/>
                <w:b/>
                <w:color w:val="000000"/>
                <w:sz w:val="16"/>
              </w:rPr>
              <w:t>Weighted-</w:t>
            </w:r>
          </w:p>
          <w:p>
            <w:pPr>
              <w:pStyle w:val="TableContents"/>
              <w:bidi w:val="0"/>
              <w:spacing w:lineRule="auto" w:line="333" w:before="0" w:after="0"/>
              <w:jc w:val="center"/>
              <w:rPr>
                <w:rFonts w:ascii="Times New Roman;serif" w:hAnsi="Times New Roman;serif"/>
                <w:b/>
                <w:color w:val="000000"/>
                <w:sz w:val="16"/>
              </w:rPr>
            </w:pPr>
            <w:r>
              <w:rPr>
                <w:rFonts w:ascii="Times New Roman;serif" w:hAnsi="Times New Roman;serif"/>
                <w:b/>
                <w:color w:val="000000"/>
                <w:sz w:val="16"/>
              </w:rPr>
              <w:t>Average</w:t>
            </w:r>
          </w:p>
          <w:p>
            <w:pPr>
              <w:pStyle w:val="TableContents"/>
              <w:bidi w:val="0"/>
              <w:spacing w:lineRule="auto" w:line="333" w:before="0" w:after="0"/>
              <w:jc w:val="center"/>
              <w:rPr>
                <w:rFonts w:ascii="Times New Roman;serif" w:hAnsi="Times New Roman;serif"/>
                <w:b/>
                <w:color w:val="000000"/>
                <w:sz w:val="16"/>
              </w:rPr>
            </w:pPr>
            <w:r>
              <w:rPr>
                <w:rFonts w:ascii="Times New Roman;serif" w:hAnsi="Times New Roman;serif"/>
                <w:b/>
                <w:color w:val="000000"/>
                <w:sz w:val="16"/>
              </w:rPr>
              <w:t>Remaining</w:t>
            </w:r>
          </w:p>
          <w:p>
            <w:pPr>
              <w:pStyle w:val="TableContents"/>
              <w:bidi w:val="0"/>
              <w:spacing w:lineRule="auto" w:line="333" w:before="0" w:after="0"/>
              <w:jc w:val="center"/>
              <w:rPr>
                <w:rFonts w:ascii="Times New Roman;serif" w:hAnsi="Times New Roman;serif"/>
                <w:b/>
                <w:color w:val="000000"/>
                <w:sz w:val="16"/>
              </w:rPr>
            </w:pPr>
            <w:r>
              <w:rPr>
                <w:rFonts w:ascii="Times New Roman;serif" w:hAnsi="Times New Roman;serif"/>
                <w:b/>
                <w:color w:val="000000"/>
                <w:sz w:val="16"/>
              </w:rPr>
              <w:t>Contractual</w:t>
            </w:r>
          </w:p>
          <w:p>
            <w:pPr>
              <w:pStyle w:val="TableContents"/>
              <w:bidi w:val="0"/>
              <w:spacing w:lineRule="auto" w:line="333" w:before="0" w:after="30"/>
              <w:jc w:val="center"/>
              <w:rPr>
                <w:rFonts w:ascii="Times New Roman;serif" w:hAnsi="Times New Roman;serif"/>
                <w:b/>
                <w:color w:val="000000"/>
                <w:sz w:val="16"/>
              </w:rPr>
            </w:pPr>
            <w:r>
              <w:rPr>
                <w:rFonts w:ascii="Times New Roman;serif" w:hAnsi="Times New Roman;serif"/>
                <w:b/>
                <w:color w:val="000000"/>
                <w:sz w:val="16"/>
              </w:rPr>
              <w:t>Term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333" w:before="53" w:after="283"/>
              <w:jc w:val="center"/>
              <w:rPr>
                <w:rFonts w:ascii="Times New Roman;serif" w:hAnsi="Times New Roman;serif"/>
                <w:b/>
                <w:color w:val="000000"/>
                <w:sz w:val="16"/>
              </w:rPr>
            </w:pPr>
            <w:r>
              <w:rPr>
                <w:rFonts w:ascii="Times New Roman;serif" w:hAnsi="Times New Roman;serif"/>
                <w:b/>
                <w:color w:val="000000"/>
                <w:sz w:val="16"/>
              </w:rPr>
              <w:t>Aggregate</w:t>
            </w:r>
          </w:p>
          <w:p>
            <w:pPr>
              <w:pStyle w:val="TableContents"/>
              <w:bidi w:val="0"/>
              <w:spacing w:lineRule="auto" w:line="333" w:before="0" w:after="0"/>
              <w:jc w:val="center"/>
              <w:rPr>
                <w:rFonts w:ascii="Times New Roman;serif" w:hAnsi="Times New Roman;serif"/>
                <w:b/>
                <w:color w:val="000000"/>
                <w:sz w:val="16"/>
              </w:rPr>
            </w:pPr>
            <w:r>
              <w:rPr>
                <w:rFonts w:ascii="Times New Roman;serif" w:hAnsi="Times New Roman;serif"/>
                <w:b/>
                <w:color w:val="000000"/>
                <w:sz w:val="16"/>
              </w:rPr>
              <w:t>Intrinsic</w:t>
            </w:r>
          </w:p>
          <w:p>
            <w:pPr>
              <w:pStyle w:val="TableContents"/>
              <w:bidi w:val="0"/>
              <w:spacing w:lineRule="auto" w:line="333" w:before="0" w:after="0"/>
              <w:jc w:val="center"/>
              <w:rPr>
                <w:rFonts w:ascii="Times New Roman;serif" w:hAnsi="Times New Roman;serif"/>
                <w:b/>
                <w:color w:val="000000"/>
                <w:sz w:val="16"/>
              </w:rPr>
            </w:pPr>
            <w:r>
              <w:rPr>
                <w:rFonts w:ascii="Times New Roman;serif" w:hAnsi="Times New Roman;serif"/>
                <w:b/>
                <w:color w:val="000000"/>
                <w:sz w:val="16"/>
              </w:rPr>
              <w:t>Value</w:t>
            </w:r>
          </w:p>
          <w:p>
            <w:pPr>
              <w:pStyle w:val="TableContents"/>
              <w:bidi w:val="0"/>
              <w:spacing w:lineRule="auto" w:line="333" w:before="0" w:after="30"/>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Balance-December 31, 2025</w:t>
            </w:r>
          </w:p>
        </w:tc>
        <w:tc>
          <w:tcPr>
            <w:tcW w:w="7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3,327 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Expired</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Balance-June 30, 2026</w:t>
            </w:r>
          </w:p>
        </w:tc>
        <w:tc>
          <w:tcPr>
            <w:tcW w:w="7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3,049 </w:t>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Exercisable-June 30, 2026</w:t>
            </w:r>
          </w:p>
        </w:tc>
        <w:tc>
          <w:tcPr>
            <w:tcW w:w="748"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3,049 </w:t>
            </w:r>
          </w:p>
        </w:tc>
        <w:tc>
          <w:tcPr>
            <w:tcW w:w="37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1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 summary of the RSU activity for the six months ended June 30, 2026, is as follows:</w:t>
      </w:r>
    </w:p>
    <w:tbl>
      <w:tblPr>
        <w:tblW w:w="6390" w:type="dxa"/>
        <w:jc w:val="left"/>
        <w:tblInd w:w="0" w:type="dxa"/>
        <w:tblLayout w:type="fixed"/>
        <w:tblCellMar>
          <w:top w:w="28" w:type="dxa"/>
          <w:left w:w="28" w:type="dxa"/>
          <w:bottom w:w="28" w:type="dxa"/>
          <w:right w:w="28" w:type="dxa"/>
        </w:tblCellMar>
      </w:tblPr>
      <w:tblGrid>
        <w:gridCol w:w="1407"/>
        <w:gridCol w:w="1237"/>
        <w:gridCol w:w="1241"/>
        <w:gridCol w:w="398"/>
        <w:gridCol w:w="398"/>
        <w:gridCol w:w="376"/>
        <w:gridCol w:w="109"/>
        <w:gridCol w:w="109"/>
        <w:gridCol w:w="109"/>
        <w:gridCol w:w="242"/>
        <w:gridCol w:w="586"/>
        <w:gridCol w:w="178"/>
      </w:tblGrid>
      <w:tr>
        <w:trPr/>
        <w:tc>
          <w:tcPr>
            <w:tcW w:w="1407"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lineRule="auto" w:line="333" w:before="53" w:after="283"/>
              <w:jc w:val="center"/>
              <w:rPr>
                <w:rFonts w:ascii="Times New Roman;serif" w:hAnsi="Times New Roman;serif"/>
                <w:b/>
                <w:color w:val="000000"/>
                <w:sz w:val="16"/>
              </w:rPr>
            </w:pPr>
            <w:r>
              <w:rPr>
                <w:rFonts w:ascii="Times New Roman;serif" w:hAnsi="Times New Roman;serif"/>
                <w:b/>
                <w:color w:val="000000"/>
                <w:sz w:val="16"/>
              </w:rPr>
              <w:t>Number of</w:t>
            </w:r>
          </w:p>
          <w:p>
            <w:pPr>
              <w:pStyle w:val="TableContents"/>
              <w:bidi w:val="0"/>
              <w:spacing w:lineRule="auto" w:line="333" w:before="0" w:after="0"/>
              <w:jc w:val="center"/>
              <w:rPr>
                <w:rFonts w:ascii="Times New Roman;serif" w:hAnsi="Times New Roman;serif"/>
                <w:b/>
                <w:color w:val="000000"/>
                <w:sz w:val="16"/>
              </w:rPr>
            </w:pPr>
            <w:r>
              <w:rPr>
                <w:rFonts w:ascii="Times New Roman;serif" w:hAnsi="Times New Roman;serif"/>
                <w:b/>
                <w:color w:val="000000"/>
                <w:sz w:val="16"/>
              </w:rPr>
              <w:t>RSUs</w:t>
            </w:r>
          </w:p>
          <w:p>
            <w:pPr>
              <w:pStyle w:val="TableContents"/>
              <w:bidi w:val="0"/>
              <w:spacing w:lineRule="auto" w:line="333" w:before="0" w:after="30"/>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333" w:before="53" w:after="283"/>
              <w:jc w:val="center"/>
              <w:rPr>
                <w:rFonts w:ascii="Times New Roman;serif" w:hAnsi="Times New Roman;serif"/>
                <w:b/>
                <w:color w:val="000000"/>
                <w:sz w:val="16"/>
              </w:rPr>
            </w:pPr>
            <w:r>
              <w:rPr>
                <w:rFonts w:ascii="Times New Roman;serif" w:hAnsi="Times New Roman;serif"/>
                <w:b/>
                <w:color w:val="000000"/>
                <w:sz w:val="16"/>
              </w:rPr>
              <w:t>Weighted-</w:t>
            </w:r>
          </w:p>
          <w:p>
            <w:pPr>
              <w:pStyle w:val="TableContents"/>
              <w:bidi w:val="0"/>
              <w:spacing w:lineRule="auto" w:line="333" w:before="0" w:after="0"/>
              <w:jc w:val="center"/>
              <w:rPr>
                <w:rFonts w:ascii="Times New Roman;serif" w:hAnsi="Times New Roman;serif"/>
                <w:b/>
                <w:color w:val="000000"/>
                <w:sz w:val="16"/>
              </w:rPr>
            </w:pPr>
            <w:r>
              <w:rPr>
                <w:rFonts w:ascii="Times New Roman;serif" w:hAnsi="Times New Roman;serif"/>
                <w:b/>
                <w:color w:val="000000"/>
                <w:sz w:val="16"/>
              </w:rPr>
              <w:t>Average</w:t>
            </w:r>
          </w:p>
          <w:p>
            <w:pPr>
              <w:pStyle w:val="TableContents"/>
              <w:bidi w:val="0"/>
              <w:spacing w:lineRule="auto" w:line="333" w:before="0" w:after="0"/>
              <w:jc w:val="center"/>
              <w:rPr>
                <w:rFonts w:ascii="Times New Roman;serif" w:hAnsi="Times New Roman;serif"/>
                <w:b/>
                <w:color w:val="000000"/>
                <w:sz w:val="16"/>
              </w:rPr>
            </w:pPr>
            <w:r>
              <w:rPr>
                <w:rFonts w:ascii="Times New Roman;serif" w:hAnsi="Times New Roman;serif"/>
                <w:b/>
                <w:color w:val="000000"/>
                <w:sz w:val="16"/>
              </w:rPr>
              <w:t>Grant-Date</w:t>
            </w:r>
          </w:p>
          <w:p>
            <w:pPr>
              <w:pStyle w:val="TableContents"/>
              <w:bidi w:val="0"/>
              <w:spacing w:lineRule="auto" w:line="333" w:before="0" w:after="30"/>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and outstanding-December 31, 2025</w:t>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32,698 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11,833 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(10,550)</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(5,427)</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top w:val="single" w:sz="2" w:space="0" w:color="CCEEFF"/>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and outstanding-June 30, 2026</w:t>
            </w:r>
          </w:p>
        </w:tc>
        <w:tc>
          <w:tcPr>
            <w:tcW w:w="79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28,554 </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CCEE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2" w:space="0" w:color="CCEEFF"/>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2" w:space="0" w:color="CCEEFF"/>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178" w:type="dxa"/>
            <w:tcBorders>
              <w:top w:val="single" w:sz="2" w:space="0" w:color="CCEEFF"/>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bl>
    <w:tbl>
      <w:tblPr>
        <w:tblW w:w="125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0" w:type="dxa"/>
            <w:gridSpan w:val="5"/>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 summary of the market condition RSU activity for the six months ended June 30, 2026, is as follows:</w:t>
      </w:r>
    </w:p>
    <w:tbl>
      <w:tblPr>
        <w:tblW w:w="6420" w:type="dxa"/>
        <w:jc w:val="left"/>
        <w:tblInd w:w="0" w:type="dxa"/>
        <w:tblLayout w:type="fixed"/>
        <w:tblCellMar>
          <w:top w:w="28" w:type="dxa"/>
          <w:left w:w="28" w:type="dxa"/>
          <w:bottom w:w="28" w:type="dxa"/>
          <w:right w:w="28" w:type="dxa"/>
        </w:tblCellMar>
      </w:tblPr>
      <w:tblGrid>
        <w:gridCol w:w="1407"/>
        <w:gridCol w:w="1237"/>
        <w:gridCol w:w="1241"/>
        <w:gridCol w:w="413"/>
        <w:gridCol w:w="413"/>
        <w:gridCol w:w="376"/>
        <w:gridCol w:w="109"/>
        <w:gridCol w:w="109"/>
        <w:gridCol w:w="109"/>
        <w:gridCol w:w="242"/>
        <w:gridCol w:w="586"/>
        <w:gridCol w:w="178"/>
      </w:tblGrid>
      <w:tr>
        <w:trPr/>
        <w:tc>
          <w:tcPr>
            <w:tcW w:w="1407"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lineRule="auto" w:line="333" w:before="53" w:after="283"/>
              <w:jc w:val="center"/>
              <w:rPr>
                <w:rFonts w:ascii="Times New Roman;serif" w:hAnsi="Times New Roman;serif"/>
                <w:b/>
                <w:color w:val="000000"/>
                <w:sz w:val="16"/>
              </w:rPr>
            </w:pPr>
            <w:r>
              <w:rPr>
                <w:rFonts w:ascii="Times New Roman;serif" w:hAnsi="Times New Roman;serif"/>
                <w:b/>
                <w:color w:val="000000"/>
                <w:sz w:val="16"/>
              </w:rPr>
              <w:t>Number of</w:t>
            </w:r>
          </w:p>
          <w:p>
            <w:pPr>
              <w:pStyle w:val="TableContents"/>
              <w:bidi w:val="0"/>
              <w:spacing w:lineRule="auto" w:line="333" w:before="0" w:after="0"/>
              <w:jc w:val="center"/>
              <w:rPr>
                <w:rFonts w:ascii="Times New Roman;serif" w:hAnsi="Times New Roman;serif"/>
                <w:b/>
                <w:color w:val="000000"/>
                <w:sz w:val="16"/>
              </w:rPr>
            </w:pPr>
            <w:r>
              <w:rPr>
                <w:rFonts w:ascii="Times New Roman;serif" w:hAnsi="Times New Roman;serif"/>
                <w:b/>
                <w:color w:val="000000"/>
                <w:sz w:val="16"/>
              </w:rPr>
              <w:t>RSUs</w:t>
            </w:r>
          </w:p>
          <w:p>
            <w:pPr>
              <w:pStyle w:val="TableContents"/>
              <w:bidi w:val="0"/>
              <w:spacing w:lineRule="auto" w:line="333" w:before="0" w:after="30"/>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333" w:before="53" w:after="283"/>
              <w:jc w:val="center"/>
              <w:rPr>
                <w:rFonts w:ascii="Times New Roman;serif" w:hAnsi="Times New Roman;serif"/>
                <w:b/>
                <w:color w:val="000000"/>
                <w:sz w:val="16"/>
              </w:rPr>
            </w:pPr>
            <w:r>
              <w:rPr>
                <w:rFonts w:ascii="Times New Roman;serif" w:hAnsi="Times New Roman;serif"/>
                <w:b/>
                <w:color w:val="000000"/>
                <w:sz w:val="16"/>
              </w:rPr>
              <w:t>Weighted-</w:t>
            </w:r>
          </w:p>
          <w:p>
            <w:pPr>
              <w:pStyle w:val="TableContents"/>
              <w:bidi w:val="0"/>
              <w:spacing w:lineRule="auto" w:line="333" w:before="0" w:after="0"/>
              <w:jc w:val="center"/>
              <w:rPr>
                <w:rFonts w:ascii="Times New Roman;serif" w:hAnsi="Times New Roman;serif"/>
                <w:b/>
                <w:color w:val="000000"/>
                <w:sz w:val="16"/>
              </w:rPr>
            </w:pPr>
            <w:r>
              <w:rPr>
                <w:rFonts w:ascii="Times New Roman;serif" w:hAnsi="Times New Roman;serif"/>
                <w:b/>
                <w:color w:val="000000"/>
                <w:sz w:val="16"/>
              </w:rPr>
              <w:t>Average</w:t>
            </w:r>
          </w:p>
          <w:p>
            <w:pPr>
              <w:pStyle w:val="TableContents"/>
              <w:bidi w:val="0"/>
              <w:spacing w:lineRule="auto" w:line="333" w:before="0" w:after="0"/>
              <w:jc w:val="center"/>
              <w:rPr>
                <w:rFonts w:ascii="Times New Roman;serif" w:hAnsi="Times New Roman;serif"/>
                <w:b/>
                <w:color w:val="000000"/>
                <w:sz w:val="16"/>
              </w:rPr>
            </w:pPr>
            <w:r>
              <w:rPr>
                <w:rFonts w:ascii="Times New Roman;serif" w:hAnsi="Times New Roman;serif"/>
                <w:b/>
                <w:color w:val="000000"/>
                <w:sz w:val="16"/>
              </w:rPr>
              <w:t>Grant-Date</w:t>
            </w:r>
          </w:p>
          <w:p>
            <w:pPr>
              <w:pStyle w:val="TableContents"/>
              <w:bidi w:val="0"/>
              <w:spacing w:lineRule="auto" w:line="333" w:before="0" w:after="30"/>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and outstanding-December 31, 2025</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101,418 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8.36 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2,899 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(769)</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4.54 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top w:val="single" w:sz="2" w:space="0" w:color="CCEEFF"/>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and outstanding-June 30, 2026</w:t>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103,548 </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CCEE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2" w:space="0" w:color="CCEEFF"/>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2" w:space="0" w:color="CCEEFF"/>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8.28 </w:t>
            </w:r>
          </w:p>
        </w:tc>
        <w:tc>
          <w:tcPr>
            <w:tcW w:w="178" w:type="dxa"/>
            <w:tcBorders>
              <w:top w:val="single" w:sz="2" w:space="0" w:color="CCEEF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333" w:before="0" w:after="0"/>
        <w:jc w:val="left"/>
        <w:rPr/>
      </w:pPr>
      <w:hyperlink w:anchor="i65bd50e6e0134a778ca5f9a1e036512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(Tabular amounts in millions, except share and per share amounts, ratios, or as noted)</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(Unaudited)</w:t>
      </w:r>
    </w:p>
    <w:p>
      <w:pPr>
        <w:pStyle w:val="TextBody"/>
        <w:bidi w:val="0"/>
        <w:spacing w:lineRule="auto" w:line="288" w:before="240" w:after="283"/>
        <w:ind w:left="0" w:right="0" w:firstLine="450"/>
        <w:jc w:val="left"/>
        <w:rPr/>
      </w:pPr>
      <w:r>
        <w:rPr>
          <w:rFonts w:ascii="Times New Roman;serif" w:hAnsi="Times New Roman;serif"/>
          <w:b w:val="false"/>
          <w:color w:val="000000"/>
          <w:sz w:val="20"/>
        </w:rPr>
        <w:t>The market condition awards granted during the six months ended June 30, 2026 have requisite service periods ranging from 6 months to five years. The fair value of market condition RSUs is estimated at the date of grant using a Monte Carlo simulation model, with assumptions consistent with those disclosed in “</w:t>
      </w:r>
      <w:r>
        <w:rPr>
          <w:rFonts w:ascii="Times New Roman;serif" w:hAnsi="Times New Roman;serif"/>
          <w:b w:val="false"/>
          <w:i/>
          <w:color w:val="000000"/>
          <w:sz w:val="20"/>
        </w:rPr>
        <w:t>Part II – Item 8. Financial Statements and Supplementary Data – Notes to Consolidated Financial Statements – Note 12. Share-based Awards</w:t>
      </w:r>
      <w:r>
        <w:rPr>
          <w:rFonts w:ascii="Times New Roman;serif" w:hAnsi="Times New Roman;serif"/>
          <w:b w:val="false"/>
          <w:color w:val="000000"/>
          <w:sz w:val="20"/>
        </w:rPr>
        <w:t xml:space="preserve">,” in our Annual Report on Form 10-K for the year ended December 31, 2025. </w:t>
      </w:r>
    </w:p>
    <w:tbl>
      <w:tblPr>
        <w:tblW w:w="2787" w:type="dxa"/>
        <w:jc w:val="left"/>
        <w:tblInd w:w="0" w:type="dxa"/>
        <w:tblLayout w:type="fixed"/>
        <w:tblCellMar>
          <w:top w:w="28" w:type="dxa"/>
          <w:left w:w="28" w:type="dxa"/>
          <w:bottom w:w="28" w:type="dxa"/>
          <w:right w:w="28" w:type="dxa"/>
        </w:tblCellMar>
      </w:tblPr>
      <w:tblGrid>
        <w:gridCol w:w="124"/>
        <w:gridCol w:w="109"/>
        <w:gridCol w:w="109"/>
        <w:gridCol w:w="715"/>
        <w:gridCol w:w="715"/>
        <w:gridCol w:w="10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445"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445"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445"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445"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445" w:type="dxa"/>
            <w:gridSpan w:val="3"/>
            <w:tcBorders/>
            <w:vAlign w:val="center"/>
          </w:tcPr>
          <w:p>
            <w:pPr>
              <w:pStyle w:val="TableContents"/>
              <w:bidi w:val="0"/>
              <w:spacing w:before="0" w:after="283"/>
              <w:jc w:val="left"/>
              <w:rPr>
                <w:sz w:val="4"/>
                <w:szCs w:val="4"/>
              </w:rPr>
            </w:pPr>
            <w:r>
              <w:rPr>
                <w:sz w:val="4"/>
                <w:szCs w:val="4"/>
              </w:rPr>
            </w:r>
          </w:p>
        </w:tc>
      </w:tr>
    </w:tbl>
    <w:tbl>
      <w:tblPr>
        <w:tblW w:w="125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0" w:type="dxa"/>
            <w:gridSpan w:val="5"/>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50"/>
        <w:jc w:val="left"/>
        <w:rPr>
          <w:rFonts w:ascii="Times New Roman;serif" w:hAnsi="Times New Roman;serif"/>
          <w:b/>
          <w:i/>
          <w:color w:val="000000"/>
          <w:sz w:val="20"/>
        </w:rPr>
      </w:pPr>
      <w:r>
        <w:rPr>
          <w:rFonts w:ascii="Times New Roman;serif" w:hAnsi="Times New Roman;serif"/>
          <w:b/>
          <w:i/>
          <w:color w:val="000000"/>
          <w:sz w:val="20"/>
        </w:rPr>
        <w:t>Stock-based compensation expense</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is allocated based on the cost center to which the award holder belongs. The following table summarizes total stock-based compensation expense by function as presented in the condensed consolidated statements of operations for the three and six months ended June 30, 2026 and 2025 (in millions):</w:t>
      </w:r>
    </w:p>
    <w:tbl>
      <w:tblPr>
        <w:tblW w:w="7409" w:type="dxa"/>
        <w:jc w:val="left"/>
        <w:tblInd w:w="0" w:type="dxa"/>
        <w:tblLayout w:type="fixed"/>
        <w:tblCellMar>
          <w:top w:w="28" w:type="dxa"/>
          <w:left w:w="28" w:type="dxa"/>
          <w:bottom w:w="28" w:type="dxa"/>
          <w:right w:w="28" w:type="dxa"/>
        </w:tblCellMar>
      </w:tblPr>
      <w:tblGrid>
        <w:gridCol w:w="1251"/>
        <w:gridCol w:w="1097"/>
        <w:gridCol w:w="1101"/>
        <w:gridCol w:w="211"/>
        <w:gridCol w:w="466"/>
        <w:gridCol w:w="109"/>
        <w:gridCol w:w="109"/>
        <w:gridCol w:w="109"/>
        <w:gridCol w:w="109"/>
        <w:gridCol w:w="211"/>
        <w:gridCol w:w="361"/>
        <w:gridCol w:w="109"/>
        <w:gridCol w:w="109"/>
        <w:gridCol w:w="109"/>
        <w:gridCol w:w="109"/>
        <w:gridCol w:w="211"/>
        <w:gridCol w:w="466"/>
        <w:gridCol w:w="109"/>
        <w:gridCol w:w="109"/>
        <w:gridCol w:w="109"/>
        <w:gridCol w:w="109"/>
        <w:gridCol w:w="211"/>
        <w:gridCol w:w="361"/>
        <w:gridCol w:w="154"/>
      </w:tblGrid>
      <w:tr>
        <w:trPr/>
        <w:tc>
          <w:tcPr>
            <w:tcW w:w="1251"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marketing and operations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and development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recognized $100 million and $205 million of compensation expense related to market condition awards during the three and six months ended June 30, 2026, respectively, with no comparable expense during the three and six months ended June 30, 2025. As of June 30, 2026 there was $551 million of unamortized stock-based compensation costs related to unvested market condition RSUs, which are expected to be recognized over a weighted-average period of approximately 2.1 years. As of June 30, 2026 and December 31, 2025, no market conditions were satisfied. </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of June 30, 2026, there was $104 million of unamortized stock-based compensation costs related to unvested RSUs, which are expected to be recognized over a weighted-average period of approximately 2.3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450"/>
        <w:jc w:val="left"/>
        <w:rPr>
          <w:rFonts w:ascii="Times New Roman;serif" w:hAnsi="Times New Roman;serif"/>
          <w:b/>
          <w:color w:val="000000"/>
          <w:sz w:val="20"/>
        </w:rPr>
      </w:pPr>
      <w:r>
        <w:rPr>
          <w:rFonts w:ascii="Times New Roman;serif" w:hAnsi="Times New Roman;serif"/>
          <w:b/>
          <w:color w:val="000000"/>
          <w:sz w:val="20"/>
        </w:rPr>
        <w:t>10.WARRANTS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Marketing Warrants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On July 28, 2022, the Company entered into a warrant agreement with Zillow, Inc. (“Zillow”) in connection with a partnership arrangement that allows for Zillow to purchase up to 6 million shares of common stock that will vest in tranches (each, a “Tranche”) upon Zillow providing resale marketing services to the Company. As of June 30, 2026, one Tranche of 300,000 shares of common stock underlying the warrant has vested, with an exercise price of $15 per share, and none have been exercised.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Warrant Dividends</w:t>
      </w:r>
    </w:p>
    <w:p>
      <w:pPr>
        <w:pStyle w:val="TextBody"/>
        <w:bidi w:val="0"/>
        <w:spacing w:lineRule="auto" w:line="288" w:before="240" w:after="283"/>
        <w:ind w:left="0" w:right="0" w:firstLine="450"/>
        <w:jc w:val="left"/>
        <w:rPr/>
      </w:pPr>
      <w:r>
        <w:rPr>
          <w:rFonts w:ascii="Times New Roman;serif" w:hAnsi="Times New Roman;serif"/>
          <w:b w:val="false"/>
          <w:color w:val="000000"/>
          <w:sz w:val="20"/>
        </w:rPr>
        <w:t>On November 6, 2025, our board of directors declared a distribution of a dividend in the form of warrants to purchase shares of our common stock. On November 21, 2025, a total of 99,295,146 Warrants were issued and distributed to the holders of record of common stock and 2030 Notes as of the November 18, 2025 record date. There was no material activity during the six months ended June 30, 2026 related to the Warrant Dividends. Refer to “</w:t>
      </w:r>
      <w:r>
        <w:rPr>
          <w:rFonts w:ascii="Times New Roman;serif" w:hAnsi="Times New Roman;serif"/>
          <w:b w:val="false"/>
          <w:i/>
          <w:color w:val="000000"/>
          <w:sz w:val="20"/>
        </w:rPr>
        <w:t>Part II – Item 8. Financial Statements and Supplementary Data – Notes to Consolidated Financial Statements – Note 11. Shareholders’ Equity</w:t>
      </w:r>
      <w:r>
        <w:rPr>
          <w:rFonts w:ascii="Times New Roman;serif" w:hAnsi="Times New Roman;serif"/>
          <w:b w:val="false"/>
          <w:color w:val="000000"/>
          <w:sz w:val="20"/>
        </w:rPr>
        <w:t>,” in our Annual Report on Form 10-K for the year ended December 31, 2025 for additional information regarding the Warrant Dividends.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450"/>
        <w:jc w:val="left"/>
        <w:rPr>
          <w:rFonts w:ascii="Times New Roman;serif" w:hAnsi="Times New Roman;serif"/>
          <w:b/>
          <w:color w:val="000000"/>
          <w:sz w:val="20"/>
        </w:rPr>
      </w:pPr>
      <w:r>
        <w:rPr>
          <w:rFonts w:ascii="Times New Roman;serif" w:hAnsi="Times New Roman;serif"/>
          <w:b/>
          <w:color w:val="000000"/>
          <w:sz w:val="20"/>
        </w:rPr>
        <w:t xml:space="preserve">11.INCOME TAXES </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Company's tax provision and the resulting effective tax rate for interim periods are determined based upon its estimated annual effective tax rate adjusted for the effect of discrete items arising in that quarter.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333" w:before="0" w:after="0"/>
        <w:jc w:val="left"/>
        <w:rPr/>
      </w:pPr>
      <w:hyperlink w:anchor="i65bd50e6e0134a778ca5f9a1e036512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(Tabular amounts in millions, except share and per share amounts, ratios, or as noted)</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(Unaudited)</w:t>
      </w:r>
    </w:p>
    <w:p>
      <w:pPr>
        <w:pStyle w:val="TextBody"/>
        <w:bidi w:val="0"/>
        <w:spacing w:lineRule="auto" w:line="288" w:before="240" w:after="283"/>
        <w:ind w:left="0" w:right="0" w:firstLine="450"/>
        <w:jc w:val="left"/>
        <w:rPr/>
      </w:pPr>
      <w:r>
        <w:rPr>
          <w:rFonts w:ascii="Times New Roman;serif" w:hAnsi="Times New Roman;serif"/>
          <w:b w:val="false"/>
          <w:color w:val="000000"/>
          <w:sz w:val="20"/>
        </w:rPr>
        <w:t>The Company’s provision for income taxes, which consisted of state taxes in the United States and foreign income taxes in Canada and India was $0.1 million and $0.2 million for the</w:t>
      </w:r>
      <w:r>
        <w:rPr>
          <w:color w:val="242424"/>
        </w:rPr>
        <w:t xml:space="preserve"> </w:t>
      </w:r>
      <w:r>
        <w:rPr>
          <w:rFonts w:ascii="Times New Roman;serif" w:hAnsi="Times New Roman;serif"/>
          <w:b w:val="false"/>
          <w:color w:val="242424"/>
          <w:sz w:val="20"/>
        </w:rPr>
        <w:t>three and six months ended</w:t>
      </w:r>
      <w:r>
        <w:rPr>
          <w:color w:val="000000"/>
        </w:rPr>
        <w:t xml:space="preserve"> </w:t>
      </w:r>
      <w:r>
        <w:rPr>
          <w:rFonts w:ascii="Times New Roman;serif" w:hAnsi="Times New Roman;serif"/>
          <w:b w:val="false"/>
          <w:color w:val="000000"/>
          <w:sz w:val="20"/>
        </w:rPr>
        <w:t>June 30, 2026, respectively, with an effective tax rate of (0.06)% and (0.06)%, respectively. The Company's provision for income taxes was $0.2 million and $0.4 million for the three and six months ended June 30, 2025, respectively, with an effective tax rate of (0.69)% and (0.35)%, respectively. The effective tax rate differs from the U.S. statutory tax rate primarily due to the recording of a full valuation allowance against the net deferred tax assets.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evaluated the positive and negative evidence bearing upon the realizability of its deferred tax assets by jurisdiction. Based on the Company’s history of operating losses, including a three-year cumulative loss position, the Company believes that based on the weight of available evidence, it is more likely than not that all of the deferred tax assets in the U.S. will not be realized and recorded a full valuation allowance of its federal and state net deferred tax assets as of June 30, 2026 and December 31, 2025.</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December 2021, the Organization for Economic Co-operation and Development (“OECD”) Inclusive Framework on Base Erosion and Profit Shifting released Model Global Anti-Base Erosion rules (“Model Rules”) under Pillar Two. The Model Rules set forth the “common approach” for a Global Minimum Tax at 15 percent for multinational enterprises with a turnover of more than 750 million Euros. Certain aspects of Pillar Two were effective January 1, 2024 and other aspects were effective January 1, 2025. Various countries have adopted legislation and other countries are in the process of introducing legislation to implement Pillar Two. On January 5, 2026, the OECD announced changes to the Model Rules to include the “side-by-side” arrangement, which contains simplification measures as well as an exemption for U.S.-parented companies from certain aspects of the Pillar Two regime. The updated Model Rules will need to be enacted into local legislation to become effective. Pillar Two did not have a material impact on the Company’s condensed consolidated financial statements as of June 30, 2026. The Company continues to monitor developments and administrative guidance and to evaluate the potential impact of Pillar Two on its condensed consolidated financial statement for future periods.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(the “Act”) was enacted into law. The Act includes significant changes to the U.S. tax code, including restoration of immediate recognition of domestic research and development expenditures and reinstatement of 100% bonus depreciation for qualifying property. The Company has evaluated the impact of the Act on its condensed consolidated financial statements, including the effects on its deferred tax assets and liabilities and has not identified any material impact on its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450"/>
        <w:jc w:val="left"/>
        <w:rPr/>
      </w:pPr>
      <w:r>
        <w:rPr>
          <w:rFonts w:ascii="Times New Roman;serif" w:hAnsi="Times New Roman;serif"/>
          <w:b/>
          <w:color w:val="000000"/>
          <w:sz w:val="20"/>
        </w:rPr>
        <w:t>12.NET LOSS PER SHARE</w:t>
      </w:r>
      <w:r>
        <w:rPr>
          <w:color w:val="EE2724"/>
        </w:rPr>
        <w:t xml:space="preserve"> </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Basic net loss per share is computed based on the weighted average number of shares of common stock outstanding during the period. Diluted net loss per share is computed based on the weighted average number of common shares outstanding plus the effect of dilutive potential common shares outstanding during the period using the treasury stock method. During the periods when there is a net loss, potentially dilutive common stock equivalents have been excluded from the calculation of diluted net loss per share as their effect is anti-dilutive. No dividends, including preferred dividends, were declared, paid, or accumulated for the three and six months ended June 30, 2026 or 2025.</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uses the two-class method to calculate net loss per share and applies the more dilutive of the two-class method, treasury stock method or if-converted method to calculate diluted net loss per share. Undistributed earnings for each period are allocated to participating securities, based on the contractual participation rights of the security to share in the current earnings as if all current period earnings had been distributed. As there is no contractual obligation for participating securities to share in losses, the Company’s basic net loss per share is computed by dividing the net loss attributable to common shareholders by the weighted-average shares of common stock outstanding during periods with undistributed losses.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333" w:before="0" w:after="0"/>
        <w:jc w:val="left"/>
        <w:rPr/>
      </w:pPr>
      <w:hyperlink w:anchor="i65bd50e6e0134a778ca5f9a1e036512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(Tabular amounts in millions, except share and per share amounts, ratios, or as noted)</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(Unaudited)</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the Company’s basic and diluted net loss per share attributable to common shareholders for the three and six months ended June 30, 2026 and 2025 (in millions, except share amounts which are presented in thousands, and per share amounts):</w:t>
      </w:r>
    </w:p>
    <w:tbl>
      <w:tblPr>
        <w:tblW w:w="9506" w:type="dxa"/>
        <w:jc w:val="left"/>
        <w:tblInd w:w="0" w:type="dxa"/>
        <w:tblLayout w:type="fixed"/>
        <w:tblCellMar>
          <w:top w:w="28" w:type="dxa"/>
          <w:left w:w="28" w:type="dxa"/>
          <w:bottom w:w="28" w:type="dxa"/>
          <w:right w:w="28" w:type="dxa"/>
        </w:tblCellMar>
      </w:tblPr>
      <w:tblGrid>
        <w:gridCol w:w="1712"/>
        <w:gridCol w:w="1511"/>
        <w:gridCol w:w="1517"/>
        <w:gridCol w:w="236"/>
        <w:gridCol w:w="590"/>
        <w:gridCol w:w="109"/>
        <w:gridCol w:w="109"/>
        <w:gridCol w:w="109"/>
        <w:gridCol w:w="109"/>
        <w:gridCol w:w="236"/>
        <w:gridCol w:w="590"/>
        <w:gridCol w:w="109"/>
        <w:gridCol w:w="109"/>
        <w:gridCol w:w="109"/>
        <w:gridCol w:w="109"/>
        <w:gridCol w:w="236"/>
        <w:gridCol w:w="590"/>
        <w:gridCol w:w="109"/>
        <w:gridCol w:w="109"/>
        <w:gridCol w:w="109"/>
        <w:gridCol w:w="109"/>
        <w:gridCol w:w="236"/>
        <w:gridCol w:w="590"/>
        <w:gridCol w:w="154"/>
      </w:tblGrid>
      <w:tr>
        <w:trPr/>
        <w:tc>
          <w:tcPr>
            <w:tcW w:w="1712"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Basic and diluted net loss per share:</w:t>
            </w:r>
          </w:p>
        </w:tc>
        <w:tc>
          <w:tcPr>
            <w:tcW w:w="9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Net loss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9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 basic and diluted</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965,780 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729,484 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962,574 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726,529 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Basic and diluted net loss per share</w:t>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(0.16)</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securities were not included in the computation of diluted shares outstanding because the effect would be anti-dilutive, or issuance of such shares is contingent upon the satisfaction of certain conditions which were not satisfied by the end of the period (in thousands):</w:t>
      </w:r>
    </w:p>
    <w:tbl>
      <w:tblPr>
        <w:tblW w:w="7771" w:type="dxa"/>
        <w:jc w:val="left"/>
        <w:tblInd w:w="0" w:type="dxa"/>
        <w:tblLayout w:type="fixed"/>
        <w:tblCellMar>
          <w:top w:w="28" w:type="dxa"/>
          <w:left w:w="28" w:type="dxa"/>
          <w:bottom w:w="28" w:type="dxa"/>
          <w:right w:w="28" w:type="dxa"/>
        </w:tblCellMar>
      </w:tblPr>
      <w:tblGrid>
        <w:gridCol w:w="951"/>
        <w:gridCol w:w="835"/>
        <w:gridCol w:w="838"/>
        <w:gridCol w:w="413"/>
        <w:gridCol w:w="413"/>
        <w:gridCol w:w="178"/>
        <w:gridCol w:w="178"/>
        <w:gridCol w:w="178"/>
        <w:gridCol w:w="178"/>
        <w:gridCol w:w="360"/>
        <w:gridCol w:w="361"/>
        <w:gridCol w:w="178"/>
        <w:gridCol w:w="109"/>
        <w:gridCol w:w="109"/>
        <w:gridCol w:w="109"/>
        <w:gridCol w:w="413"/>
        <w:gridCol w:w="413"/>
        <w:gridCol w:w="156"/>
        <w:gridCol w:w="154"/>
        <w:gridCol w:w="154"/>
        <w:gridCol w:w="154"/>
        <w:gridCol w:w="360"/>
        <w:gridCol w:w="361"/>
        <w:gridCol w:w="218"/>
      </w:tblGrid>
      <w:tr>
        <w:trPr/>
        <w:tc>
          <w:tcPr>
            <w:tcW w:w="95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Market Condition RSUs</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103,548 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103,548 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Warrants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99,588 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99,588 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r>
      <w:tr>
        <w:trPr/>
        <w:tc>
          <w:tcPr>
            <w:tcW w:w="2624"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RSUs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28,554 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47,169 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28,554 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47,169 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Convertible Senior Notes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26,208 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Options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6,851 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6,851 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r>
      <w:tr>
        <w:trPr/>
        <w:tc>
          <w:tcPr>
            <w:tcW w:w="2624"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Stock Purchase Plan</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2,190 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anti-dilutive securities</w:t>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261,514 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56,510 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262,276 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56,510 </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450"/>
        <w:jc w:val="left"/>
        <w:rPr>
          <w:rFonts w:ascii="Times New Roman;serif" w:hAnsi="Times New Roman;serif"/>
          <w:b/>
          <w:color w:val="000000"/>
          <w:sz w:val="20"/>
        </w:rPr>
      </w:pPr>
      <w:r>
        <w:rPr>
          <w:rFonts w:ascii="Times New Roman;serif" w:hAnsi="Times New Roman;serif"/>
          <w:b/>
          <w:color w:val="000000"/>
          <w:sz w:val="20"/>
        </w:rPr>
        <w:t xml:space="preserve">13.RELATED PARTIES </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the retained interest in Mainstay Labs Inc. (“Mainstay”), a formerly consolidated subsidiary of the Company, that was deconsolidated on July 31, 2024 (the “Deconsolidation”), was $48 million, which is presented in Other assets in the condensed consolidated balance sheets. The investment is recognized as a non-marketable equity security investment under ASC 321, Investments - Equity Securities, and is measured at fair value on a non-recurring basis, with the fair value initially determined as of the transaction date. As of June 30, 2026, there has been no impairment or other observable price changes. As a result of the Company’s continued investment in Mainstay, transactions between the Company and Mainstay subsequent to the Deconsolidation are considered to be related-party transactions. Prior to the Deconsolidation, transactions between Mainstay and Opendoor were eliminated upon consolidation. </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Deconsolidation, the Company entered into a contractual agreement to provide Mainstay with certain transition administrative services for a limited period of time (“Transition Services”) and to fulfill certain funding obligations to be paid in the form of Mainstay Series A Preferred Stock at the original Series A Preferred Stock issuance price. In September 2025, the Company received $9 million of Series A Preferred Stock as consideration for the Transition Services and related funding requirements. The Company continued to fund bonuses for certain Mainstay employees, other than Mainstay Management, through November 2025. Amounts paid during both the three and six months ended June 30, 2025 were immaterial. </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Subsequent to the Deconsolidation, the Company has no compensation arrangements with the management of Mainstay who are responsible for directing the activities that most significantly impact the economics of Mainstay (“Mainstay Management”). As of the Deconsolidation, outstanding Opendoor RSUs held by Mainstay employees, other than Mainstay Management, were modified so that the service-based vesting requirement will be satisfied as long as the Mainstay employee continues to provide services to Mainstay (“Post Deconsolidation RSUs”). During the three and six months ended June 30,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333" w:before="0" w:after="0"/>
        <w:jc w:val="left"/>
        <w:rPr/>
      </w:pPr>
      <w:hyperlink w:anchor="i65bd50e6e0134a778ca5f9a1e036512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(Tabular amounts in millions, except share and per share amounts, ratios, or as noted)</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(Unaudited)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2026, 8,384 and 21,307 shares of common stock, respectively, were issued to Mainstay employees for the settlement of RSUs, net of shares withheld for participant taxes. As of June 30, 2026, all RSUs had vested. </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April 2025, the Company entered into an agreement with Mainstay to create Mainstay National Title LLC, which provides title and escrow services to institutional customers. The Company has a 25% interest in and provides certain services to Mainstay National Title LLC. The initial investment is recognized as an equity method investment under ASC 323, Investments – Equity Method and Joint Ventures. As of June 30, 2026, the carrying value of the equity method investment was $1 million and is presented in Other assets on the condensed consolidated balance sheets. During the three and six months ended June 30, 2026, the Company recognized revenue of $2 million and $5 million, respectively. During the three and six months ended June 30, 2025, the Company recognized revenue of $4 million and $4 million, respectively. This revenue is presented within the condensed consolidated statement of operations related to services provided to Mainstay National Title LLC. </w:t>
      </w:r>
    </w:p>
    <w:p>
      <w:pPr>
        <w:pStyle w:val="TextBody"/>
        <w:bidi w:val="0"/>
        <w:spacing w:lineRule="auto" w:line="288" w:before="240" w:after="283"/>
        <w:ind w:left="0" w:right="0" w:firstLine="450"/>
        <w:jc w:val="left"/>
        <w:rPr/>
      </w:pPr>
      <w:r>
        <w:rPr>
          <w:rFonts w:ascii="Times New Roman;serif" w:hAnsi="Times New Roman;serif"/>
          <w:b w:val="false"/>
          <w:color w:val="000000"/>
          <w:sz w:val="20"/>
        </w:rPr>
        <w:t>There have been no other material changes to the related party transactions disclosed in our Annual Report on Form 10-K for the year ended December 31, 2025. For a full description of those arrangements, see “</w:t>
      </w:r>
      <w:r>
        <w:rPr>
          <w:rFonts w:ascii="Times New Roman;serif" w:hAnsi="Times New Roman;serif"/>
          <w:b w:val="false"/>
          <w:i/>
          <w:color w:val="000000"/>
          <w:sz w:val="20"/>
        </w:rPr>
        <w:t>Part II – Item 8. Financial Statements and Supplementary Data – Note 17. Related Parties</w:t>
      </w:r>
      <w:r>
        <w:rPr>
          <w:color w:val="000000"/>
        </w:rPr>
        <w:t xml:space="preserve">” </w:t>
      </w:r>
      <w:r>
        <w:rPr>
          <w:rFonts w:ascii="Times New Roman;serif" w:hAnsi="Times New Roman;serif"/>
          <w:b w:val="false"/>
          <w:color w:val="000000"/>
          <w:sz w:val="20"/>
        </w:rPr>
        <w:t>of our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450"/>
        <w:jc w:val="left"/>
        <w:rPr>
          <w:rFonts w:ascii="Times New Roman;serif" w:hAnsi="Times New Roman;serif"/>
          <w:b/>
          <w:color w:val="000000"/>
          <w:sz w:val="20"/>
        </w:rPr>
      </w:pPr>
      <w:r>
        <w:rPr>
          <w:rFonts w:ascii="Times New Roman;serif" w:hAnsi="Times New Roman;serif"/>
          <w:b/>
          <w:color w:val="000000"/>
          <w:sz w:val="20"/>
        </w:rPr>
        <w:t xml:space="preserve">14.SEGMENT INFORMATION </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managed as a single operating and reportable segment on a consolidated basis, reflecting how the Company’s Chief Operating Decision Maker (“CODM”) allocates resources and evaluates the Company’s financial information. The operating segment is the Company’s residential real estate product and service offerings. The Company determined that the Chief Executive Officer is the CODM, given their responsibility for making resource allocation decisions, assessing performance, making strategic operational decisions and managing the organization at a consolidated level. </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the Company is managed as a single operating and reportable segment, the measure of segment profit or loss is consolidated net loss. The CODM utilizes the financial information below in assessing the segment’s performance and allocating resources. The measure of segment assets is reported on the Company’s condensed consolidated balance sheets as total assets.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table below highlights the Company’s reportable segment’s expenses and net loss for the three and six months ended June 30, 2026 and 2025 (in millions): </w:t>
      </w:r>
    </w:p>
    <w:tbl>
      <w:tblPr>
        <w:tblW w:w="9521" w:type="dxa"/>
        <w:jc w:val="left"/>
        <w:tblInd w:w="0" w:type="dxa"/>
        <w:tblLayout w:type="fixed"/>
        <w:tblCellMar>
          <w:top w:w="28" w:type="dxa"/>
          <w:left w:w="28" w:type="dxa"/>
          <w:bottom w:w="28" w:type="dxa"/>
          <w:right w:w="28" w:type="dxa"/>
        </w:tblCellMar>
      </w:tblPr>
      <w:tblGrid>
        <w:gridCol w:w="1626"/>
        <w:gridCol w:w="1434"/>
        <w:gridCol w:w="1439"/>
        <w:gridCol w:w="109"/>
        <w:gridCol w:w="109"/>
        <w:gridCol w:w="109"/>
        <w:gridCol w:w="211"/>
        <w:gridCol w:w="541"/>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626"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Direct selling costs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Holding costs</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Advertising and other marketing expense</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Operations</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Fixed operating expense</w:t>
            </w:r>
            <w:r>
              <w:rPr>
                <w:rFonts w:ascii="Times New Roman;serif" w:hAnsi="Times New Roman;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CEO make-whole provision</w:t>
            </w:r>
            <w:r>
              <w:rPr>
                <w:rFonts w:ascii="Times New Roman;serif" w:hAnsi="Times New Roman;serif"/>
                <w:b w:val="false"/>
                <w:color w:val="000000"/>
                <w:sz w:val="13"/>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Stock-based compensation for market condition 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________________</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333" w:before="0" w:after="0"/>
        <w:jc w:val="left"/>
        <w:rPr/>
      </w:pPr>
      <w:hyperlink w:anchor="i65bd50e6e0134a778ca5f9a1e036512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(Tabular amounts in millions, except share and per share amounts, ratios, or as noted)</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(Unaudited)</w:t>
      </w:r>
    </w:p>
    <w:p>
      <w:pPr>
        <w:pStyle w:val="TextBody"/>
        <w:bidi w:val="0"/>
        <w:spacing w:lineRule="auto" w:line="288" w:before="120" w:after="283"/>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Represents selling costs incurred related to homes sold in the relevant period. This primarily includes broker commissions, external title and escrow-related fees and transfer taxes and are included in Sales, marketing and operations.</w:t>
      </w:r>
    </w:p>
    <w:p>
      <w:pPr>
        <w:pStyle w:val="TextBody"/>
        <w:bidi w:val="0"/>
        <w:spacing w:lineRule="auto" w:line="288" w:before="120" w:after="283"/>
        <w:ind w:left="0" w:right="0" w:hanging="360"/>
        <w:jc w:val="left"/>
        <w:rPr/>
      </w:pPr>
      <w:r>
        <w:rPr>
          <w:rFonts w:ascii="Times New Roman;serif" w:hAnsi="Times New Roman;serif"/>
          <w:b w:val="false"/>
          <w:color w:val="000000"/>
          <w:sz w:val="13"/>
        </w:rPr>
        <w:t>(2)</w:t>
      </w:r>
      <w:r>
        <w:rPr>
          <w:rFonts w:ascii="Times New Roman;serif" w:hAnsi="Times New Roman;serif"/>
          <w:b w:val="false"/>
          <w:color w:val="000000"/>
          <w:sz w:val="20"/>
        </w:rPr>
        <w:t>Represents holding costs incurred both in the period presented and in prior periods on homes sold in the period presented (“Resale Cohort Holding Costs”). Holding costs include mainly property taxes, insurance, utilities, homeowners association dues, cleaning and maintenance costs. Holding costs are included in Sales, marketing and operations in the period in which they are incurred (“GAAP Holding Costs”).</w:t>
      </w:r>
    </w:p>
    <w:p>
      <w:pPr>
        <w:pStyle w:val="TextBody"/>
        <w:bidi w:val="0"/>
        <w:spacing w:lineRule="auto" w:line="288" w:before="120" w:after="283"/>
        <w:ind w:left="0" w:right="0" w:hanging="360"/>
        <w:jc w:val="left"/>
        <w:rPr/>
      </w:pPr>
      <w:r>
        <w:rPr>
          <w:rFonts w:ascii="Times New Roman;serif" w:hAnsi="Times New Roman;serif"/>
          <w:b w:val="false"/>
          <w:color w:val="000000"/>
          <w:sz w:val="13"/>
        </w:rPr>
        <w:t>(3)</w:t>
      </w:r>
      <w:r>
        <w:rPr>
          <w:rFonts w:ascii="Times New Roman;serif" w:hAnsi="Times New Roman;serif"/>
          <w:b w:val="false"/>
          <w:color w:val="000000"/>
          <w:sz w:val="20"/>
        </w:rPr>
        <w:t>Advertising expenses are included in Sales, marketing and operations. Other marketing expenses include non-advertising marketing expenses such as acquisition leads and referrals and public relations services and are included in Sales, marketing and operations.</w:t>
      </w:r>
    </w:p>
    <w:p>
      <w:pPr>
        <w:pStyle w:val="TextBody"/>
        <w:bidi w:val="0"/>
        <w:spacing w:lineRule="auto" w:line="288" w:before="120" w:after="283"/>
        <w:ind w:left="0" w:right="0" w:hanging="360"/>
        <w:jc w:val="left"/>
        <w:rPr/>
      </w:pPr>
      <w:r>
        <w:rPr>
          <w:rFonts w:ascii="Times New Roman;serif" w:hAnsi="Times New Roman;serif"/>
          <w:b w:val="false"/>
          <w:color w:val="000000"/>
          <w:sz w:val="13"/>
        </w:rPr>
        <w:t>(4)</w:t>
      </w:r>
      <w:r>
        <w:rPr>
          <w:rFonts w:ascii="Times New Roman;serif" w:hAnsi="Times New Roman;serif"/>
          <w:b w:val="false"/>
          <w:color w:val="000000"/>
          <w:sz w:val="20"/>
        </w:rPr>
        <w:t xml:space="preserve">Represents operating expenses that are generally related to the volume of homes transacted during the period and tend to be variable in nature. Primarily includes workforce expenses in support of sales, and real estate operations. </w:t>
      </w:r>
    </w:p>
    <w:p>
      <w:pPr>
        <w:pStyle w:val="TextBody"/>
        <w:bidi w:val="0"/>
        <w:spacing w:lineRule="auto" w:line="288" w:before="120" w:after="283"/>
        <w:ind w:left="0" w:right="0" w:hanging="360"/>
        <w:jc w:val="left"/>
        <w:rPr/>
      </w:pPr>
      <w:r>
        <w:rPr>
          <w:rFonts w:ascii="Times New Roman;serif" w:hAnsi="Times New Roman;serif"/>
          <w:b w:val="false"/>
          <w:color w:val="000000"/>
          <w:sz w:val="13"/>
        </w:rPr>
        <w:t>(5)</w:t>
      </w:r>
      <w:r>
        <w:rPr>
          <w:rFonts w:ascii="Times New Roman;serif" w:hAnsi="Times New Roman;serif"/>
          <w:b w:val="false"/>
          <w:color w:val="000000"/>
          <w:sz w:val="20"/>
        </w:rPr>
        <w:t>Represents operating expenses that are not directly correlated with home transaction volumes. These expenses generally include costs related to salaries and benefits for our executive, finance, technology, human resources, legal, marketing and administrative personnel, as well as third-party professional services fees, rent expense and third-party software.</w:t>
      </w:r>
    </w:p>
    <w:p>
      <w:pPr>
        <w:pStyle w:val="TextBody"/>
        <w:bidi w:val="0"/>
        <w:spacing w:lineRule="auto" w:line="288" w:before="120" w:after="283"/>
        <w:ind w:left="0" w:right="0" w:hanging="360"/>
        <w:jc w:val="left"/>
        <w:rPr/>
      </w:pPr>
      <w:r>
        <w:rPr>
          <w:rFonts w:ascii="Times New Roman;serif" w:hAnsi="Times New Roman;serif"/>
          <w:b w:val="false"/>
          <w:color w:val="000000"/>
          <w:sz w:val="13"/>
        </w:rPr>
        <w:t>(6)</w:t>
      </w:r>
      <w:r>
        <w:rPr>
          <w:rFonts w:ascii="Times New Roman;serif" w:hAnsi="Times New Roman;serif"/>
          <w:b w:val="false"/>
          <w:color w:val="000000"/>
          <w:sz w:val="20"/>
        </w:rPr>
        <w:t xml:space="preserve">In connection with the appointment of the Company's new Chief Executive Officer in September 2025, the Company granted two make-whole awards related to compensation forfeited from his former employer. The awards consist of (i) a $15 million cash award and (ii) a restricted stock unit award with a grant date value of $15 million. Both awards vest nine months after his start date, contingent upon his continued service as Chief Executive Officer through the vesting date, and are expensed over the requisite service period. The CEO make-whole provision adjustment reflects only the expense associated with the cash make-whole award. The expense associated with the restricted stock unit make-whole award is included in the stock-based compensation line item presented separately in the reconciliation above. </w:t>
      </w:r>
    </w:p>
    <w:p>
      <w:pPr>
        <w:pStyle w:val="TextBody"/>
        <w:bidi w:val="0"/>
        <w:spacing w:lineRule="auto" w:line="288" w:before="120" w:after="283"/>
        <w:ind w:left="0" w:right="0" w:hanging="360"/>
        <w:jc w:val="left"/>
        <w:rPr/>
      </w:pPr>
      <w:r>
        <w:rPr>
          <w:rFonts w:ascii="Times New Roman;serif" w:hAnsi="Times New Roman;serif"/>
          <w:b w:val="false"/>
          <w:color w:val="000000"/>
          <w:sz w:val="13"/>
        </w:rPr>
        <w:t>(7)</w:t>
      </w:r>
      <w:r>
        <w:rPr>
          <w:rFonts w:ascii="Times New Roman;serif" w:hAnsi="Times New Roman;serif"/>
          <w:b w:val="false"/>
          <w:color w:val="000000"/>
          <w:sz w:val="20"/>
        </w:rPr>
        <w:t>Other segment income (expenses) are primarily made up of depreciation and amortization, restructuring, and amortization of stock-based compensation capitalized to internally developed software. This also includes the elimination of holding costs incurred in prior periods on homes sold in the periods presented, and includes holding costs incurred in the current period on homes remaining in inventory at period end.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450"/>
        <w:jc w:val="left"/>
        <w:rPr>
          <w:rFonts w:ascii="Times New Roman;serif" w:hAnsi="Times New Roman;serif"/>
          <w:b/>
          <w:color w:val="000000"/>
          <w:sz w:val="20"/>
        </w:rPr>
      </w:pPr>
      <w:r>
        <w:rPr>
          <w:rFonts w:ascii="Times New Roman;serif" w:hAnsi="Times New Roman;serif"/>
          <w:b/>
          <w:color w:val="000000"/>
          <w:sz w:val="20"/>
        </w:rPr>
        <w:t xml:space="preserve">15.COMMITMENTS AND CONTINGENCIES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Legal Matters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From time to time, the Company may be subject to potential liability relating to the ownership and operations of the Company’s properties. Accruals are recorded when the outcome is probable and can be reasonably estimated.</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There are various claims and lawsuits arising in the normal course of business pending against the Company, some of which seek damages and other relief which, if granted, may require future cash expenditures. In addition, from time to time the Company receives inquiries and audit requests from various government agencies and fully cooperates with these requests. The Company does not believe that it is reasonably possible that the resolution of these matters would result in any liability that would materially affect the Company’s condensed consolidated results of operations or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450"/>
        <w:jc w:val="left"/>
        <w:rPr>
          <w:rFonts w:ascii="Times New Roman;serif" w:hAnsi="Times New Roman;serif"/>
          <w:b/>
          <w:color w:val="000000"/>
          <w:sz w:val="20"/>
        </w:rPr>
      </w:pPr>
      <w:r>
        <w:rPr>
          <w:rFonts w:ascii="Times New Roman;serif" w:hAnsi="Times New Roman;serif"/>
          <w:b/>
          <w:color w:val="000000"/>
          <w:sz w:val="20"/>
        </w:rPr>
        <w:t>16.RESTRUCTURING</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Restructuring costs for ongoing employee benefit arrangements, inclusive of statutory requirements, are recognized in accordance with ASC 712, Compensation - Non-retirement Post-employment Benefits when it becomes probable that an obligation has been incurred and the amount can be reasonably estimated. If applicable, the Company recognizes restructuring costs over the terminated employees’ remaining service period. The liabilities for restructuring costs are recognized in Accounts payable and other accrued liabilities on the condensed consolidated balance sheets.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the Company initiated the closure of its Indian subsidiary. The Company recognized $3 million of restructuring expenses related to post-employment benefits for approximately 150 employees, as well as other cost associated with the closure, including $1 million related to the early termination of a lease. Payments for restructuring costs incurred during the six months ended June 30, 2026 will be substantially completed by the fourth quarter of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333" w:before="0" w:after="0"/>
        <w:jc w:val="left"/>
        <w:rPr/>
      </w:pPr>
      <w:hyperlink w:anchor="i65bd50e6e0134a778ca5f9a1e036512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(Tabular amounts in millions, except share and per share amounts, ratios, or as noted)</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(Unaudited)</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2025, the Company recognized $6 million of restructuring expenses related to post-employment benefits for approximately 125 employees, as well as other cost reduction efforts. Additionally, the Company incurred $3 million of costs related to the early termination of a lease. Payments for restructuring costs incurred during the six months ended June 30, 2025 were substantially completed by the third quarter of 2025. </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restructuring liability balance was $2 million and $1 million, respectively.</w:t>
      </w:r>
    </w:p>
    <w:tbl>
      <w:tblPr>
        <w:tblW w:w="3577" w:type="dxa"/>
        <w:jc w:val="left"/>
        <w:tblInd w:w="0" w:type="dxa"/>
        <w:tblLayout w:type="fixed"/>
        <w:tblCellMar>
          <w:top w:w="28" w:type="dxa"/>
          <w:left w:w="28" w:type="dxa"/>
          <w:bottom w:w="28" w:type="dxa"/>
          <w:right w:w="28" w:type="dxa"/>
        </w:tblCellMar>
      </w:tblPr>
      <w:tblGrid>
        <w:gridCol w:w="941"/>
        <w:gridCol w:w="826"/>
        <w:gridCol w:w="827"/>
        <w:gridCol w:w="264"/>
        <w:gridCol w:w="320"/>
        <w:gridCol w:w="136"/>
        <w:gridCol w:w="109"/>
        <w:gridCol w:w="154"/>
      </w:tblGrid>
      <w:tr>
        <w:trPr/>
        <w:tc>
          <w:tcPr>
            <w:tcW w:w="94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7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7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7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Balance-December 31, 2025</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charged to expense</w:t>
            </w:r>
          </w:p>
        </w:tc>
        <w:tc>
          <w:tcPr>
            <w:tcW w:w="5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Costs paid or otherwise settled</w:t>
            </w:r>
          </w:p>
        </w:tc>
        <w:tc>
          <w:tcPr>
            <w:tcW w:w="5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Balance- June 30, 2026</w:t>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450"/>
        <w:jc w:val="left"/>
        <w:rPr>
          <w:rFonts w:ascii="Times New Roman;serif" w:hAnsi="Times New Roman;serif"/>
          <w:b/>
          <w:color w:val="000000"/>
          <w:sz w:val="20"/>
        </w:rPr>
      </w:pPr>
      <w:r>
        <w:rPr>
          <w:rFonts w:ascii="Times New Roman;serif" w:hAnsi="Times New Roman;serif"/>
          <w:b/>
          <w:color w:val="000000"/>
          <w:sz w:val="20"/>
        </w:rPr>
        <w:t>17.SUBSEQUENT EVENTS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On July 20, 2026, the Company completed the acquisition of certain assets and equity interests of a closing and escrow operations business for total consideration of $10 million. </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333" w:before="0" w:after="0"/>
        <w:jc w:val="left"/>
        <w:rPr/>
      </w:pPr>
      <w:hyperlink w:anchor="i65bd50e6e0134a778ca5f9a1e0365124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333"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333"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333" w:before="0" w:after="0"/>
        <w:ind w:left="0" w:right="0" w:firstLine="720"/>
        <w:jc w:val="center"/>
        <w:rPr>
          <w:rFonts w:ascii="Times New Roman;serif" w:hAnsi="Times New Roman;serif"/>
          <w:b w:val="false"/>
          <w:color w:val="000000"/>
          <w:sz w:val="18"/>
        </w:rPr>
      </w:pPr>
      <w:r>
        <w:rPr>
          <w:rFonts w:ascii="Times New Roman;serif" w:hAnsi="Times New Roman;serif"/>
          <w:b w:val="false"/>
          <w:color w:val="000000"/>
          <w:sz w:val="18"/>
        </w:rPr>
        <w:t>(Tabular amounts in millions, except share and per share data and ratios, or as noted)</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Item 2. Management’s Discussion and Analysis of Financial Condition and Results of Operations. </w:t>
      </w:r>
    </w:p>
    <w:p>
      <w:pPr>
        <w:pStyle w:val="TextBody"/>
        <w:bidi w:val="0"/>
        <w:spacing w:lineRule="auto" w:line="288" w:before="240" w:after="283"/>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provides information that our management believes is relevant to an assessment and understanding of our condensed consolidated results of operations and financial condition. The discussion should be read together with the historical condensed consolidated financial statements and related notes that appear in this Quarterly Report on Form 10-Q.</w:t>
      </w:r>
    </w:p>
    <w:p>
      <w:pPr>
        <w:pStyle w:val="TextBody"/>
        <w:bidi w:val="0"/>
        <w:spacing w:lineRule="auto" w:line="276" w:before="200" w:after="283"/>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This discussion may contain forward-looking statements based upon current expectations that involve risks and uncertainties. Our actual results may differ materially from those anticipated in these forward-looking statements as a result of various factors, including those set forth under “Forward-Looking Statements,” “Risk Factors,” or in other parts of this Quarterly Report on Form 10-Q, and in “Part I - Item 1A. Risk Factors” in our Annual Report on Form 10-K for the year ended December 31, 2025 (the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Opendoor’s mission is to tilt the world in favor of homeowners, by making homeownership simpler, faster, and fairer for everyone. Residential real estate is a trillion-dollar industry underpinned by a process that is complicated, time-consuming, stressful, and offline. Our data-driven pricing models and integrated local operations are modernizing residential real estate by providing a simple, certain, and largely digital way to buy and sell homes. Since our founding, we have completed over 305,000 transactions across the United States, making us one of the largest buyers and sellers of homes in the United States.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Financial Highlights and Operating Metrics</w:t>
      </w:r>
    </w:p>
    <w:tbl>
      <w:tblPr>
        <w:tblW w:w="10205" w:type="dxa"/>
        <w:jc w:val="left"/>
        <w:tblInd w:w="0" w:type="dxa"/>
        <w:tblLayout w:type="fixed"/>
        <w:tblCellMar>
          <w:top w:w="28" w:type="dxa"/>
          <w:left w:w="28" w:type="dxa"/>
          <w:bottom w:w="28" w:type="dxa"/>
          <w:right w:w="28" w:type="dxa"/>
        </w:tblCellMar>
      </w:tblPr>
      <w:tblGrid>
        <w:gridCol w:w="800"/>
        <w:gridCol w:w="615"/>
        <w:gridCol w:w="618"/>
        <w:gridCol w:w="109"/>
        <w:gridCol w:w="109"/>
        <w:gridCol w:w="109"/>
        <w:gridCol w:w="211"/>
        <w:gridCol w:w="616"/>
        <w:gridCol w:w="271"/>
        <w:gridCol w:w="109"/>
        <w:gridCol w:w="109"/>
        <w:gridCol w:w="109"/>
        <w:gridCol w:w="211"/>
        <w:gridCol w:w="616"/>
        <w:gridCol w:w="271"/>
        <w:gridCol w:w="109"/>
        <w:gridCol w:w="109"/>
        <w:gridCol w:w="109"/>
        <w:gridCol w:w="211"/>
        <w:gridCol w:w="490"/>
        <w:gridCol w:w="109"/>
        <w:gridCol w:w="109"/>
        <w:gridCol w:w="109"/>
        <w:gridCol w:w="109"/>
        <w:gridCol w:w="211"/>
        <w:gridCol w:w="616"/>
        <w:gridCol w:w="271"/>
        <w:gridCol w:w="109"/>
        <w:gridCol w:w="109"/>
        <w:gridCol w:w="109"/>
        <w:gridCol w:w="211"/>
        <w:gridCol w:w="616"/>
        <w:gridCol w:w="271"/>
        <w:gridCol w:w="109"/>
        <w:gridCol w:w="109"/>
        <w:gridCol w:w="109"/>
        <w:gridCol w:w="211"/>
        <w:gridCol w:w="640"/>
        <w:gridCol w:w="157"/>
      </w:tblGrid>
      <w:tr>
        <w:trPr/>
        <w:tc>
          <w:tcPr>
            <w:tcW w:w="800"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millions, except percentages, homes purchased, homes sold, and homes in inventory)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0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(1,117)</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r>
      <w:tr>
        <w:trPr/>
        <w:tc>
          <w:tcPr>
            <w:tcW w:w="20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Homes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7,245 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Homes purchased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4,378 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6,852 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5,366 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Homes in inventory (at period 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5,459 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4,538 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5,459 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4,538 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(at period end)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Percentage of homes “on the market” for greater than 120 days (at period 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 xml:space="preserve">Non-GAAP Financial Highlights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Contribution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Adjusted 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w:t>
      </w:r>
    </w:p>
    <w:p>
      <w:pPr>
        <w:pStyle w:val="TextBody"/>
        <w:bidi w:val="0"/>
        <w:spacing w:lineRule="auto" w:line="288" w:before="120" w:after="283"/>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See “—</w:t>
      </w:r>
      <w:r>
        <w:rPr>
          <w:rFonts w:ascii="Times New Roman;serif" w:hAnsi="Times New Roman;serif"/>
          <w:b w:val="false"/>
          <w:i/>
          <w:color w:val="000000"/>
          <w:sz w:val="20"/>
        </w:rPr>
        <w:t>Non-GAAP Financial Measures</w:t>
      </w:r>
      <w:r>
        <w:rPr>
          <w:color w:val="000000"/>
        </w:rPr>
        <w:t xml:space="preserve">” </w:t>
      </w:r>
      <w:r>
        <w:rPr>
          <w:rFonts w:ascii="Times New Roman;serif" w:hAnsi="Times New Roman;serif"/>
          <w:b w:val="false"/>
          <w:color w:val="000000"/>
          <w:sz w:val="20"/>
        </w:rPr>
        <w:t>for further details and a reconciliation of such non-GAAP measures to their nearest comparable GAAP measures.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Current Housing Environment</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U.S. housing market remains constrained by elevated mortgage rates and persistent affordability challenges. Existing home sales remain at a seasonally adjusted annual rate of around 4 million units, representing a 30-year low and roughly 20% below the pre-pandemic decade average of approximately 5 million annual sales. As of June 2026, home prices were roughly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333" w:before="0" w:after="0"/>
        <w:jc w:val="left"/>
        <w:rPr/>
      </w:pPr>
      <w:hyperlink w:anchor="i65bd50e6e0134a778ca5f9a1e0365124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333"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333"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333" w:before="0" w:after="0"/>
        <w:ind w:left="0" w:right="0" w:firstLine="720"/>
        <w:jc w:val="center"/>
        <w:rPr>
          <w:rFonts w:ascii="Times New Roman;serif" w:hAnsi="Times New Roman;serif"/>
          <w:b w:val="false"/>
          <w:color w:val="000000"/>
          <w:sz w:val="18"/>
        </w:rPr>
      </w:pPr>
      <w:r>
        <w:rPr>
          <w:rFonts w:ascii="Times New Roman;serif" w:hAnsi="Times New Roman;serif"/>
          <w:b w:val="false"/>
          <w:color w:val="000000"/>
          <w:sz w:val="18"/>
        </w:rPr>
        <w:t>(Tabular amounts in millions, except share and per share data and ratios, or as noted)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flat year-over-year. Inventory levels are modestly constrained, representing nearly 5 months of supply as of June 2026. After falling to just under 6% in late February 2026, mortgage rates rose through the second quarter, ending June in the mid-6% range. Seller-buyer disconnect persists, with delistings (homes withdrawn from the market without selling) reaching the highest levels in Opendoor’s operating history.</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response to these market conditions, we maintained a disciplined, data-driven approach to managing our business, dynamically adjusting our pricing strategies to balance growth, margin, and risk. We continued our tailored spread approach, providing stronger offers for higher-quality homes with greater expected resale velocity while maintaining higher spreads for lower-quality homes with elevated risk and slower resale clearance expectations. We believe this approach will continue to increase the likelihood of offer acceptance among higher-quality homes, improve the overall quality mix of homes in our portfolio, and support faster sell</w:t>
        <w:noBreakHyphen/>
        <w:t>through. In addition, we dynamically adjust list prices to calibrate to market sell</w:t>
        <w:noBreakHyphen/>
        <w:t>through rates and drive resale clearance. We closely monitor macroeconomic developments and remain agile in our decision-making, enabling us to respond effectively to shifts in interest rates and broader market conditions.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Factors Affecting our Business Performance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Market Penetration</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Residential real estate is one of the largest consumer markets in the United States, of which less than 1% of the estimated $1.7 trillion of home value transacted annually is conducted online. Given the fact that we operate in a highly fragmented industry and offer a differentiated value proposition to the traditional offline selling process, we believe there is significant opportunity to expand our market share. By providing a consistent, high-quality and differentiated experience to our customers, we hope to continue to drive positive word-of-mouth awareness and trust in our platform. </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Partnership channels with homebuilders, agents, and online real estate platforms are an important source of leads for our business. We have relationships with three of the largest online real estate platforms, Zillow, Realtor.com, and Redfin, which together reach millions of unique monthly visitors and allow home sellers to request an offer directly from Opendoor. In addition to driving incremental acquisitions, we expect these partnerships to build our brand awareness and serve as additional avenues for sellers to learn about the benefits of our products. </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 continued source of opportunity is re-engagement with our base of registered sellers, meaning sellers that have received an offer from Opendoor but have not yet sold their home. In the last ten years, we have sent millions of offers and, while not everyone is ready to act when they request an offer, we treat everyone as a potential future seller. We perpetually iterate on our re-engagement strategies and believe that our registered customer base will continue to be an important source of home acquisition volumes.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Geographic Footprint</w:t>
      </w:r>
    </w:p>
    <w:p>
      <w:pPr>
        <w:pStyle w:val="TextBody"/>
        <w:bidi w:val="0"/>
        <w:spacing w:lineRule="auto" w:line="288" w:before="24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continually evaluate opportunities to expand our footprint. At the start of 2025, our products were available in 50 markets across select U.S. states. By the end of 2025, we expanded our reach to serve customers nationwide across the contiguous United States through one or more of our product offerings, including cash and Cash Now, More Later offers.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Adjacent Services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believe home sellers and buyers value simplicity and certainty. To that end, we are building an online, integrated suite of home services, which currently includes title insurance, escrow services, mortgage and real estate brokerage services.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success with title insurance and escrow services helps validate our view that customers prefer an online, integrated experience. In the first quarter of 2026, we launched a mortgage product offering through Opendoor Home Loans LLC, which we believe over time can improve our customer experience and unit economics by integrating mortgage financing directly into our home transaction platform. We will continue to evaluate new ways to improve our end-to-end solution and expect to invest in additional adjacent products and services over time, including through potential strategic transactions, growth opportunities, or partnerships, with the expectation that these adjacent services will continue to improve our unit economics.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333" w:before="0" w:after="0"/>
        <w:jc w:val="left"/>
        <w:rPr/>
      </w:pPr>
      <w:hyperlink w:anchor="i65bd50e6e0134a778ca5f9a1e0365124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333"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333"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333" w:before="0" w:after="0"/>
        <w:ind w:left="0" w:right="0" w:firstLine="720"/>
        <w:jc w:val="center"/>
        <w:rPr>
          <w:rFonts w:ascii="Times New Roman;serif" w:hAnsi="Times New Roman;serif"/>
          <w:b w:val="false"/>
          <w:color w:val="000000"/>
          <w:sz w:val="18"/>
        </w:rPr>
      </w:pPr>
      <w:r>
        <w:rPr>
          <w:rFonts w:ascii="Times New Roman;serif" w:hAnsi="Times New Roman;serif"/>
          <w:b w:val="false"/>
          <w:color w:val="000000"/>
          <w:sz w:val="18"/>
        </w:rPr>
        <w:t>(Tabular amounts in millions, except share and per share data and ratios, or as noted)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Unit Economics</w:t>
      </w:r>
    </w:p>
    <w:p>
      <w:pPr>
        <w:pStyle w:val="TextBody"/>
        <w:bidi w:val="0"/>
        <w:spacing w:lineRule="auto" w:line="288" w:before="240" w:after="283"/>
        <w:ind w:left="0" w:right="0" w:firstLine="450"/>
        <w:jc w:val="left"/>
        <w:rPr/>
      </w:pPr>
      <w:r>
        <w:rPr>
          <w:rFonts w:ascii="Times New Roman;serif" w:hAnsi="Times New Roman;serif"/>
          <w:b w:val="false"/>
          <w:color w:val="000000"/>
          <w:sz w:val="20"/>
        </w:rPr>
        <w:t>We view Contribution Margin as a key measure of unit economic performance. Contribution Margin is a non-GAAP financial measure. See “—</w:t>
      </w:r>
      <w:r>
        <w:rPr>
          <w:rFonts w:ascii="Times New Roman;serif" w:hAnsi="Times New Roman;serif"/>
          <w:b w:val="false"/>
          <w:i/>
          <w:color w:val="000000"/>
          <w:sz w:val="20"/>
        </w:rPr>
        <w:t>Non-GAAP Financial Measures</w:t>
      </w:r>
      <w:r>
        <w:rPr>
          <w:color w:val="000000"/>
        </w:rPr>
        <w:t xml:space="preserve">” </w:t>
      </w:r>
      <w:r>
        <w:rPr>
          <w:rFonts w:ascii="Times New Roman;serif" w:hAnsi="Times New Roman;serif"/>
          <w:b w:val="false"/>
          <w:color w:val="000000"/>
          <w:sz w:val="20"/>
        </w:rPr>
        <w:t>for further details and a reconciliation of Contribution Margin to gross margin. Our long-term financial performance depends, in part, on continuing to maintain and expand unit margins through the following initiatives: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Optimization and enhancements of our pricing engine; </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Platform efficiency improvements through greater use of generative AI, automation and self-service;</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Incremental attach of services, which supplement the core transaction margin profile; and</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Leveraging our platform to develop additional offerings, which we expect can increase overall conversion and unlock more capital-light margin.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Inventory Management</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Effectively managing our overall inventory position and balancing growth, margin, resale velocity, and risk are critical to our financial performance. Since our inception, we have prioritized investment in our pricing capabilities across our home acquisition processes and our forecasting and resale systems, and expect to continue to do so. As part of our overall risk management framework, we consider both individual market and aggregate portfolio exposures. We prioritize resale speed to reduce market exposure and to support inventory health, and we monitor sell-through rates, holding periods, and portfolio aging, calibrating our list prices to market clearance. We also calibrate the spreads embedded in our offers based on home-specific attributes, including expected resale velocity and risk profile, as well as local market conditions. Spreads are defined as total discount to our home valuation at time of offer less the Opendoor service fee. </w:t>
      </w:r>
    </w:p>
    <w:p>
      <w:pPr>
        <w:pStyle w:val="TextBody"/>
        <w:bidi w:val="0"/>
        <w:spacing w:lineRule="auto" w:line="288" w:before="240" w:after="283"/>
        <w:ind w:left="0" w:right="0" w:firstLine="450"/>
        <w:jc w:val="left"/>
        <w:rPr/>
      </w:pPr>
      <w:r>
        <w:rPr>
          <w:rFonts w:ascii="Times New Roman;serif" w:hAnsi="Times New Roman;serif"/>
          <w:b w:val="false"/>
          <w:color w:val="000000"/>
          <w:sz w:val="20"/>
        </w:rPr>
        <w:t>Real estate inventory is reviewed for valuation adjustments on a quarterly basis. If the carrying amount for a given home is not expected to be recovered, an inventory valuation adjustment is recorded to cost of revenue and the home’s carrying value is adjusted to its net realizable value. Inventory valuation adjustments are not offset by any expected gains and are not reversed or adjusted should the expected net realizable value subsequently increase. We recorded inventory valuation adjustments of $14 million and $23 million during the three and six months ended June 30, 2026, respectively, and $21 million and $34 million during the three and six months ended June 30, 2025, respectively. See “</w:t>
      </w:r>
      <w:r>
        <w:rPr>
          <w:rFonts w:ascii="Times New Roman;serif" w:hAnsi="Times New Roman;serif"/>
          <w:b w:val="false"/>
          <w:i/>
          <w:color w:val="000000"/>
          <w:sz w:val="20"/>
        </w:rPr>
        <w:t>Part II – Item 7. Management's Discussion and Analysis of Financial Condition and Results of Operations – Critical Accounting Policies and Estimates – Real Estate Inventory</w:t>
      </w:r>
      <w:r>
        <w:rPr>
          <w:color w:val="000000"/>
        </w:rPr>
        <w:t xml:space="preserve">” </w:t>
      </w:r>
      <w:r>
        <w:rPr>
          <w:rFonts w:ascii="Times New Roman;serif" w:hAnsi="Times New Roman;serif"/>
          <w:b w:val="false"/>
          <w:color w:val="000000"/>
          <w:sz w:val="20"/>
        </w:rPr>
        <w:t>in our Annual Report on Form 10-K for the year ended December 31, 2025.</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As one key measure of inventory management performance, we evaluate our portfolio metrics relative to the broader market (as observed on the multiple listing services (“MLS”)). One such metric is our percentage of homes “on the market” for greater than 120 days as measured from initial listing date. As of June 30, 2026, such homes represented 9% of our portfolio, compared to 27% for the broader market when filtered for the types of homes we are able to underwrite and acquire based on characteristics such as market, price range, home type, home location, year built and lot size (which we refer to as our “buybox”). This metric fluctuates based on seasonal factors, market dynamics, and our resale strategies.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Inventory Financing</w:t>
      </w:r>
    </w:p>
    <w:p>
      <w:pPr>
        <w:pStyle w:val="TextBody"/>
        <w:bidi w:val="0"/>
        <w:spacing w:lineRule="auto" w:line="288" w:before="240" w:after="283"/>
        <w:ind w:left="0" w:right="0" w:firstLine="450"/>
        <w:jc w:val="left"/>
        <w:rPr/>
      </w:pPr>
      <w:r>
        <w:rPr>
          <w:rFonts w:ascii="Times New Roman;serif" w:hAnsi="Times New Roman;serif"/>
          <w:b w:val="false"/>
          <w:color w:val="000000"/>
          <w:sz w:val="20"/>
        </w:rPr>
        <w:t>Our business model is working capital intensive and inventory financing is a key enabler of our growth. We primarily rely on our access to non-recourse asset-backed debt, which consists of asset-backed senior debt facilities and asset-backed mezzanine term debt facilities, to finance our home acquisitions. See “—</w:t>
      </w:r>
      <w:r>
        <w:rPr>
          <w:rFonts w:ascii="Times New Roman;serif" w:hAnsi="Times New Roman;serif"/>
          <w:b w:val="false"/>
          <w:i/>
          <w:color w:val="000000"/>
          <w:sz w:val="20"/>
        </w:rPr>
        <w:t>Liquidity and Capital Resources — Debt and Financing Arrangements.</w:t>
      </w:r>
      <w:r>
        <w:rPr>
          <w:color w:val="000000"/>
        </w:rPr>
        <w: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Seasonality</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residential real estate market is seasonal, with greater demand and home price appreciation from home buyers in the spring and summer, and typically weaker demand and lower home price appreciation in late fall and winter. In general, we expect our financial results and working capital requirements to reflect seasonal variations over time. However, other factors, including growth, market expansion, product innovation, and changes in macroeconomic conditions, such as inflation and interest rate fluctuations, have obscured the impact of seasonality in our historical financials and may continue to do so.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333" w:before="0" w:after="0"/>
        <w:jc w:val="left"/>
        <w:rPr/>
      </w:pPr>
      <w:hyperlink w:anchor="i65bd50e6e0134a778ca5f9a1e0365124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333"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333"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333" w:before="0" w:after="0"/>
        <w:ind w:left="0" w:right="0" w:firstLine="720"/>
        <w:jc w:val="center"/>
        <w:rPr>
          <w:rFonts w:ascii="Times New Roman;serif" w:hAnsi="Times New Roman;serif"/>
          <w:b w:val="false"/>
          <w:color w:val="000000"/>
          <w:sz w:val="18"/>
        </w:rPr>
      </w:pPr>
      <w:r>
        <w:rPr>
          <w:rFonts w:ascii="Times New Roman;serif" w:hAnsi="Times New Roman;serif"/>
          <w:b w:val="false"/>
          <w:color w:val="000000"/>
          <w:sz w:val="18"/>
        </w:rPr>
        <w:t>(Tabular amounts in millions, except share and per share data and ratios, or as noted)</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to our results of operations below, we report certain financial measures that are not required by, or presented in accordance with, U.S. generally accepted accounting principles (“GAAP”).</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These measures have limitations as analytical tools when assessing our operating performance and should not be considered in isolation or as a substitute for GAAP measures, including gross profit and net loss. We may calculate or present our non-GAAP financial measures differently than other companies who report measures with similar titles and, as a result, the non-GAAP financial measures we report may not be comparable with those of companies in our industry or in other industries.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Adjusted Gross Profit and Contribution Profit </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To provide investors with additional information regarding our margins and return on inventory acquired, we have included Adjusted Gross Profit and Contribution Profit, which are non-GAAP financial measures. We believe that Adjusted Gross Profit and Contribution Profit are useful financial measures for investors as they are supplemental measures used by management in evaluating unit level economics and our operating performance. Each of these measures is intended to present the economics related to homes sold during a given period. We do so by including revenue generated from homes sold (and adjacent services) in the period and only the expenses that are directly attributable to such home sales, even if such expenses were recognized in prior periods, and excluding expenses related to homes that remain in inventory as of the end of the period. Contribution Profit provides investors a measure to assess Opendoor’s ability to generate returns on homes sold during a reporting period after considering home purchase costs, renovation and repair costs, holding costs and selling costs.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Adjusted Gross Profit and Contribution Profit are supplemental measures of our operating performance and have limitations as analytical tools. For example, these measures include costs that were recorded in prior periods under GAAP and exclude, in connection with homes held in inventory at the end of the period, costs required to be recorded under GAAP in the same period. Accordingly, these measures should not be considered in isolation or as a substitute for analysis of our results as reported under GAAP. We include a reconciliation of these measures to the most directly comparable GAAP financial measure, which is gross profit.</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Adjusted Gross Profit / Margin</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calculate Adjusted Gross Profit as gross profit under GAAP adjusted for (1) inventory valuation adjustment in the current period, and (2) inventory valuation adjustment in prior periods. Inventory valuation adjustment in the current period is calculated by adding back the inventory valuation adjustments recorded during the period on homes that remain in inventory at period end. Inventory valuation adjustment in prior periods is calculated by subtracting the inventory valuation adjustments recorded in prior periods on homes sold in the current period. Adjusted Gross Margin is Adjusted Gross Profit as a percentage of revenue.</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view this metric as an important measure of business performance as it captures gross margin performance isolated to homes sold in a given period and provides comparability across reporting periods. Adjusted Gross Profit helps management assess home pricing, service fees and renovation performance for a specific resale cohort.</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Contribution Profit / Margin</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calculate Contribution Profit as Adjusted Gross Profit, minus certain costs incurred on homes sold during the current period including: (1) holding costs incurred in the current period, (2) holding costs incurred in prior periods, and (3) direct selling costs. Contribution Margin is Contribution Profit as a percentage of revenue.</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view this metric as an important measure of business performance as it captures the unit level performance isolated to homes sold in a given period and provides comparability across reporting periods. Contribution Profit helps management assess the revenues and certain costs directly attributable to a specific resale cohort.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333" w:before="0" w:after="0"/>
        <w:jc w:val="left"/>
        <w:rPr/>
      </w:pPr>
      <w:hyperlink w:anchor="i65bd50e6e0134a778ca5f9a1e0365124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333"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333"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333" w:before="0" w:after="0"/>
        <w:ind w:left="0" w:right="0" w:firstLine="720"/>
        <w:jc w:val="center"/>
        <w:rPr>
          <w:rFonts w:ascii="Times New Roman;serif" w:hAnsi="Times New Roman;serif"/>
          <w:b w:val="false"/>
          <w:color w:val="000000"/>
          <w:sz w:val="18"/>
        </w:rPr>
      </w:pPr>
      <w:r>
        <w:rPr>
          <w:rFonts w:ascii="Times New Roman;serif" w:hAnsi="Times New Roman;serif"/>
          <w:b w:val="false"/>
          <w:color w:val="000000"/>
          <w:sz w:val="18"/>
        </w:rPr>
        <w:t>(Tabular amounts in millions, except share and per share data and ratios, or as noted)</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our Adjusted Gross Profit and Contribution Profit to our gross profit, which is the most directly comparable GAAP measure, for the periods indicated:</w:t>
      </w:r>
    </w:p>
    <w:tbl>
      <w:tblPr>
        <w:tblW w:w="10049" w:type="dxa"/>
        <w:jc w:val="left"/>
        <w:tblInd w:w="0" w:type="dxa"/>
        <w:tblLayout w:type="fixed"/>
        <w:tblCellMar>
          <w:top w:w="28" w:type="dxa"/>
          <w:left w:w="28" w:type="dxa"/>
          <w:bottom w:w="28" w:type="dxa"/>
          <w:right w:w="28" w:type="dxa"/>
        </w:tblCellMar>
      </w:tblPr>
      <w:tblGrid>
        <w:gridCol w:w="1592"/>
        <w:gridCol w:w="1398"/>
        <w:gridCol w:w="1404"/>
        <w:gridCol w:w="109"/>
        <w:gridCol w:w="109"/>
        <w:gridCol w:w="109"/>
        <w:gridCol w:w="211"/>
        <w:gridCol w:w="481"/>
        <w:gridCol w:w="271"/>
        <w:gridCol w:w="109"/>
        <w:gridCol w:w="109"/>
        <w:gridCol w:w="109"/>
        <w:gridCol w:w="211"/>
        <w:gridCol w:w="631"/>
        <w:gridCol w:w="271"/>
        <w:gridCol w:w="109"/>
        <w:gridCol w:w="109"/>
        <w:gridCol w:w="109"/>
        <w:gridCol w:w="211"/>
        <w:gridCol w:w="631"/>
        <w:gridCol w:w="271"/>
        <w:gridCol w:w="109"/>
        <w:gridCol w:w="109"/>
        <w:gridCol w:w="109"/>
        <w:gridCol w:w="211"/>
        <w:gridCol w:w="631"/>
        <w:gridCol w:w="316"/>
      </w:tblGrid>
      <w:tr>
        <w:trPr/>
        <w:tc>
          <w:tcPr>
            <w:tcW w:w="1592"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3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Revenue (GAAP)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883</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1,567</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1,603</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2,720</w:t>
            </w:r>
            <w:r>
              <w:rPr>
                <w:color w:val="000000"/>
              </w:rPr>
              <w:t>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Gross profit (GAAP)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86</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128</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158</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227</w:t>
            </w: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Inventory valuation adjustment – Current Period</w:t>
            </w:r>
            <w:r>
              <w:rPr>
                <w:rFonts w:ascii="Times New Roman;serif" w:hAnsi="Times New Roman;serif"/>
                <w:b w:val="false"/>
                <w:color w:val="000000"/>
                <w:sz w:val="13"/>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Inventory valuation adjustment – Prior Periods</w:t>
            </w:r>
            <w:r>
              <w:rPr>
                <w:rFonts w:ascii="Times New Roman;serif" w:hAnsi="Times New Roman;serif"/>
                <w:b w:val="false"/>
                <w:color w:val="000000"/>
                <w:sz w:val="13"/>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Adjusted 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91</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135</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158</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235</w:t>
            </w:r>
            <w:r>
              <w:rPr>
                <w:color w:val="000000"/>
              </w:rPr>
              <w:t>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Adjusted 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Direct selling costs</w:t>
            </w: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Holding costs on sales – Current Period</w:t>
            </w:r>
            <w:r>
              <w:rPr>
                <w:rFonts w:ascii="Times New Roman;serif" w:hAnsi="Times New Roman;serif"/>
                <w:b w:val="false"/>
                <w:color w:val="000000"/>
                <w:sz w:val="13"/>
              </w:rPr>
              <w:t>(5)(6)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Holding costs on sales – Prior Periods</w:t>
            </w:r>
            <w:r>
              <w:rPr>
                <w:rFonts w:ascii="Times New Roman;serif" w:hAnsi="Times New Roman;serif"/>
                <w:b w:val="false"/>
                <w:color w:val="000000"/>
                <w:sz w:val="13"/>
              </w:rPr>
              <w:t>(5)(7)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Contribution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51</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69</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83</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123</w:t>
            </w:r>
            <w:r>
              <w:rPr>
                <w:color w:val="000000"/>
              </w:rPr>
              <w:t>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bottom w:val="single" w:sz="2" w:space="0" w:color="FFFFFF"/>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Contribution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________________</w:t>
      </w:r>
    </w:p>
    <w:p>
      <w:pPr>
        <w:pStyle w:val="TextBody"/>
        <w:bidi w:val="0"/>
        <w:spacing w:lineRule="auto" w:line="288" w:before="120" w:after="283"/>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 xml:space="preserve">Inventory valuation adjustment includes adjustments to record real estate inventory at the lower of its carrying amount or its net realizable value. </w:t>
      </w:r>
    </w:p>
    <w:p>
      <w:pPr>
        <w:pStyle w:val="TextBody"/>
        <w:bidi w:val="0"/>
        <w:spacing w:lineRule="auto" w:line="288" w:before="120" w:after="283"/>
        <w:ind w:left="0" w:right="0" w:hanging="360"/>
        <w:jc w:val="left"/>
        <w:rPr/>
      </w:pPr>
      <w:r>
        <w:rPr>
          <w:rFonts w:ascii="Times New Roman;serif" w:hAnsi="Times New Roman;serif"/>
          <w:b w:val="false"/>
          <w:color w:val="000000"/>
          <w:sz w:val="13"/>
        </w:rPr>
        <w:t>(2)</w:t>
      </w:r>
      <w:r>
        <w:rPr>
          <w:rFonts w:ascii="Times New Roman;serif" w:hAnsi="Times New Roman;serif"/>
          <w:b w:val="false"/>
          <w:color w:val="000000"/>
          <w:sz w:val="20"/>
        </w:rPr>
        <w:t>Inventory valuation adjustment — Current Period is the inventory valuation adjustments recorded during the period presented associated with homes that remain in inventory at period end.</w:t>
      </w:r>
    </w:p>
    <w:p>
      <w:pPr>
        <w:pStyle w:val="TextBody"/>
        <w:bidi w:val="0"/>
        <w:spacing w:lineRule="auto" w:line="288" w:before="120" w:after="283"/>
        <w:ind w:left="0" w:right="0" w:hanging="360"/>
        <w:jc w:val="left"/>
        <w:rPr/>
      </w:pPr>
      <w:r>
        <w:rPr>
          <w:rFonts w:ascii="Times New Roman;serif" w:hAnsi="Times New Roman;serif"/>
          <w:b w:val="false"/>
          <w:color w:val="000000"/>
          <w:sz w:val="13"/>
        </w:rPr>
        <w:t>(3)</w:t>
      </w:r>
      <w:r>
        <w:rPr>
          <w:rFonts w:ascii="Times New Roman;serif" w:hAnsi="Times New Roman;serif"/>
          <w:b w:val="false"/>
          <w:color w:val="000000"/>
          <w:sz w:val="20"/>
        </w:rPr>
        <w:t>Inventory valuation adjustment — Prior Periods is the inventory valuation adjustments recorded in prior periods associated with homes that sold in the period presented.</w:t>
      </w:r>
    </w:p>
    <w:p>
      <w:pPr>
        <w:pStyle w:val="TextBody"/>
        <w:bidi w:val="0"/>
        <w:spacing w:lineRule="auto" w:line="288" w:before="120" w:after="283"/>
        <w:ind w:left="0" w:right="0" w:hanging="360"/>
        <w:jc w:val="left"/>
        <w:rPr/>
      </w:pPr>
      <w:r>
        <w:rPr>
          <w:rFonts w:ascii="Times New Roman;serif" w:hAnsi="Times New Roman;serif"/>
          <w:b w:val="false"/>
          <w:color w:val="000000"/>
          <w:sz w:val="13"/>
        </w:rPr>
        <w:t>(4)</w:t>
      </w:r>
      <w:r>
        <w:rPr>
          <w:rFonts w:ascii="Times New Roman;serif" w:hAnsi="Times New Roman;serif"/>
          <w:b w:val="false"/>
          <w:color w:val="000000"/>
          <w:sz w:val="20"/>
        </w:rPr>
        <w:t>Represents selling costs incurred related to homes sold in the relevant period. This primarily includes broker commissions, external title and escrow-related fees and transfer taxes. Selling costs are included in Sales, marketing and operations on the condensed consolidated statements of operations.</w:t>
      </w:r>
    </w:p>
    <w:p>
      <w:pPr>
        <w:pStyle w:val="TextBody"/>
        <w:bidi w:val="0"/>
        <w:spacing w:lineRule="auto" w:line="288" w:before="120" w:after="283"/>
        <w:ind w:left="0" w:right="0" w:hanging="360"/>
        <w:jc w:val="left"/>
        <w:rPr/>
      </w:pPr>
      <w:r>
        <w:rPr>
          <w:rFonts w:ascii="Times New Roman;serif" w:hAnsi="Times New Roman;serif"/>
          <w:b w:val="false"/>
          <w:color w:val="000000"/>
          <w:sz w:val="13"/>
        </w:rPr>
        <w:t>(5)</w:t>
      </w:r>
      <w:r>
        <w:rPr>
          <w:rFonts w:ascii="Times New Roman;serif" w:hAnsi="Times New Roman;serif"/>
          <w:b w:val="false"/>
          <w:color w:val="000000"/>
          <w:sz w:val="20"/>
        </w:rPr>
        <w:t>Holding costs primarily include property taxes, insurance, utilities, homeowners association dues and maintenance costs. Holding costs are included in Sales, marketing, and operations on the condensed consolidated statements of operations.</w:t>
      </w:r>
    </w:p>
    <w:p>
      <w:pPr>
        <w:pStyle w:val="TextBody"/>
        <w:bidi w:val="0"/>
        <w:spacing w:lineRule="auto" w:line="288" w:before="120" w:after="283"/>
        <w:ind w:left="0" w:right="0" w:hanging="360"/>
        <w:jc w:val="left"/>
        <w:rPr/>
      </w:pPr>
      <w:r>
        <w:rPr>
          <w:rFonts w:ascii="Times New Roman;serif" w:hAnsi="Times New Roman;serif"/>
          <w:b w:val="false"/>
          <w:color w:val="000000"/>
          <w:sz w:val="13"/>
        </w:rPr>
        <w:t>(6)</w:t>
      </w:r>
      <w:r>
        <w:rPr>
          <w:rFonts w:ascii="Times New Roman;serif" w:hAnsi="Times New Roman;serif"/>
          <w:b w:val="false"/>
          <w:color w:val="000000"/>
          <w:sz w:val="20"/>
        </w:rPr>
        <w:t>Represents holding costs incurred in the period presented on homes sold in the period presented.</w:t>
      </w:r>
    </w:p>
    <w:p>
      <w:pPr>
        <w:pStyle w:val="TextBody"/>
        <w:bidi w:val="0"/>
        <w:spacing w:lineRule="auto" w:line="288" w:before="120" w:after="283"/>
        <w:ind w:left="0" w:right="0" w:hanging="360"/>
        <w:jc w:val="left"/>
        <w:rPr/>
      </w:pPr>
      <w:r>
        <w:rPr>
          <w:rFonts w:ascii="Times New Roman;serif" w:hAnsi="Times New Roman;serif"/>
          <w:b w:val="false"/>
          <w:color w:val="000000"/>
          <w:sz w:val="13"/>
        </w:rPr>
        <w:t>(7)</w:t>
      </w:r>
      <w:r>
        <w:rPr>
          <w:rFonts w:ascii="Times New Roman;serif" w:hAnsi="Times New Roman;serif"/>
          <w:b w:val="false"/>
          <w:color w:val="000000"/>
          <w:sz w:val="20"/>
        </w:rPr>
        <w:t>Represents holding costs incurred in prior periods on homes sold in the period presented.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Adjusted Net Loss and Adjusted EBITDA</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also present Adjusted Net Loss and Adjusted EBITDA, which are non-GAAP financial measures that management uses to assess our underlying financial performance. These measures are also commonly used by investors and analysts to compare the underlying performance of companies in our industry. We believe these measures provide investors with meaningful period over period comparisons of our underlying performance, adjusted for certain charges that are non-cash, not directly related to our revenue-generating operations, not aligned to related revenue, or not reflective of ongoing operating results that vary in frequency and amount.</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Adjusted Net Loss and Adjusted EBITDA are supplemental measures of our operating performance and have important limitations. For example, these measures exclude the impact of certain costs required to be recorded under GAAP. These measures also include inventory valuation adjustments that were recorded in prior periods under GAAP and exclude, in connection with homes held in inventory at the end of the period, inventory valuation adjustments required to be recorded under GAAP in the same period. These measures could differ substantially from similarly titled measures presented by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333" w:before="0" w:after="0"/>
        <w:jc w:val="left"/>
        <w:rPr/>
      </w:pPr>
      <w:hyperlink w:anchor="i65bd50e6e0134a778ca5f9a1e0365124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333"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333"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333" w:before="0" w:after="0"/>
        <w:ind w:left="0" w:right="0" w:firstLine="720"/>
        <w:jc w:val="center"/>
        <w:rPr>
          <w:rFonts w:ascii="Times New Roman;serif" w:hAnsi="Times New Roman;serif"/>
          <w:b w:val="false"/>
          <w:color w:val="000000"/>
          <w:sz w:val="18"/>
        </w:rPr>
      </w:pPr>
      <w:r>
        <w:rPr>
          <w:rFonts w:ascii="Times New Roman;serif" w:hAnsi="Times New Roman;serif"/>
          <w:b w:val="false"/>
          <w:color w:val="000000"/>
          <w:sz w:val="18"/>
        </w:rPr>
        <w:t>(Tabular amounts in millions, except share and per share data and ratios, or as noted)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companies in our industry or companies in other industries. Accordingly, these measures should not be considered in isolation or as a substitute for analysis of our results as reported under GAAP. We include a reconciliation of these measures to the most directly comparable GAAP financial measure, which is net loss.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Adjusted Net Loss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calculate Adjusted Net Loss as GAAP net loss adjusted to exclude non-cash expenses of stock-based compensation, equity securities fair value adjustment, and the amortization of stock-based compensation capitalized to internally developed software (“IDSW”). It excludes expenses that are not directly related to our revenue-generating operations such as restructuring and CEO make-whole provision. It also excludes loss (gain) on extinguishment of debt as these expenses or gains were incurred as a result of decisions made by management to terminate or partially extinguish portions of our outstanding credit facilities or convertible senior notes early; these expenses or gains are not reflective of ongoing operating results and vary in frequency and amount. Adjusted Net Loss also aligns the timing of inventory valuation adjustments recorded under GAAP to the period in which the related revenue is recorded in order to improve the comparability of this measure to our non-GAAP financial measures of unit economics, as described above. Our calculation of Adjusted Net Loss does not currently include the tax effects of the non-GAAP adjustments because our taxes and such tax effects have not been material to date.</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Adjusted EBITDA / Margin</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calculated Adjusted EBITDA as Adjusted Net Loss adjusted for depreciation and amortization, property financing and other interest expense, interest income, and income tax expense. Adjusted EBITDA is a supplemental performance measure that our management uses to assess our operating performance and the operating leverage in our business. Adjusted EBITDA Margin is Adjusted EBITDA as a percentage of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333" w:before="0" w:after="0"/>
        <w:jc w:val="left"/>
        <w:rPr/>
      </w:pPr>
      <w:hyperlink w:anchor="i65bd50e6e0134a778ca5f9a1e0365124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333"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333"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333" w:before="0" w:after="0"/>
        <w:ind w:left="0" w:right="0" w:firstLine="720"/>
        <w:jc w:val="center"/>
        <w:rPr>
          <w:rFonts w:ascii="Times New Roman;serif" w:hAnsi="Times New Roman;serif"/>
          <w:b w:val="false"/>
          <w:color w:val="000000"/>
          <w:sz w:val="18"/>
        </w:rPr>
      </w:pPr>
      <w:r>
        <w:rPr>
          <w:rFonts w:ascii="Times New Roman;serif" w:hAnsi="Times New Roman;serif"/>
          <w:b w:val="false"/>
          <w:color w:val="000000"/>
          <w:sz w:val="18"/>
        </w:rPr>
        <w:t>(Tabular amounts in millions, except share and per share data and ratios, or as noted)</w:t>
      </w:r>
    </w:p>
    <w:p>
      <w:pPr>
        <w:pStyle w:val="TextBody"/>
        <w:bidi w:val="0"/>
        <w:spacing w:lineRule="auto" w:line="288" w:before="24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our Adjusted Net Loss and Adjusted EBITDA to our net loss, which is the most directly comparable GAAP measure, for the periods indicated:</w:t>
      </w:r>
    </w:p>
    <w:tbl>
      <w:tblPr>
        <w:tblW w:w="10205" w:type="dxa"/>
        <w:jc w:val="left"/>
        <w:tblInd w:w="0" w:type="dxa"/>
        <w:tblLayout w:type="fixed"/>
        <w:tblCellMar>
          <w:top w:w="28" w:type="dxa"/>
          <w:left w:w="28" w:type="dxa"/>
          <w:bottom w:w="28" w:type="dxa"/>
          <w:right w:w="28" w:type="dxa"/>
        </w:tblCellMar>
      </w:tblPr>
      <w:tblGrid>
        <w:gridCol w:w="1687"/>
        <w:gridCol w:w="1407"/>
        <w:gridCol w:w="1412"/>
        <w:gridCol w:w="109"/>
        <w:gridCol w:w="109"/>
        <w:gridCol w:w="109"/>
        <w:gridCol w:w="211"/>
        <w:gridCol w:w="524"/>
        <w:gridCol w:w="271"/>
        <w:gridCol w:w="109"/>
        <w:gridCol w:w="109"/>
        <w:gridCol w:w="109"/>
        <w:gridCol w:w="211"/>
        <w:gridCol w:w="631"/>
        <w:gridCol w:w="271"/>
        <w:gridCol w:w="109"/>
        <w:gridCol w:w="109"/>
        <w:gridCol w:w="109"/>
        <w:gridCol w:w="211"/>
        <w:gridCol w:w="631"/>
        <w:gridCol w:w="271"/>
        <w:gridCol w:w="109"/>
        <w:gridCol w:w="109"/>
        <w:gridCol w:w="109"/>
        <w:gridCol w:w="211"/>
        <w:gridCol w:w="631"/>
        <w:gridCol w:w="317"/>
      </w:tblGrid>
      <w:tr>
        <w:trPr/>
        <w:tc>
          <w:tcPr>
            <w:tcW w:w="1687"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4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5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5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 (GAAP)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883</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1,567</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1,603</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2,720</w:t>
            </w:r>
            <w:r>
              <w:rPr>
                <w:color w:val="000000"/>
              </w:rPr>
              <w:t>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Net loss (GAAP)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(162)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(335)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(114)</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Stock-based compensation for market condition 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20"/>
              </w:rPr>
              <w:t>Equity securities fair value adjustment</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4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450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Amortization of stock-based compensation capitalized to IDSW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20"/>
              </w:rPr>
              <w:t>Inventory valuation adjustment – Current Period</w:t>
            </w:r>
            <w:r>
              <w:rPr>
                <w:rFonts w:ascii="Times New Roman;serif" w:hAnsi="Times New Roman;serif"/>
                <w:b w:val="false"/>
                <w:color w:val="000000"/>
                <w:sz w:val="13"/>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20"/>
              </w:rPr>
              <w:t>Inventory valuation adjustment – Prior Periods</w:t>
            </w:r>
            <w:r>
              <w:rPr>
                <w:rFonts w:ascii="Times New Roman;serif" w:hAnsi="Times New Roman;serif"/>
                <w:b w:val="false"/>
                <w:color w:val="000000"/>
                <w:sz w:val="13"/>
              </w:rPr>
              <w:t>(2)(4)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20"/>
              </w:rPr>
              <w:t>Restructuring</w:t>
            </w:r>
            <w:r>
              <w:rPr>
                <w:rFonts w:ascii="Times New Roman;serif" w:hAnsi="Times New Roman;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20"/>
              </w:rPr>
              <w:t>CEO make-whole provision</w:t>
            </w:r>
            <w:r>
              <w:rPr>
                <w:rFonts w:ascii="Times New Roman;serif" w:hAnsi="Times New Roman;serif"/>
                <w:b w:val="false"/>
                <w:color w:val="000000"/>
                <w:sz w:val="13"/>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450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Loss (gain) on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4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4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450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20"/>
              </w:rPr>
              <w:t>Other</w:t>
            </w:r>
            <w:r>
              <w:rPr>
                <w:rFonts w:ascii="Times New Roman;serif" w:hAnsi="Times New Roman;serif"/>
                <w:b w:val="false"/>
                <w:color w:val="000000"/>
                <w:sz w:val="13"/>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Adjusted 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(30)</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(9)</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(79)</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(72)</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excluding amortization of intangibles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20"/>
              </w:rPr>
              <w:t>Property financing</w:t>
            </w:r>
            <w:r>
              <w:rPr>
                <w:rFonts w:ascii="Times New Roman;serif" w:hAnsi="Times New Roman;serif"/>
                <w:b w:val="false"/>
                <w:color w:val="000000"/>
                <w:sz w:val="13"/>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20"/>
              </w:rPr>
              <w:t>Other interest expense</w:t>
            </w:r>
            <w:r>
              <w:rPr>
                <w:rFonts w:ascii="Times New Roman;serif" w:hAnsi="Times New Roman;serif"/>
                <w:b w:val="false"/>
                <w:color w:val="000000"/>
                <w:sz w:val="13"/>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20"/>
              </w:rPr>
              <w:t>Interest income</w:t>
            </w:r>
            <w:r>
              <w:rPr>
                <w:rFonts w:ascii="Times New Roman;serif" w:hAnsi="Times New Roman;serif"/>
                <w:b w:val="false"/>
                <w:color w:val="000000"/>
                <w:sz w:val="13"/>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45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(4)</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23</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(35)</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(7)</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Adjusted EBITDA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3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________________</w:t>
      </w:r>
    </w:p>
    <w:p>
      <w:pPr>
        <w:pStyle w:val="TextBody"/>
        <w:bidi w:val="0"/>
        <w:spacing w:lineRule="auto" w:line="288" w:before="120" w:after="283"/>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Represents the gains and losses on certain financial instruments, which are marked to fair value at the end of each period.</w:t>
      </w:r>
    </w:p>
    <w:p>
      <w:pPr>
        <w:pStyle w:val="TextBody"/>
        <w:bidi w:val="0"/>
        <w:spacing w:lineRule="auto" w:line="288" w:before="120" w:after="283"/>
        <w:ind w:left="0" w:right="0" w:hanging="360"/>
        <w:jc w:val="left"/>
        <w:rPr/>
      </w:pPr>
      <w:r>
        <w:rPr>
          <w:rFonts w:ascii="Times New Roman;serif" w:hAnsi="Times New Roman;serif"/>
          <w:b w:val="false"/>
          <w:color w:val="000000"/>
          <w:sz w:val="13"/>
        </w:rPr>
        <w:t>(2)</w:t>
      </w:r>
      <w:r>
        <w:rPr>
          <w:rFonts w:ascii="Times New Roman;serif" w:hAnsi="Times New Roman;serif"/>
          <w:b w:val="false"/>
          <w:color w:val="000000"/>
          <w:sz w:val="20"/>
        </w:rPr>
        <w:t xml:space="preserve">Inventory valuation adjustment includes adjustments to record real estate inventory at the lower of its carrying amount or its net realizable value. </w:t>
      </w:r>
    </w:p>
    <w:p>
      <w:pPr>
        <w:pStyle w:val="TextBody"/>
        <w:bidi w:val="0"/>
        <w:spacing w:lineRule="auto" w:line="288" w:before="120" w:after="283"/>
        <w:ind w:left="0" w:right="0" w:hanging="360"/>
        <w:jc w:val="left"/>
        <w:rPr/>
      </w:pPr>
      <w:r>
        <w:rPr>
          <w:rFonts w:ascii="Times New Roman;serif" w:hAnsi="Times New Roman;serif"/>
          <w:b w:val="false"/>
          <w:color w:val="000000"/>
          <w:sz w:val="13"/>
        </w:rPr>
        <w:t>(3)</w:t>
      </w:r>
      <w:r>
        <w:rPr>
          <w:rFonts w:ascii="Times New Roman;serif" w:hAnsi="Times New Roman;serif"/>
          <w:b w:val="false"/>
          <w:color w:val="000000"/>
          <w:sz w:val="20"/>
        </w:rPr>
        <w:t>Inventory valuation adjustment — Current Period is the inventory valuation adjustments recorded during the period presented associated with homes that remain in inventory at period end.</w:t>
      </w:r>
    </w:p>
    <w:p>
      <w:pPr>
        <w:pStyle w:val="TextBody"/>
        <w:bidi w:val="0"/>
        <w:spacing w:lineRule="auto" w:line="288" w:before="120" w:after="283"/>
        <w:ind w:left="0" w:right="0" w:hanging="360"/>
        <w:jc w:val="left"/>
        <w:rPr/>
      </w:pPr>
      <w:r>
        <w:rPr>
          <w:rFonts w:ascii="Times New Roman;serif" w:hAnsi="Times New Roman;serif"/>
          <w:b w:val="false"/>
          <w:color w:val="000000"/>
          <w:sz w:val="13"/>
        </w:rPr>
        <w:t>(4)</w:t>
      </w:r>
      <w:r>
        <w:rPr>
          <w:rFonts w:ascii="Times New Roman;serif" w:hAnsi="Times New Roman;serif"/>
          <w:b w:val="false"/>
          <w:color w:val="000000"/>
          <w:sz w:val="20"/>
        </w:rPr>
        <w:t>Inventory valuation adjustment — Prior Periods is the inventory valuation adjustments recorded in prior periods associated with homes that sold in the period presented.</w:t>
      </w:r>
    </w:p>
    <w:p>
      <w:pPr>
        <w:pStyle w:val="TextBody"/>
        <w:bidi w:val="0"/>
        <w:spacing w:lineRule="auto" w:line="288" w:before="120" w:after="283"/>
        <w:ind w:left="0" w:right="0" w:hanging="360"/>
        <w:jc w:val="left"/>
        <w:rPr/>
      </w:pPr>
      <w:r>
        <w:rPr>
          <w:rFonts w:ascii="Times New Roman;serif" w:hAnsi="Times New Roman;serif"/>
          <w:b w:val="false"/>
          <w:color w:val="000000"/>
          <w:sz w:val="13"/>
        </w:rPr>
        <w:t>(5)</w:t>
      </w:r>
      <w:r>
        <w:rPr>
          <w:rFonts w:ascii="Times New Roman;serif" w:hAnsi="Times New Roman;serif"/>
          <w:b w:val="false"/>
          <w:color w:val="000000"/>
          <w:sz w:val="20"/>
        </w:rPr>
        <w:t>Restructuring expense consists primarily of severance and other termination benefits for employees whose roles have been eliminated, consulting fees, and expenses related to the termination of certain leases incurred during the restructuring process.</w:t>
      </w:r>
    </w:p>
    <w:p>
      <w:pPr>
        <w:pStyle w:val="TextBody"/>
        <w:bidi w:val="0"/>
        <w:spacing w:lineRule="auto" w:line="288" w:before="120" w:after="283"/>
        <w:ind w:left="0" w:right="0" w:hanging="360"/>
        <w:jc w:val="left"/>
        <w:rPr/>
      </w:pPr>
      <w:r>
        <w:rPr>
          <w:rFonts w:ascii="Times New Roman;serif" w:hAnsi="Times New Roman;serif"/>
          <w:b w:val="false"/>
          <w:color w:val="000000"/>
          <w:sz w:val="13"/>
        </w:rPr>
        <w:t>(6)</w:t>
      </w:r>
      <w:r>
        <w:rPr>
          <w:rFonts w:ascii="Times New Roman;serif" w:hAnsi="Times New Roman;serif"/>
          <w:b w:val="false"/>
          <w:color w:val="000000"/>
          <w:sz w:val="20"/>
        </w:rPr>
        <w:t>In connection with the appointment of the Company's new Chief Executive Officer in September 2025, the Company granted two make-whole awards related to compensation forfeited from his former employer. The awards consist of (i) a $15 million cash award and (ii) a restricted stock unit award with a grant date value of $15 million. Both awards vest nine months after his start date, contingent upon his continued service as Chief Executive Officer through the vesting date, and are expensed over the requisite service period. The CEO make-whole provision adjustment reflects only the expense associated with the cash make-whole award. The expense associated with the restricted stock unit make-whole award is included in the stock-based compensation line item presented separately in the reconciliation above.</w:t>
      </w:r>
    </w:p>
    <w:p>
      <w:pPr>
        <w:pStyle w:val="TextBody"/>
        <w:bidi w:val="0"/>
        <w:spacing w:lineRule="auto" w:line="288" w:before="120" w:after="283"/>
        <w:ind w:left="0" w:right="0" w:hanging="360"/>
        <w:jc w:val="left"/>
        <w:rPr/>
      </w:pPr>
      <w:r>
        <w:rPr>
          <w:rFonts w:ascii="Times New Roman;serif" w:hAnsi="Times New Roman;serif"/>
          <w:b w:val="false"/>
          <w:color w:val="000000"/>
          <w:sz w:val="13"/>
        </w:rPr>
        <w:t>(7)</w:t>
      </w:r>
      <w:r>
        <w:rPr>
          <w:rFonts w:ascii="Times New Roman;serif" w:hAnsi="Times New Roman;serif"/>
          <w:b w:val="false"/>
          <w:color w:val="000000"/>
          <w:sz w:val="20"/>
        </w:rPr>
        <w:t>Primarily includes related party services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333" w:before="0" w:after="0"/>
        <w:jc w:val="left"/>
        <w:rPr/>
      </w:pPr>
      <w:hyperlink w:anchor="i65bd50e6e0134a778ca5f9a1e0365124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333"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333"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333" w:before="0" w:after="0"/>
        <w:ind w:left="0" w:right="0" w:firstLine="720"/>
        <w:jc w:val="center"/>
        <w:rPr>
          <w:rFonts w:ascii="Times New Roman;serif" w:hAnsi="Times New Roman;serif"/>
          <w:b w:val="false"/>
          <w:color w:val="000000"/>
          <w:sz w:val="18"/>
        </w:rPr>
      </w:pPr>
      <w:r>
        <w:rPr>
          <w:rFonts w:ascii="Times New Roman;serif" w:hAnsi="Times New Roman;serif"/>
          <w:b w:val="false"/>
          <w:color w:val="000000"/>
          <w:sz w:val="18"/>
        </w:rPr>
        <w:t>(Tabular amounts in millions, except share and per share data and ratios, or as noted)</w:t>
      </w:r>
    </w:p>
    <w:p>
      <w:pPr>
        <w:pStyle w:val="TextBody"/>
        <w:bidi w:val="0"/>
        <w:spacing w:lineRule="auto" w:line="288" w:before="120" w:after="283"/>
        <w:ind w:left="0" w:right="0" w:hanging="360"/>
        <w:jc w:val="left"/>
        <w:rPr/>
      </w:pPr>
      <w:r>
        <w:rPr>
          <w:rFonts w:ascii="Times New Roman;serif" w:hAnsi="Times New Roman;serif"/>
          <w:b w:val="false"/>
          <w:color w:val="000000"/>
          <w:sz w:val="13"/>
        </w:rPr>
        <w:t>(8)</w:t>
      </w:r>
      <w:r>
        <w:rPr>
          <w:rFonts w:ascii="Times New Roman;serif" w:hAnsi="Times New Roman;serif"/>
          <w:b w:val="false"/>
          <w:color w:val="000000"/>
          <w:sz w:val="20"/>
        </w:rPr>
        <w:t>Includes interest expense on our non-recourse asset-backed debt facilities.</w:t>
      </w:r>
    </w:p>
    <w:p>
      <w:pPr>
        <w:pStyle w:val="TextBody"/>
        <w:bidi w:val="0"/>
        <w:spacing w:lineRule="auto" w:line="288" w:before="120" w:after="283"/>
        <w:ind w:left="0" w:right="0" w:hanging="360"/>
        <w:jc w:val="left"/>
        <w:rPr/>
      </w:pPr>
      <w:r>
        <w:rPr>
          <w:rFonts w:ascii="Times New Roman;serif" w:hAnsi="Times New Roman;serif"/>
          <w:b w:val="false"/>
          <w:color w:val="000000"/>
          <w:sz w:val="13"/>
        </w:rPr>
        <w:t>(9)</w:t>
      </w:r>
      <w:r>
        <w:rPr>
          <w:rFonts w:ascii="Times New Roman;serif" w:hAnsi="Times New Roman;serif"/>
          <w:b w:val="false"/>
          <w:color w:val="000000"/>
          <w:sz w:val="20"/>
        </w:rPr>
        <w:t>Includes (i) amortization of debt issuance costs, loan origination fees, commitment fees, unused fees, and other interest related costs on our asset-backed debt facilities, and (ii) amortization of debt issuance costs and debt discounts and interest expense related to our convertible senior notes.</w:t>
      </w:r>
    </w:p>
    <w:p>
      <w:pPr>
        <w:pStyle w:val="TextBody"/>
        <w:bidi w:val="0"/>
        <w:spacing w:lineRule="auto" w:line="288" w:before="120" w:after="283"/>
        <w:ind w:left="0" w:right="0" w:hanging="360"/>
        <w:jc w:val="left"/>
        <w:rPr/>
      </w:pPr>
      <w:r>
        <w:rPr>
          <w:rFonts w:ascii="Times New Roman;serif" w:hAnsi="Times New Roman;serif"/>
          <w:b w:val="false"/>
          <w:color w:val="000000"/>
          <w:sz w:val="13"/>
        </w:rPr>
        <w:t>(10)</w:t>
      </w:r>
      <w:r>
        <w:rPr>
          <w:rFonts w:ascii="Times New Roman;serif" w:hAnsi="Times New Roman;serif"/>
          <w:b w:val="false"/>
          <w:color w:val="000000"/>
          <w:sz w:val="20"/>
        </w:rPr>
        <w:t>Consists mainly of interest earned on cash, cash equivalents and restricted cash.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Components of Our Results of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generate the majority of our revenue from the sale of homes that we previously acquired from homeowners. In addition, we generate revenue from additional services we provide to both home sellers and buyers, which consists primarily of title insurance, escrow services, and real estate brokerage services.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Home sales revenue from selling residential real estate is recognized when title to and possession of the property has transferred to the buyer and we have no continuing involvement with the property, which is generally the close of escrow. The amount of revenue recognized for each home sale is equal to the sale price of the home net of any concessions.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Cost of Revenue</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Cost of revenue includes the property purchase price, acquisition costs, and direct costs to renovate or repair the home. These costs are accumulated in real estate inventory during the property holding period and charged to cost of revenue under the specific identification method when the property is sold. Real estate inventory is reviewed for valuation adjustments at least quarterly. If the carrying amount for a given home is not expected to be recovered, an inventory valuation adjustment is recorded to cost of revenue and the home’s carrying value is adjusted to its net realizable value. For homes sold under our Cash Now, More Later product, cost of revenue also includes any remaining sale proceeds remitted to the original seller upon resale, net of our service fee and certain recoverable costs.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Additionally, for our revenue other than home sales revenue, cost of revenue consists of any costs incurred in delivering the service, including associated headcount expenses such as salaries, benefits, and stock-based compensation.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Sales, Marketing and Operations Expense</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Sales, marketing and operations expense consists primarily of broker commissions (paid to the home buyers’ real estate agents and third-party listing agents, if applicable), resale closing costs, holding costs related to real estate inventory including property taxes, insurance, utilities, homeowners association dues and maintenance, and expenses associated with product marketing, promotions and brand-building. Sales, marketing and operations expense also includes any headcount expenses in support of sales, marketing, and real estate operations such as salaries, benefits, and stock-based compensation.</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 Expense</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 consists primarily of headcount expenses, including salaries, benefits and stock-based compensation for our executive, finance, human resources, legal and administrative personnel, third-party professional services fees and rent expense.</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Technology and Development Expense</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Technology and development expense consists primarily of employee-related expenses for product development, design, data analytics and engineering, including salaries, benefits and stock-based compensation, as well as contractor and consultant fees, third-party software and hosting costs, and amortization of internally developed software. We continue to focus our technology and development efforts on enhancing our pricing and valuation algorithms, improving transaction efficiency, and expanding the capabilities, product offerings and user experience of our digital home buying and selling platform.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333" w:before="0" w:after="0"/>
        <w:jc w:val="left"/>
        <w:rPr/>
      </w:pPr>
      <w:hyperlink w:anchor="i65bd50e6e0134a778ca5f9a1e0365124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333"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333"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333" w:before="0" w:after="0"/>
        <w:ind w:left="0" w:right="0" w:firstLine="720"/>
        <w:jc w:val="center"/>
        <w:rPr>
          <w:rFonts w:ascii="Times New Roman;serif" w:hAnsi="Times New Roman;serif"/>
          <w:b w:val="false"/>
          <w:color w:val="000000"/>
          <w:sz w:val="18"/>
        </w:rPr>
      </w:pPr>
      <w:r>
        <w:rPr>
          <w:rFonts w:ascii="Times New Roman;serif" w:hAnsi="Times New Roman;serif"/>
          <w:b w:val="false"/>
          <w:color w:val="000000"/>
          <w:sz w:val="18"/>
        </w:rPr>
        <w:t>(Tabular amounts in millions, except share and per share data and ratios, or as noted)</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Restructuring Expense</w:t>
      </w:r>
    </w:p>
    <w:p>
      <w:pPr>
        <w:pStyle w:val="TextBody"/>
        <w:bidi w:val="0"/>
        <w:spacing w:lineRule="auto" w:line="288" w:before="240" w:after="283"/>
        <w:ind w:left="0" w:right="0" w:firstLine="450"/>
        <w:jc w:val="left"/>
        <w:rPr/>
      </w:pPr>
      <w:r>
        <w:rPr>
          <w:rFonts w:ascii="Times New Roman;serif" w:hAnsi="Times New Roman;serif"/>
          <w:b w:val="false"/>
          <w:color w:val="000000"/>
          <w:sz w:val="20"/>
        </w:rPr>
        <w:t>Restructuring expense consists primarily of severance and other termination benefits for employees whose roles have been eliminated, consulting fees, and expenses related to the termination of certain leases incurred during the restructuring process. See “</w:t>
      </w:r>
      <w:r>
        <w:rPr>
          <w:rFonts w:ascii="Times New Roman;serif" w:hAnsi="Times New Roman;serif"/>
          <w:b w:val="false"/>
          <w:i/>
          <w:color w:val="000000"/>
          <w:sz w:val="20"/>
        </w:rPr>
        <w:t>Part I – Item 1. Financial Statements – Notes to Condensed Consolidated Financial Statements – Note 16. Restructuring”</w:t>
      </w:r>
      <w:r>
        <w:rPr>
          <w:color w:val="000000"/>
        </w:rPr>
        <w:t xml:space="preserve"> </w:t>
      </w:r>
      <w:r>
        <w:rPr>
          <w:rFonts w:ascii="Times New Roman;serif" w:hAnsi="Times New Roman;serif"/>
          <w:b w:val="false"/>
          <w:color w:val="000000"/>
          <w:sz w:val="20"/>
        </w:rPr>
        <w:t>for additional information regarding restructuring expenses.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(Loss) gain on Extinguishment of Debt</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(Loss) gain on extinguishment of debt consists primarily of gains or losses recognized in conjunction with the termination or partial debt extinguishment of debt facilities and convertible senior notes and the derecognition of associated unamortized deferred costs.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240" w:after="283"/>
        <w:ind w:left="0" w:right="0" w:firstLine="450"/>
        <w:jc w:val="left"/>
        <w:rPr/>
      </w:pPr>
      <w:r>
        <w:rPr>
          <w:rFonts w:ascii="Times New Roman;serif" w:hAnsi="Times New Roman;serif"/>
          <w:b w:val="false"/>
          <w:color w:val="000000"/>
          <w:sz w:val="20"/>
        </w:rPr>
        <w:t>Interest expense consists primarily of interest paid or payable and the amortization of debt discounts and debt issuance costs. Interest expense varies period over period, primarily due to fluctuations in our inventory volumes and changes in the floating benchmark interest rates (“Benchmark Rates”), based on the secured overnight financing rate (“SOFR”), plus an applicable margin, which impact the interest incurred on our asset-backed senior debt facilities (see “— </w:t>
      </w:r>
      <w:r>
        <w:rPr>
          <w:rFonts w:ascii="Times New Roman;serif" w:hAnsi="Times New Roman;serif"/>
          <w:b w:val="false"/>
          <w:i/>
          <w:color w:val="000000"/>
          <w:sz w:val="20"/>
        </w:rPr>
        <w:t>Liquidity and Capital Resources — Debt and Financing Arrangements</w:t>
      </w:r>
      <w:r>
        <w:rPr>
          <w:color w:val="000000"/>
        </w:rPr>
        <w:t>”</w:t>
      </w:r>
      <w:r>
        <w:rPr>
          <w:rFonts w:ascii="Times New Roman;serif" w:hAnsi="Times New Roman;serif"/>
          <w:b w:val="false"/>
          <w:color w:val="000000"/>
          <w:sz w:val="20"/>
        </w:rPr>
        <w:t>).</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expect our overall interest expense to increase as inventory increases. Subject to market conditions and cost of capital trade-offs, we will evaluate opportunities to expand our sources of financing over time, which may allow us to diversify our mix of financing sources to include more cost-effective financing relative to our higher cost mezzanine term debt facilities.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Other Income — Net</w:t>
      </w:r>
    </w:p>
    <w:p>
      <w:pPr>
        <w:pStyle w:val="TextBody"/>
        <w:bidi w:val="0"/>
        <w:spacing w:lineRule="auto" w:line="288" w:before="240" w:after="283"/>
        <w:ind w:left="0" w:right="0" w:firstLine="450"/>
        <w:jc w:val="left"/>
        <w:rPr/>
      </w:pPr>
      <w:r>
        <w:rPr>
          <w:rFonts w:ascii="Times New Roman;serif" w:hAnsi="Times New Roman;serif"/>
          <w:b w:val="false"/>
          <w:color w:val="000000"/>
          <w:sz w:val="20"/>
        </w:rPr>
        <w:t xml:space="preserve">Other income </w:t>
      </w:r>
      <w:r>
        <w:rPr>
          <w:color w:val="000000"/>
        </w:rPr>
        <w:t xml:space="preserve">— </w:t>
      </w:r>
      <w:r>
        <w:rPr>
          <w:rFonts w:ascii="Times New Roman;serif" w:hAnsi="Times New Roman;serif"/>
          <w:b w:val="false"/>
          <w:color w:val="000000"/>
          <w:sz w:val="20"/>
        </w:rPr>
        <w:t>net consists primarily of interest income on our Cash and Restricted cash balances and from our investment in money market funds.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Income Tax Expense</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record income taxes using the asset and liability method. Under this method, deferred income tax assets and liabilities are recorded based on the estimated future tax effects of differences between the financial statement and income tax basis of existing assets and liabilities. These differences are measured using the enacted statutory tax rates that are expected to apply to taxable income for the years in which differences are expected to reverse. We recognize the effect on deferred income taxes of a change in tax rates in income in the period that includes the enactment date.</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record a valuation allowance to reduce our deferred tax assets and liabilities to the net amount that we believe is more likely than not to be realized. We consider all available evidence, both positive and negative, including historical levels of income, expectations and risks associated with estimates of future taxable income and ongoing tax planning strategies in assessing the need for a valuation allowance.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333" w:before="0" w:after="0"/>
        <w:jc w:val="left"/>
        <w:rPr/>
      </w:pPr>
      <w:hyperlink w:anchor="i65bd50e6e0134a778ca5f9a1e0365124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333"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333"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333" w:before="0" w:after="0"/>
        <w:ind w:left="0" w:right="0" w:firstLine="720"/>
        <w:jc w:val="center"/>
        <w:rPr>
          <w:rFonts w:ascii="Times New Roman;serif" w:hAnsi="Times New Roman;serif"/>
          <w:b w:val="false"/>
          <w:color w:val="000000"/>
          <w:sz w:val="18"/>
        </w:rPr>
      </w:pPr>
      <w:r>
        <w:rPr>
          <w:rFonts w:ascii="Times New Roman;serif" w:hAnsi="Times New Roman;serif"/>
          <w:b w:val="false"/>
          <w:color w:val="000000"/>
          <w:sz w:val="18"/>
        </w:rPr>
        <w:t>(Tabular amounts in millions, except share and per share data and ratios, or as noted)</w:t>
      </w:r>
    </w:p>
    <w:p>
      <w:pPr>
        <w:pStyle w:val="TextBody"/>
        <w:bidi w:val="0"/>
        <w:spacing w:before="240" w:after="283"/>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24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our results of operations for each of the periods presented:</w:t>
      </w:r>
    </w:p>
    <w:tbl>
      <w:tblPr>
        <w:tblW w:w="7412" w:type="dxa"/>
        <w:jc w:val="left"/>
        <w:tblInd w:w="0" w:type="dxa"/>
        <w:tblLayout w:type="fixed"/>
        <w:tblCellMar>
          <w:top w:w="28" w:type="dxa"/>
          <w:left w:w="28" w:type="dxa"/>
          <w:bottom w:w="28" w:type="dxa"/>
          <w:right w:w="28" w:type="dxa"/>
        </w:tblCellMar>
      </w:tblPr>
      <w:tblGrid>
        <w:gridCol w:w="1163"/>
        <w:gridCol w:w="1021"/>
        <w:gridCol w:w="1025"/>
        <w:gridCol w:w="211"/>
        <w:gridCol w:w="541"/>
        <w:gridCol w:w="109"/>
        <w:gridCol w:w="109"/>
        <w:gridCol w:w="109"/>
        <w:gridCol w:w="109"/>
        <w:gridCol w:w="211"/>
        <w:gridCol w:w="616"/>
        <w:gridCol w:w="109"/>
        <w:gridCol w:w="109"/>
        <w:gridCol w:w="109"/>
        <w:gridCol w:w="109"/>
        <w:gridCol w:w="211"/>
        <w:gridCol w:w="541"/>
        <w:gridCol w:w="109"/>
        <w:gridCol w:w="109"/>
        <w:gridCol w:w="233"/>
        <w:gridCol w:w="233"/>
        <w:gridCol w:w="316"/>
      </w:tblGrid>
      <w:tr>
        <w:trPr/>
        <w:tc>
          <w:tcPr>
            <w:tcW w:w="1163"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4"/>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 in</w:t>
            </w:r>
          </w:p>
        </w:tc>
        <w:tc>
          <w:tcPr>
            <w:tcW w:w="782" w:type="dxa"/>
            <w:gridSpan w:val="3"/>
            <w:tcBorders/>
          </w:tcPr>
          <w:p>
            <w:pPr>
              <w:pStyle w:val="TableContents"/>
              <w:bidi w:val="0"/>
              <w:spacing w:before="0" w:after="283"/>
              <w:jc w:val="left"/>
              <w:rPr>
                <w:sz w:val="4"/>
                <w:szCs w:val="4"/>
              </w:rPr>
            </w:pPr>
            <w:r>
              <w:rPr>
                <w:sz w:val="4"/>
                <w:szCs w:val="4"/>
              </w:rPr>
            </w:r>
          </w:p>
        </w:tc>
      </w:tr>
      <w:tr>
        <w:trPr/>
        <w:tc>
          <w:tcPr>
            <w:tcW w:w="3209" w:type="dxa"/>
            <w:gridSpan w:val="3"/>
            <w:tcBorders>
              <w:top w:val="single" w:sz="2" w:space="0" w:color="FFFFFF"/>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millions, except percentages)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3209" w:type="dxa"/>
            <w:gridSpan w:val="3"/>
            <w:tcBorders>
              <w:top w:val="single" w:sz="2" w:space="0" w:color="FFFFFF"/>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09" w:type="dxa"/>
            <w:gridSpan w:val="3"/>
            <w:tcBorders>
              <w:top w:val="single" w:sz="2" w:space="0" w:color="FFFFFF"/>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09" w:type="dxa"/>
            <w:gridSpan w:val="3"/>
            <w:tcBorders>
              <w:top w:val="single" w:sz="2" w:space="0" w:color="CCEEFF"/>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marketing and operations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and development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09" w:type="dxa"/>
            <w:gridSpan w:val="3"/>
            <w:tcBorders>
              <w:top w:val="single" w:sz="2" w:space="0" w:color="FFFFFF"/>
            </w:tcBorders>
            <w:shd w:fill="FFFF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extinguishment of debt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09" w:type="dxa"/>
            <w:gridSpan w:val="3"/>
            <w:tcBorders>
              <w:top w:val="single" w:sz="2" w:space="0" w:color="FFFFFF"/>
            </w:tcBorders>
            <w:shd w:fill="FFFF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459 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209" w:type="dxa"/>
            <w:gridSpan w:val="3"/>
            <w:tcBorders>
              <w:top w:val="single" w:sz="2" w:space="0" w:color="FFFFFF"/>
            </w:tcBorders>
            <w:shd w:fill="FFFF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459 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N/M - Not meaningful.</w:t>
      </w:r>
    </w:p>
    <w:tbl>
      <w:tblPr>
        <w:tblW w:w="7637" w:type="dxa"/>
        <w:jc w:val="left"/>
        <w:tblInd w:w="0" w:type="dxa"/>
        <w:tblLayout w:type="fixed"/>
        <w:tblCellMar>
          <w:top w:w="28" w:type="dxa"/>
          <w:left w:w="28" w:type="dxa"/>
          <w:bottom w:w="28" w:type="dxa"/>
          <w:right w:w="28" w:type="dxa"/>
        </w:tblCellMar>
      </w:tblPr>
      <w:tblGrid>
        <w:gridCol w:w="1163"/>
        <w:gridCol w:w="1021"/>
        <w:gridCol w:w="1025"/>
        <w:gridCol w:w="211"/>
        <w:gridCol w:w="616"/>
        <w:gridCol w:w="109"/>
        <w:gridCol w:w="109"/>
        <w:gridCol w:w="109"/>
        <w:gridCol w:w="109"/>
        <w:gridCol w:w="211"/>
        <w:gridCol w:w="616"/>
        <w:gridCol w:w="109"/>
        <w:gridCol w:w="109"/>
        <w:gridCol w:w="109"/>
        <w:gridCol w:w="109"/>
        <w:gridCol w:w="211"/>
        <w:gridCol w:w="691"/>
        <w:gridCol w:w="109"/>
        <w:gridCol w:w="109"/>
        <w:gridCol w:w="233"/>
        <w:gridCol w:w="233"/>
        <w:gridCol w:w="316"/>
      </w:tblGrid>
      <w:tr>
        <w:trPr/>
        <w:tc>
          <w:tcPr>
            <w:tcW w:w="1163"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4"/>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 in</w:t>
            </w:r>
          </w:p>
        </w:tc>
        <w:tc>
          <w:tcPr>
            <w:tcW w:w="782" w:type="dxa"/>
            <w:gridSpan w:val="3"/>
            <w:tcBorders/>
          </w:tcPr>
          <w:p>
            <w:pPr>
              <w:pStyle w:val="TableContents"/>
              <w:bidi w:val="0"/>
              <w:spacing w:before="0" w:after="283"/>
              <w:jc w:val="left"/>
              <w:rPr>
                <w:sz w:val="4"/>
                <w:szCs w:val="4"/>
              </w:rPr>
            </w:pPr>
            <w:r>
              <w:rPr>
                <w:sz w:val="4"/>
                <w:szCs w:val="4"/>
              </w:rPr>
            </w:r>
          </w:p>
        </w:tc>
      </w:tr>
      <w:tr>
        <w:trPr/>
        <w:tc>
          <w:tcPr>
            <w:tcW w:w="3209" w:type="dxa"/>
            <w:gridSpan w:val="3"/>
            <w:tcBorders>
              <w:top w:val="single" w:sz="2" w:space="0" w:color="FFFFFF"/>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millions, except percentages)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3209" w:type="dxa"/>
            <w:gridSpan w:val="3"/>
            <w:tcBorders>
              <w:top w:val="single" w:sz="2" w:space="0" w:color="FFFFFF"/>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09" w:type="dxa"/>
            <w:gridSpan w:val="3"/>
            <w:tcBorders>
              <w:top w:val="single" w:sz="2" w:space="0" w:color="FFFFFF"/>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09" w:type="dxa"/>
            <w:gridSpan w:val="3"/>
            <w:tcBorders>
              <w:top w:val="single" w:sz="2" w:space="0" w:color="CCEEFF"/>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marketing and operations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and development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09" w:type="dxa"/>
            <w:gridSpan w:val="3"/>
            <w:tcBorders>
              <w:top w:val="single" w:sz="2" w:space="0" w:color="FFFFFF"/>
            </w:tcBorders>
            <w:shd w:fill="FFFF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extinguishment of debt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09" w:type="dxa"/>
            <w:gridSpan w:val="3"/>
            <w:tcBorders>
              <w:top w:val="single" w:sz="2" w:space="0" w:color="FFFFFF"/>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209" w:type="dxa"/>
            <w:gridSpan w:val="3"/>
            <w:tcBorders>
              <w:top w:val="single" w:sz="2" w:space="0" w:color="FFFFFF"/>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N/M - Not meaningful.</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Revenue</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Revenue decreased by $684 million, or 44%, for the three months ended June 30, 2026 compared to the three months ended June 30, 2025. The decrease in revenue was primarily attributable to lower sales volumes in the second quarter of 2026, which was driven by lower homes in inventory entering the quarter. We began the second quarter of 2026 with 3,420 homes in inventory, compared to 7,080 homes at the beginning of the second quarter of 2025. We sold 2,339 homes during the three months ended June 30, 2026, compared to 4,299 homes during the three months ended June 30, 2025, representing a decrease of 46%. Revenue per home sold increased 4% between the same periods.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333" w:before="0" w:after="0"/>
        <w:jc w:val="left"/>
        <w:rPr/>
      </w:pPr>
      <w:hyperlink w:anchor="i65bd50e6e0134a778ca5f9a1e0365124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333"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333"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333" w:before="0" w:after="0"/>
        <w:ind w:left="0" w:right="0" w:firstLine="720"/>
        <w:jc w:val="center"/>
        <w:rPr>
          <w:rFonts w:ascii="Times New Roman;serif" w:hAnsi="Times New Roman;serif"/>
          <w:b w:val="false"/>
          <w:color w:val="000000"/>
          <w:sz w:val="18"/>
        </w:rPr>
      </w:pPr>
      <w:r>
        <w:rPr>
          <w:rFonts w:ascii="Times New Roman;serif" w:hAnsi="Times New Roman;serif"/>
          <w:b w:val="false"/>
          <w:color w:val="000000"/>
          <w:sz w:val="18"/>
        </w:rPr>
        <w:t>(Tabular amounts in millions, except share and per share data and ratios, or as noted)</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Revenue decreased by $1.1 billion, or 41%, for the six months ended June 30, 2026 compared to the six months ended June 30, 2025. The decrease in revenue was primarily attributable to lower sales volumes in the first half of 2026, which was driven by lower homes in inventory entering the year. We began 2026 with 2,867 homes in inventory, compared to 6,417 homes at the beginning of 2025. We sold 4,260 homes during the six months ended June 30, 2026, compared to 7,245 homes during the six months ended June 30, 2025, representing a decrease of 41%. Revenue per home sold was flat between the same periods.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Cost of Revenue and Gross Profit </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Cost of revenue decreased by $642 million, or 45%, for the three months ended June 30, 2026 compared to the three months ended June 30, 2025. The decrease in cost of revenue was primarily attributable to lower sales volumes and partially offset by a 2% increase in cost of revenue per home sold.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Cost of revenue decreased by $1.0 billion, or 42%, for the six months ended June 30, 2026 compared to the six months ended June 30, 2025. The decrease in cost of revenue was primarily attributable to lower sales volumes and a 1% decrease in cost of revenue per home sold.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450"/>
        <w:jc w:val="left"/>
        <w:rPr/>
      </w:pPr>
      <w:r>
        <w:rPr>
          <w:rFonts w:ascii="Times New Roman;serif" w:hAnsi="Times New Roman;serif"/>
          <w:b w:val="false"/>
          <w:color w:val="000000"/>
          <w:sz w:val="20"/>
        </w:rPr>
        <w:t>Gross profit decreased from $128 million to $86 million and gross margin increased from 8.2% to 9.7% for the three months ended June 30, 2025 and June 30, 2026, respectively. For the same periods, Adjusted Gross Margin increased from 8.6% to 10.3% and Contribution Margin increased from 4.4% to 5.8%. The decrease in gross profit was attributable to lower sales volumes as discussed above. The increase in Gross Margin, Adjusted Gross Margin, and Contribution Margin was partially driven by a favorable mix of fresher inventory sold during the period, together with an increase in margin from adjacent services. As a reminder, Adjusted Gross Margin and Contribution Margin include inventory valuation adjustments recorded in prior periods on homes sold in the current period and exclude inventory valuation adjustments on homes remaining in inventory at the end of the period, which can create significant differences between these metrics and gross margin. Adjusted Gross Margin and Contribution Margin are non-GAAP financial measures. See “— </w:t>
      </w:r>
      <w:r>
        <w:rPr>
          <w:rFonts w:ascii="Times New Roman;serif" w:hAnsi="Times New Roman;serif"/>
          <w:b w:val="false"/>
          <w:i/>
          <w:color w:val="000000"/>
          <w:sz w:val="20"/>
        </w:rPr>
        <w:t>Non-GAAP Financial Measures</w:t>
      </w:r>
      <w:r>
        <w:rPr>
          <w:color w:val="000000"/>
        </w:rPr>
        <w:t xml:space="preserve">” </w:t>
      </w:r>
      <w:r>
        <w:rPr>
          <w:rFonts w:ascii="Times New Roman;serif" w:hAnsi="Times New Roman;serif"/>
          <w:b w:val="false"/>
          <w:color w:val="000000"/>
          <w:sz w:val="20"/>
        </w:rPr>
        <w:t>for further details and a reconciliation of such non-GAAP measures to their nearest comparable GAAP measures.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450"/>
        <w:jc w:val="left"/>
        <w:rPr/>
      </w:pPr>
      <w:r>
        <w:rPr>
          <w:rFonts w:ascii="Times New Roman;serif" w:hAnsi="Times New Roman;serif"/>
          <w:b w:val="false"/>
          <w:color w:val="000000"/>
          <w:sz w:val="20"/>
        </w:rPr>
        <w:t>Gross profit decreased from $227 million to $158 million and gross margin increased from 8.3% to 9.9% for the six months ended June 30, 2025 and June 30, 2026, respectively. For the same periods, Adjusted Gross Margin increased from 8.6% to 9.9% and Contribution Margin increased from 4.5% to 5.2%. The decrease in gross profit was attributable to lower sales volumes as discussed above. The increase in Gross Margin, Adjusted Gross Margin, and Contribution Margin is driven by an increase in adjacent services. Adjusted Gross Margin and Contribution Margin are non-GAAP financial measures. See “— </w:t>
      </w:r>
      <w:r>
        <w:rPr>
          <w:rFonts w:ascii="Times New Roman;serif" w:hAnsi="Times New Roman;serif"/>
          <w:b w:val="false"/>
          <w:i/>
          <w:color w:val="000000"/>
          <w:sz w:val="20"/>
        </w:rPr>
        <w:t>Non-GAAP Financial Measures</w:t>
      </w:r>
      <w:r>
        <w:rPr>
          <w:color w:val="000000"/>
        </w:rPr>
        <w:t xml:space="preserve">” </w:t>
      </w:r>
      <w:r>
        <w:rPr>
          <w:rFonts w:ascii="Times New Roman;serif" w:hAnsi="Times New Roman;serif"/>
          <w:b w:val="false"/>
          <w:color w:val="000000"/>
          <w:sz w:val="20"/>
        </w:rPr>
        <w:t>for further details and a reconciliation of such non-GAAP measures to their nearest comparable GAAP measures.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Operating Expenses</w:t>
      </w:r>
    </w:p>
    <w:p>
      <w:pPr>
        <w:pStyle w:val="TextBody"/>
        <w:bidi w:val="0"/>
        <w:spacing w:lineRule="auto" w:line="288" w:before="240" w:after="283"/>
        <w:ind w:left="0" w:right="0" w:firstLine="450"/>
        <w:jc w:val="left"/>
        <w:rPr/>
      </w:pPr>
      <w:r>
        <w:rPr>
          <w:rFonts w:ascii="Times New Roman;serif" w:hAnsi="Times New Roman;serif"/>
          <w:b w:val="false"/>
          <w:i/>
          <w:color w:val="000000"/>
          <w:sz w:val="20"/>
        </w:rPr>
        <w:t>Sales, Marketing and Operations</w:t>
      </w:r>
      <w:r>
        <w:rPr>
          <w:rFonts w:ascii="Times New Roman;serif" w:hAnsi="Times New Roman;serif"/>
          <w:b w:val="false"/>
          <w:color w:val="000000"/>
          <w:sz w:val="20"/>
        </w:rPr>
        <w:t xml:space="preserve">. Sales, marketing and operations decreased by $21 million, or 24%, for the three months ended June 30, 2026 compared to the three months ended June 30, 2025. The decrease was primarily attributable to a $14 million decrease in Direct selling costs, consistent with lower sales volumes, a $3 million decrease in property holding costs due to a decrease in average homes in inventory, and a $2 million decrease in advertising expense, which decreased from $7 million for the three months ended June 30, 2025 to $5 million for the three months ended June 30,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Sales, marketing and operations decreased by $49 million, or 27%, for the six months ended June 30, 2026 compared to the six months ended June 30, 2025. The decrease was primarily attributable to a $20 million decrease in Direct selling costs, consistent with lower sales volumes, a $14 million decrease in property holding costs due to a decrease in average homes in inventory, a $7 million decrease in advertising expense, which decreased from $31 million for the six months ended June 30, 2025 to $24 million for the six months ended June 30, 2026, and a $6 million decrease in headcount expenses, including salaries and benefits as we streamlined our organization.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450"/>
        <w:jc w:val="left"/>
        <w:rPr/>
      </w:pPr>
      <w:r>
        <w:rPr>
          <w:rFonts w:ascii="Times New Roman;serif" w:hAnsi="Times New Roman;serif"/>
          <w:b w:val="false"/>
          <w:i/>
          <w:color w:val="000000"/>
          <w:sz w:val="20"/>
        </w:rPr>
        <w:t>General and Administrative</w:t>
      </w:r>
      <w:r>
        <w:rPr>
          <w:rFonts w:ascii="Times New Roman;serif" w:hAnsi="Times New Roman;serif"/>
          <w:b w:val="false"/>
          <w:color w:val="000000"/>
          <w:sz w:val="20"/>
        </w:rPr>
        <w:t xml:space="preserve">. General and administrative increased by $107 million, or 382%, for the three months ended June 30, 2026 compared to the three months ended June 30, 2025. The increase was primarily attributable to a $98 million increase in stock-based compensation expenses, including $95 million related to market condition restricted stock units granted to executives, and a $4 million expense related to the CEO make-whole provision.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333" w:before="0" w:after="0"/>
        <w:jc w:val="left"/>
        <w:rPr/>
      </w:pPr>
      <w:hyperlink w:anchor="i65bd50e6e0134a778ca5f9a1e0365124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333"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333"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333" w:before="0" w:after="0"/>
        <w:ind w:left="0" w:right="0" w:firstLine="720"/>
        <w:jc w:val="center"/>
        <w:rPr>
          <w:rFonts w:ascii="Times New Roman;serif" w:hAnsi="Times New Roman;serif"/>
          <w:b w:val="false"/>
          <w:color w:val="000000"/>
          <w:sz w:val="18"/>
        </w:rPr>
      </w:pPr>
      <w:r>
        <w:rPr>
          <w:rFonts w:ascii="Times New Roman;serif" w:hAnsi="Times New Roman;serif"/>
          <w:b w:val="false"/>
          <w:color w:val="000000"/>
          <w:sz w:val="18"/>
        </w:rPr>
        <w:t>(Tabular amounts in millions, except share and per share data and ratios, or as noted)</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increased by $211 million, or 346%, for the six months ended June 30, 2026 compared to the six months ended June 30, 2025. The increase was primarily attributable to a $199 million increase in stock-based compensation expenses, including $194 million related to market condition restricted stock units granted to executives, and a $9 million expense related to the CEO make-whole provision.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450"/>
        <w:jc w:val="left"/>
        <w:rPr/>
      </w:pPr>
      <w:r>
        <w:rPr>
          <w:rFonts w:ascii="Times New Roman;serif" w:hAnsi="Times New Roman;serif"/>
          <w:b w:val="false"/>
          <w:i/>
          <w:color w:val="000000"/>
          <w:sz w:val="20"/>
        </w:rPr>
        <w:t>Technology and Development</w:t>
      </w:r>
      <w:r>
        <w:rPr>
          <w:rFonts w:ascii="Times New Roman;serif" w:hAnsi="Times New Roman;serif"/>
          <w:b w:val="false"/>
          <w:color w:val="000000"/>
          <w:sz w:val="20"/>
        </w:rPr>
        <w:t>. Technology and development increased by $6 million, or 29%, for the three months ended June 30, 2026 compared to the three months ended June 30, 2025. The increase was primarily attributable to a $10 million increase in stock-based compensation expenses, including $5 million related to market condition restricted stock units granted to executives, partially offset by a $6 million decrease in IDSW expenses due to increased capitalization and decreased amortization.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Technology and development increased by $9 million, or 21%, for the six months ended June 30, 2026 compared to the six months ended June 30, 2025. The increase was primarily attributable to a $15 million increase in stock-based compensation expenses, including $9 million related to market condition restricted stock units granted to executives, partially offset by a $6 million decrease in IDSW expenses due to increased capitalization and decreased amortization.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450"/>
        <w:jc w:val="left"/>
        <w:rPr/>
      </w:pPr>
      <w:r>
        <w:rPr>
          <w:rFonts w:ascii="Times New Roman;serif" w:hAnsi="Times New Roman;serif"/>
          <w:b w:val="false"/>
          <w:i/>
          <w:color w:val="000000"/>
          <w:sz w:val="20"/>
        </w:rPr>
        <w:t>Restructuring</w:t>
      </w:r>
      <w:r>
        <w:rPr>
          <w:rFonts w:ascii="Times New Roman;serif" w:hAnsi="Times New Roman;serif"/>
          <w:b w:val="false"/>
          <w:color w:val="000000"/>
          <w:sz w:val="20"/>
        </w:rPr>
        <w:t xml:space="preserve">. Restructuring decreased by $3 million for the three months ended June 30, 2026 compared to the three months ended June 30, 2025. For the three months ended June 30, 2026 and 2025, the Company incurred $3 million and $6 million, respectively, of restructuring expenses related to workforce reductions, associated consulting fees, and lease termination cost.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Restructuring decreased by $6 million, for the six months ended June 30, 2026 compared to the six months ended June 30, 2025. For the six months ended June 30, 2026 and 2025, the Company incurred $3 million and $9 million, respectively, of restructuring expenses related to workforce reductions, associated consulting fees, and lease termination costs.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(Loss) Gain on Extinguishment of Debt</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(Loss) gain on extinguishment of debt decreased by $10 million, for the three months ended June 30, 2026 compared to the three months ended June 30, 2025. The gain on extinguishment of debt during the three months ended June 30, 2025 was primarily attributable to the $10 million gain recognized on the Company’s partial extinguishment of its 2026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(Loss) gain on extinguishment of debt decreased by $11 million, for the six months ended June 30, 2026 compared to the six months ended June 30, 2025. The gain on extinguishment of debt during the six months ended June 30, 2025 was primarily attributable to the $10 million gain recognized on the Company’s partial extinguishment of its 2026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Interest Expense</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Interest expense decreased by $7 million, or 19%, for the three months ended June 30, 2026 compared to the three months ended June 30, 2025. The decrease was primarily attributable to lower average balances on our non-recourse asset-backed debt.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Interest expense decreased by $17 million, or 25%, for the six months ended June 30, 2026 compared to the six months ended June 30, 2025. The decrease was primarily attributable to lower average balances on our non-recourse asset-backed debt.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Other Income — Net</w:t>
      </w:r>
    </w:p>
    <w:p>
      <w:pPr>
        <w:pStyle w:val="TextBody"/>
        <w:bidi w:val="0"/>
        <w:spacing w:lineRule="auto" w:line="288" w:before="240" w:after="283"/>
        <w:ind w:left="0" w:right="0" w:firstLine="450"/>
        <w:jc w:val="left"/>
        <w:rPr/>
      </w:pPr>
      <w:r>
        <w:rPr>
          <w:rFonts w:ascii="Times New Roman;serif" w:hAnsi="Times New Roman;serif"/>
          <w:b w:val="false"/>
          <w:color w:val="000000"/>
          <w:sz w:val="20"/>
        </w:rPr>
        <w:t xml:space="preserve">Other income </w:t>
      </w:r>
      <w:r>
        <w:rPr>
          <w:color w:val="000000"/>
        </w:rPr>
        <w:t xml:space="preserve">— </w:t>
      </w:r>
      <w:r>
        <w:rPr>
          <w:rFonts w:ascii="Times New Roman;serif" w:hAnsi="Times New Roman;serif"/>
          <w:b w:val="false"/>
          <w:color w:val="000000"/>
          <w:sz w:val="20"/>
        </w:rPr>
        <w:t>net increased by $1 million, or 10%, for the three months ended June 30, 2026 compared to the three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450"/>
        <w:jc w:val="left"/>
        <w:rPr/>
      </w:pPr>
      <w:r>
        <w:rPr>
          <w:rFonts w:ascii="Times New Roman;serif" w:hAnsi="Times New Roman;serif"/>
          <w:b w:val="false"/>
          <w:color w:val="000000"/>
          <w:sz w:val="20"/>
        </w:rPr>
        <w:t xml:space="preserve">Other income </w:t>
      </w:r>
      <w:r>
        <w:rPr>
          <w:color w:val="000000"/>
        </w:rPr>
        <w:t xml:space="preserve">— </w:t>
      </w:r>
      <w:r>
        <w:rPr>
          <w:rFonts w:ascii="Times New Roman;serif" w:hAnsi="Times New Roman;serif"/>
          <w:b w:val="false"/>
          <w:color w:val="000000"/>
          <w:sz w:val="20"/>
        </w:rPr>
        <w:t>net increased by $7 million, or 50%, for the six months ended June 30, 2026 compared to the six months ended June 30, 2025. The increase was primarily attributable to a $3 million increase in interest income due to an increase in average cash, cash equivalents and restricted cash balances and the non-recurrence of a $3 million expense related to changes in the fair value of marketable equity securities that was recognized in the six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333" w:before="0" w:after="0"/>
        <w:jc w:val="left"/>
        <w:rPr/>
      </w:pPr>
      <w:hyperlink w:anchor="i65bd50e6e0134a778ca5f9a1e0365124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333"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333"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333" w:before="0" w:after="0"/>
        <w:ind w:left="0" w:right="0" w:firstLine="720"/>
        <w:jc w:val="center"/>
        <w:rPr>
          <w:rFonts w:ascii="Times New Roman;serif" w:hAnsi="Times New Roman;serif"/>
          <w:b w:val="false"/>
          <w:color w:val="000000"/>
          <w:sz w:val="18"/>
        </w:rPr>
      </w:pPr>
      <w:r>
        <w:rPr>
          <w:rFonts w:ascii="Times New Roman;serif" w:hAnsi="Times New Roman;serif"/>
          <w:b w:val="false"/>
          <w:color w:val="000000"/>
          <w:sz w:val="18"/>
        </w:rPr>
        <w:t>(Tabular amounts in millions, except share and per share data and ratios, or as noted)</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Income Tax Expense</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Income tax expense changed by a nominal amount for the three and six months ended June 30, 2026 compared to the three and six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Overview</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principal sources of liquidity have historically consisted of cash generated from our operations and from financing activities. As of June 30, 2026, we had cash and cash equivalents of $896 million and restricted cash of $66 million. The decrease in our cash and cash equivalents balance of $66 million as compared to December 31, 2025 resulted primarily from an increase in real estate inventory and operating losses. Restricted cash decreased $273 million as compared to December 31, 2025, primarily reflecting the deployment of cash to acquire real estate inventory, and improved inventory health, which allowed us to finance homes closer to the maximum advance rates available under our non-recourse asset-backed debt facilities.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 had total outstanding balances on our asset-backed debt of $1.8 billion and aggregate principal outstanding from convertible senior notes of $197 million. In addition, we had undrawn borrowing capacity of $5.7 billion under our non-recourse asset-backed debt facilities (as described further below), of which $25 million was committed.</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market conditions warrant, we may, from time to time, repurchase our outstanding debt securities in the open market, in privately negotiated transactions, by tender offer, by exchange transaction or otherwise. Such repurchases, if any, will be upon such terms and at such prices as we may determine, and will depend on prevailing market conditions, our liquidity and other factors and may be commenced or suspended at any time. The amounts involved and total consideration paid may be material.</w:t>
      </w:r>
    </w:p>
    <w:p>
      <w:pPr>
        <w:pStyle w:val="TextBody"/>
        <w:bidi w:val="0"/>
        <w:spacing w:lineRule="auto" w:line="288" w:before="240" w:after="283"/>
        <w:ind w:left="0" w:right="0" w:firstLine="450"/>
        <w:jc w:val="left"/>
        <w:rPr/>
      </w:pPr>
      <w:r>
        <w:rPr>
          <w:rFonts w:ascii="Times New Roman;serif" w:hAnsi="Times New Roman;serif"/>
          <w:b w:val="false"/>
          <w:color w:val="000000"/>
          <w:sz w:val="20"/>
        </w:rPr>
        <w:t>As of June 30, 2026, the $135 million outstanding principal balance of the 2026 Notes and the $62 million outstanding principal balance of the 2030 Notes are classified as a current liability in the condensed consolidated balance sheet. The 2026 Notes mature on August 15, 2026. While the 2030 Notes mature on May 15, 2030, they become convertible during any calendar quarter if the last reported sale price of the Company’s common stock exceeds 130% of the conversion price for at least 20 of the 30 consecutive trading days ending on, and including, the last trading day of the immediately preceding calendar quarter. As of June 30, 2026, this condition was met and the 2030 Notes are convertible through September 30, 2026. See “</w:t>
      </w:r>
      <w:r>
        <w:rPr>
          <w:rFonts w:ascii="Times New Roman;serif" w:hAnsi="Times New Roman;serif"/>
          <w:b w:val="false"/>
          <w:i/>
          <w:color w:val="000000"/>
          <w:sz w:val="20"/>
        </w:rPr>
        <w:t xml:space="preserve">Part I – Item 1. Financial Statements – Notes to Condensed Consolidated Financial Statements – Note 5. Credit Facilities, Long-Term Debt, and Convertible Notes” </w:t>
      </w:r>
      <w:r>
        <w:rPr>
          <w:rFonts w:ascii="Times New Roman;serif" w:hAnsi="Times New Roman;serif"/>
          <w:b w:val="false"/>
          <w:color w:val="000000"/>
          <w:sz w:val="20"/>
        </w:rPr>
        <w:t>for additional conversion conditions.</w:t>
      </w:r>
    </w:p>
    <w:p>
      <w:pPr>
        <w:pStyle w:val="TextBody"/>
        <w:bidi w:val="0"/>
        <w:spacing w:lineRule="auto" w:line="288" w:before="240" w:after="283"/>
        <w:ind w:left="0" w:right="0" w:firstLine="450"/>
        <w:jc w:val="left"/>
        <w:rPr/>
      </w:pPr>
      <w:r>
        <w:rPr>
          <w:rFonts w:ascii="Times New Roman;serif" w:hAnsi="Times New Roman;serif"/>
          <w:b w:val="false"/>
          <w:color w:val="000000"/>
          <w:sz w:val="20"/>
        </w:rPr>
        <w:t>On November 6, 2025, our board of directors declared a distribution of a dividend in the form of warrants to purchase shares of our common stock. On November 21, 2025, a total of 99,295,146 Warrants were issued and distributed to the holders of record of common stock and 2030 Notes as of the November 18, 2025 record date. The Warrants are initially exercisable only for cash at the applicable exercise price, subject to the Company’s ability to permit net exercise as provided in the applicable warrant agreement. For additional details regarding the Warrant Dividend (as defined herein), see “</w:t>
      </w:r>
      <w:r>
        <w:rPr>
          <w:rFonts w:ascii="Times New Roman;serif" w:hAnsi="Times New Roman;serif"/>
          <w:b w:val="false"/>
          <w:i/>
          <w:color w:val="000000"/>
          <w:sz w:val="20"/>
        </w:rPr>
        <w:t>Part II – Item 8. Financial Statements and Supplementary Data – Notes to Consolidated Financial Statements – Note 11. Shareholders’ Equity</w:t>
      </w:r>
      <w:r>
        <w:rPr>
          <w:color w:val="000000"/>
        </w:rPr>
        <w:t xml:space="preserve">” </w:t>
      </w:r>
      <w:r>
        <w:rPr>
          <w:rFonts w:ascii="Times New Roman;serif" w:hAnsi="Times New Roman;serif"/>
          <w:b w:val="false"/>
          <w:color w:val="000000"/>
          <w:sz w:val="20"/>
        </w:rPr>
        <w:t>in our Annual Report on Form 10-K for the year ended December 31, 2025.</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table below summarizes the outstanding warrants as of June 30, 2026:</w:t>
      </w:r>
    </w:p>
    <w:tbl>
      <w:tblPr>
        <w:tblW w:w="6753" w:type="dxa"/>
        <w:jc w:val="left"/>
        <w:tblInd w:w="0" w:type="dxa"/>
        <w:tblLayout w:type="fixed"/>
        <w:tblCellMar>
          <w:top w:w="28" w:type="dxa"/>
          <w:left w:w="28" w:type="dxa"/>
          <w:bottom w:w="28" w:type="dxa"/>
          <w:right w:w="28" w:type="dxa"/>
        </w:tblCellMar>
      </w:tblPr>
      <w:tblGrid>
        <w:gridCol w:w="557"/>
        <w:gridCol w:w="490"/>
        <w:gridCol w:w="497"/>
        <w:gridCol w:w="109"/>
        <w:gridCol w:w="109"/>
        <w:gridCol w:w="109"/>
        <w:gridCol w:w="424"/>
        <w:gridCol w:w="424"/>
        <w:gridCol w:w="426"/>
        <w:gridCol w:w="109"/>
        <w:gridCol w:w="109"/>
        <w:gridCol w:w="109"/>
        <w:gridCol w:w="253"/>
        <w:gridCol w:w="741"/>
        <w:gridCol w:w="131"/>
        <w:gridCol w:w="109"/>
        <w:gridCol w:w="109"/>
        <w:gridCol w:w="109"/>
        <w:gridCol w:w="540"/>
        <w:gridCol w:w="541"/>
        <w:gridCol w:w="748"/>
      </w:tblGrid>
      <w:tr>
        <w:trPr/>
        <w:tc>
          <w:tcPr>
            <w:tcW w:w="557"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15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Warrants Outstanding</w:t>
            </w:r>
          </w:p>
        </w:tc>
      </w:tr>
      <w:tr>
        <w:trPr/>
        <w:tc>
          <w:tcPr>
            <w:tcW w:w="15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Series K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OPENW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33,093,123 </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Series A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OPENL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33,097,431 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Series Z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OPENZ</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33,097,536 </w:t>
            </w:r>
          </w:p>
        </w:tc>
        <w:tc>
          <w:tcPr>
            <w:tcW w:w="7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99,288,090 </w:t>
            </w:r>
          </w:p>
        </w:tc>
        <w:tc>
          <w:tcPr>
            <w:tcW w:w="7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have incurred losses from inception through June 30, 2026, with the exception of net income during the three months ended March 31, 2022 and three months ended June 30, 2023, and we expect to incur additional losses in the future. Our ability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333" w:before="0" w:after="0"/>
        <w:jc w:val="left"/>
        <w:rPr/>
      </w:pPr>
      <w:hyperlink w:anchor="i65bd50e6e0134a778ca5f9a1e0365124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333"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333"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333" w:before="0" w:after="0"/>
        <w:ind w:left="0" w:right="0" w:firstLine="720"/>
        <w:jc w:val="center"/>
        <w:rPr>
          <w:rFonts w:ascii="Times New Roman;serif" w:hAnsi="Times New Roman;serif"/>
          <w:b w:val="false"/>
          <w:color w:val="000000"/>
          <w:sz w:val="18"/>
        </w:rPr>
      </w:pPr>
      <w:r>
        <w:rPr>
          <w:rFonts w:ascii="Times New Roman;serif" w:hAnsi="Times New Roman;serif"/>
          <w:b w:val="false"/>
          <w:color w:val="000000"/>
          <w:sz w:val="18"/>
        </w:rPr>
        <w:t>(Tabular amounts in millions, except share and per share data and ratios, or as noted)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to service our debt and fund working capital, business operations and capital expenditures will depend on our ability to generate cash from operating activities, which is subject to our future operating success, and ability to obtain inventory acquisition financing on reasonable terms, which is subject to factors beyond our control, including potential economic recession, rising interest rates, inflation and general economic, political and financial market conditions.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working capital requirements may increase should our inventory balance increase. We believe our cash and cash equivalents, together with cash we expect to generate from future operations and borrowings, will be sufficient to meet our working capital and capital expenditure requirements for a period of at least 12 months from the date of this Quarterly Report on Form 10-Q.</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Debt and Financing Arrangements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financing activities include: short-term borrowings under our asset-backed senior revolving credit facilities; the issuance of long-term asset-backed senior term debt, asset-backed mezzanine term debt, convertible debt, and new issuances of equity. Historically, we have required access to external financing resources in order to fund growth, expansion and strategic initiatives, and we expect this to continue in the future. Our access to capital markets can be impacted by factors outside our control, including economic conditions.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primarily use non-recourse asset-backed debt, consisting of asset-backed senior debt facilities and asset-backed mezzanine term debt facilities, to provide financing for our real estate inventory purchases and renovations. Our business is capital intensive and maintaining adequate liquidity and capital resources is needed as we continue to scale and accumulate additional inventory. We intend to actively manage our relationships with multiple financial institutions and seek to optimize duration, flexibility, efficiency and cost of funds, but there can be no assurance that we will be able to obtain sufficient capital for our business or to do so on acceptable financial and other terms.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asset-backed facilities are each collateralized by a specified pool of assets, consisting of real estate inventory, restricted cash and equity interests in certain consolidated subsidiaries of Opendoor that directly or indirectly own our real estate inventory. The terms of our inventory financing facilities require an Opendoor subsidiary to comply with customary financial covenants, such as maintaining certain levels of liquidity, tangible net worth or leverage (ratio of debt to tangible net worth). As of June 30, 2026, the Company was in compliance with all financial covenants.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property financing subsidiaries’ assets and credit generally are not available to satisfy the debts and other obligations of any other Opendoor entities. Our asset-backed debt is non-recourse to Opendoor and our subsidiaries that are not party to the relevant financing arrangements, except for limited guarantees provided by an Opendoor subsidiary for certain obligations in situations involving “bad acts” by an Opendoor entity and certain other limited circumstances.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Our asset-backed senior debt facilities generally provide for advance rates of 75% to 90% against our cost basis in the underlying properties upon acquisition. Our mezzanine term facilities may finance up to 95% to 100% of our cost basis in the underlying properties upon acquisition. The maximum initial advance rates vary by facility and generally decrease on a fixed timeline that varies by facility based on the length of time a given property has been financed and other facility-specific adjustments, including adjustments based on collateral performance. </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would be required to keep amounts in restricted cash accounts to collateralize our asset-backed term debt facilities if the property borrowing base is insufficient to satisfy the borrowing base requirements or if the value of the assets of a certain Opendoor subsidiary declines below certain levels. If these events occur, we may utilize other available credit facilities for our cash needs, potentially at higher interest rates. The amounts required to be kept in restricted cash accounts may fluctuate due to seasonality, timing of property acquisitions and resales, and the outstanding loan balances under our asset-backed term debt facilities.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333" w:before="0" w:after="0"/>
        <w:jc w:val="left"/>
        <w:rPr/>
      </w:pPr>
      <w:hyperlink w:anchor="i65bd50e6e0134a778ca5f9a1e0365124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333"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333"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333" w:before="0" w:after="0"/>
        <w:ind w:left="0" w:right="0" w:firstLine="720"/>
        <w:jc w:val="center"/>
        <w:rPr>
          <w:rFonts w:ascii="Times New Roman;serif" w:hAnsi="Times New Roman;serif"/>
          <w:b w:val="false"/>
          <w:color w:val="000000"/>
          <w:sz w:val="18"/>
        </w:rPr>
      </w:pPr>
      <w:r>
        <w:rPr>
          <w:rFonts w:ascii="Times New Roman;serif" w:hAnsi="Times New Roman;serif"/>
          <w:b w:val="false"/>
          <w:color w:val="000000"/>
          <w:sz w:val="18"/>
        </w:rPr>
        <w:t>(Tabular amounts in millions, except share and per share data and ratios, or as noted)</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certain details related to our non-recourse asset-backed debt as of June 30, 2026 (in millions, except interest rates):</w:t>
      </w:r>
    </w:p>
    <w:tbl>
      <w:tblPr>
        <w:tblW w:w="10205" w:type="dxa"/>
        <w:jc w:val="left"/>
        <w:tblInd w:w="0" w:type="dxa"/>
        <w:tblLayout w:type="fixed"/>
        <w:tblCellMar>
          <w:top w:w="28" w:type="dxa"/>
          <w:left w:w="28" w:type="dxa"/>
          <w:bottom w:w="28" w:type="dxa"/>
          <w:right w:w="28" w:type="dxa"/>
        </w:tblCellMar>
      </w:tblPr>
      <w:tblGrid>
        <w:gridCol w:w="668"/>
        <w:gridCol w:w="588"/>
        <w:gridCol w:w="576"/>
        <w:gridCol w:w="109"/>
        <w:gridCol w:w="109"/>
        <w:gridCol w:w="109"/>
        <w:gridCol w:w="201"/>
        <w:gridCol w:w="572"/>
        <w:gridCol w:w="113"/>
        <w:gridCol w:w="109"/>
        <w:gridCol w:w="109"/>
        <w:gridCol w:w="109"/>
        <w:gridCol w:w="196"/>
        <w:gridCol w:w="421"/>
        <w:gridCol w:w="109"/>
        <w:gridCol w:w="109"/>
        <w:gridCol w:w="109"/>
        <w:gridCol w:w="109"/>
        <w:gridCol w:w="239"/>
        <w:gridCol w:w="678"/>
        <w:gridCol w:w="134"/>
        <w:gridCol w:w="109"/>
        <w:gridCol w:w="109"/>
        <w:gridCol w:w="109"/>
        <w:gridCol w:w="297"/>
        <w:gridCol w:w="259"/>
        <w:gridCol w:w="459"/>
        <w:gridCol w:w="109"/>
        <w:gridCol w:w="109"/>
        <w:gridCol w:w="109"/>
        <w:gridCol w:w="546"/>
        <w:gridCol w:w="546"/>
        <w:gridCol w:w="548"/>
        <w:gridCol w:w="109"/>
        <w:gridCol w:w="109"/>
        <w:gridCol w:w="109"/>
        <w:gridCol w:w="354"/>
        <w:gridCol w:w="303"/>
        <w:gridCol w:w="436"/>
      </w:tblGrid>
      <w:tr>
        <w:trPr/>
        <w:tc>
          <w:tcPr>
            <w:tcW w:w="66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r>
      <w:tr>
        <w:trPr/>
        <w:tc>
          <w:tcPr>
            <w:tcW w:w="1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Outstanding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333" w:before="53" w:after="283"/>
              <w:jc w:val="center"/>
              <w:rPr>
                <w:rFonts w:ascii="Times New Roman;serif" w:hAnsi="Times New Roman;serif"/>
                <w:b/>
                <w:color w:val="000000"/>
                <w:sz w:val="16"/>
              </w:rPr>
            </w:pPr>
            <w:r>
              <w:rPr>
                <w:rFonts w:ascii="Times New Roman;serif" w:hAnsi="Times New Roman;serif"/>
                <w:b/>
                <w:color w:val="000000"/>
                <w:sz w:val="16"/>
              </w:rPr>
              <w:t>Borrowing</w:t>
            </w:r>
          </w:p>
          <w:p>
            <w:pPr>
              <w:pStyle w:val="TableContents"/>
              <w:bidi w:val="0"/>
              <w:spacing w:lineRule="auto" w:line="333" w:before="0" w:after="30"/>
              <w:jc w:val="center"/>
              <w:rPr>
                <w:rFonts w:ascii="Times New Roman;serif" w:hAnsi="Times New Roman;serif"/>
                <w:b/>
                <w:color w:val="000000"/>
                <w:sz w:val="16"/>
              </w:rPr>
            </w:pPr>
            <w:r>
              <w:rPr>
                <w:rFonts w:ascii="Times New Roman;serif" w:hAnsi="Times New Roman;serif"/>
                <w:b/>
                <w:color w:val="000000"/>
                <w:sz w:val="16"/>
              </w:rPr>
              <w:t>Capacity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0" w:after="283"/>
              <w:jc w:val="center"/>
              <w:rPr>
                <w:rFonts w:ascii="Times New Roman;serif" w:hAnsi="Times New Roman;serif"/>
                <w:b/>
                <w:color w:val="000000"/>
                <w:sz w:val="16"/>
              </w:rPr>
            </w:pPr>
            <w:r>
              <w:rPr>
                <w:rFonts w:ascii="Times New Roman;serif" w:hAnsi="Times New Roman;serif"/>
                <w:b/>
                <w:color w:val="000000"/>
                <w:sz w:val="16"/>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0" w:after="283"/>
              <w:jc w:val="center"/>
              <w:rPr>
                <w:rFonts w:ascii="Times New Roman;serif" w:hAnsi="Times New Roman;serif"/>
                <w:b/>
                <w:color w:val="000000"/>
                <w:sz w:val="16"/>
              </w:rPr>
            </w:pPr>
            <w:r>
              <w:rPr>
                <w:rFonts w:ascii="Times New Roman;serif" w:hAnsi="Times New Roman;serif"/>
                <w:b/>
                <w:color w:val="000000"/>
                <w:sz w:val="16"/>
              </w:rPr>
              <w:t>Non-Current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lineRule="auto" w:line="333" w:before="53" w:after="283"/>
              <w:jc w:val="center"/>
              <w:rPr>
                <w:rFonts w:ascii="Times New Roman;serif" w:hAnsi="Times New Roman;serif"/>
                <w:b/>
                <w:color w:val="000000"/>
                <w:sz w:val="16"/>
              </w:rPr>
            </w:pPr>
            <w:r>
              <w:rPr>
                <w:rFonts w:ascii="Times New Roman;serif" w:hAnsi="Times New Roman;serif"/>
                <w:b/>
                <w:color w:val="000000"/>
                <w:sz w:val="16"/>
              </w:rPr>
              <w:t>Weighted</w:t>
            </w:r>
          </w:p>
          <w:p>
            <w:pPr>
              <w:pStyle w:val="TableContents"/>
              <w:bidi w:val="0"/>
              <w:spacing w:lineRule="auto" w:line="333" w:before="0" w:after="0"/>
              <w:jc w:val="center"/>
              <w:rPr>
                <w:rFonts w:ascii="Times New Roman;serif" w:hAnsi="Times New Roman;serif"/>
                <w:b/>
                <w:color w:val="000000"/>
                <w:sz w:val="16"/>
              </w:rPr>
            </w:pPr>
            <w:r>
              <w:rPr>
                <w:rFonts w:ascii="Times New Roman;serif" w:hAnsi="Times New Roman;serif"/>
                <w:b/>
                <w:color w:val="000000"/>
                <w:sz w:val="16"/>
              </w:rPr>
              <w:t>Average</w:t>
            </w:r>
          </w:p>
          <w:p>
            <w:pPr>
              <w:pStyle w:val="TableContents"/>
              <w:bidi w:val="0"/>
              <w:spacing w:lineRule="auto" w:line="333" w:before="0" w:after="30"/>
              <w:jc w:val="center"/>
              <w:rPr>
                <w:rFonts w:ascii="Times New Roman;serif" w:hAnsi="Times New Roman;serif"/>
                <w:b/>
                <w:color w:val="000000"/>
                <w:sz w:val="16"/>
              </w:rPr>
            </w:pPr>
            <w:r>
              <w:rPr>
                <w:rFonts w:ascii="Times New Roman;serif" w:hAnsi="Times New Roman;serif"/>
                <w:b/>
                <w:color w:val="000000"/>
                <w:sz w:val="16"/>
              </w:rP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cMar>
              <w:top w:w="0" w:type="dxa"/>
              <w:left w:w="0" w:type="dxa"/>
              <w:bottom w:w="0" w:type="dxa"/>
              <w:right w:w="0" w:type="dxa"/>
            </w:tcMar>
            <w:vAlign w:val="center"/>
          </w:tcPr>
          <w:p>
            <w:pPr>
              <w:pStyle w:val="TableContents"/>
              <w:bidi w:val="0"/>
              <w:spacing w:lineRule="auto" w:line="288" w:before="53" w:after="283"/>
              <w:jc w:val="center"/>
              <w:rPr>
                <w:rFonts w:ascii="Times New Roman;serif" w:hAnsi="Times New Roman;serif"/>
                <w:b/>
                <w:color w:val="000000"/>
                <w:sz w:val="16"/>
              </w:rPr>
            </w:pPr>
            <w:r>
              <w:rPr>
                <w:rFonts w:ascii="Times New Roman;serif" w:hAnsi="Times New Roman;serif"/>
                <w:b/>
                <w:color w:val="000000"/>
                <w:sz w:val="16"/>
              </w:rPr>
              <w:t>End of Revolving / Withdrawal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lineRule="auto" w:line="333" w:before="53" w:after="283"/>
              <w:jc w:val="center"/>
              <w:rPr>
                <w:rFonts w:ascii="Times New Roman;serif" w:hAnsi="Times New Roman;serif"/>
                <w:b/>
                <w:color w:val="000000"/>
                <w:sz w:val="16"/>
              </w:rPr>
            </w:pPr>
            <w:r>
              <w:rPr>
                <w:rFonts w:ascii="Times New Roman;serif" w:hAnsi="Times New Roman;serif"/>
                <w:b/>
                <w:color w:val="000000"/>
                <w:sz w:val="16"/>
              </w:rPr>
              <w:t>Final Maturity</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Date</w:t>
            </w:r>
          </w:p>
        </w:tc>
      </w:tr>
      <w:tr>
        <w:trPr/>
        <w:tc>
          <w:tcPr>
            <w:tcW w:w="18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Non-Recourse Asset-backed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Asset-backed Senior Revolving Credit Facilities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Revolving Facility 2018-2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June 25,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June 25, 2027</w:t>
            </w:r>
          </w:p>
        </w:tc>
      </w:tr>
      <w:tr>
        <w:trPr/>
        <w:tc>
          <w:tcPr>
            <w:tcW w:w="18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Revolving Facility 2018-3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6.56 </w:t>
            </w:r>
          </w:p>
        </w:tc>
        <w:tc>
          <w:tcPr>
            <w:tcW w:w="4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December 11,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December 11, 2028</w:t>
            </w:r>
          </w:p>
        </w:tc>
      </w:tr>
      <w:tr>
        <w:trPr/>
        <w:tc>
          <w:tcPr>
            <w:tcW w:w="18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Revolving Facility 2019-1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February 18,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February 18, 2027</w:t>
            </w:r>
          </w:p>
        </w:tc>
      </w:tr>
      <w:tr>
        <w:trPr/>
        <w:tc>
          <w:tcPr>
            <w:tcW w:w="18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Revolving Facility 2019-2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6.50 </w:t>
            </w:r>
          </w:p>
        </w:tc>
        <w:tc>
          <w:tcPr>
            <w:tcW w:w="4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October 2,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October 1, 2027</w:t>
            </w:r>
          </w:p>
        </w:tc>
      </w:tr>
      <w:tr>
        <w:trPr/>
        <w:tc>
          <w:tcPr>
            <w:tcW w:w="18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Revolving Facility 2019-3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6.58 </w:t>
            </w:r>
          </w:p>
        </w:tc>
        <w:tc>
          <w:tcPr>
            <w:tcW w:w="4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April 5,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April 4, 2029</w:t>
            </w:r>
          </w:p>
        </w:tc>
      </w:tr>
      <w:tr>
        <w:trPr/>
        <w:tc>
          <w:tcPr>
            <w:tcW w:w="1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8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Asset-backed Senior Term Debt Facilities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Term Debt Facility 2021-S1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6.41 </w:t>
            </w:r>
          </w:p>
        </w:tc>
        <w:tc>
          <w:tcPr>
            <w:tcW w:w="4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February 24,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August 24, 2027</w:t>
            </w:r>
          </w:p>
        </w:tc>
      </w:tr>
      <w:tr>
        <w:trPr/>
        <w:tc>
          <w:tcPr>
            <w:tcW w:w="1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8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Term Debt Facility 2021-S3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3.75 </w:t>
            </w:r>
          </w:p>
        </w:tc>
        <w:tc>
          <w:tcPr>
            <w:tcW w:w="4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January 31,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July 31, 2027</w:t>
            </w:r>
          </w:p>
        </w:tc>
      </w:tr>
      <w:tr>
        <w:trPr/>
        <w:tc>
          <w:tcPr>
            <w:tcW w:w="1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8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4,200 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725 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Carrying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723 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Asset-backed Mezzanine Term Debt Facilities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8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Term Debt Facility 2020-M1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12.50 </w:t>
            </w:r>
          </w:p>
        </w:tc>
        <w:tc>
          <w:tcPr>
            <w:tcW w:w="4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February 25,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February 25, 2029</w:t>
            </w:r>
          </w:p>
        </w:tc>
      </w:tr>
      <w:tr>
        <w:trPr/>
        <w:tc>
          <w:tcPr>
            <w:tcW w:w="18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Term Debt Facility 2022-M1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12.50 </w:t>
            </w:r>
          </w:p>
        </w:tc>
        <w:tc>
          <w:tcPr>
            <w:tcW w:w="4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January 31,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November 1, 2027</w:t>
            </w:r>
          </w:p>
        </w:tc>
      </w:tr>
      <w:tr>
        <w:trPr/>
        <w:tc>
          <w:tcPr>
            <w:tcW w:w="18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3,250 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350 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Carrying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348 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Non-Recourse Asset-backed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7,450 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1,071 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Asset-backed Senior Revolving Credit Facilities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classify the senior revolving credit facilities as current liabilities on our condensed consolidated balance sheets. In some cases, the borrowing capacity amounts under the asset-backed senior revolving credit facilities as reflected in the table are not fully committed and any borrowings above the committed amounts are subject to the applicable lender’s discretion. As of June 30, 2026, we had committed borrowing capacity with respect to asset-backed senior revolving credit facilities of $400 million.</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revolving period end dates and final maturity dates reflected in the table above are inclusive of any extensions that are at the sole discretion of the Company. Certain of our asset-backed senior revolving credit facilities may also have additional extension options that are subject to lender approval that are not reflected in the table above.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Asset-backed Senior Term Debt Facilities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classify our senior term debt facilities as current or non-current liabilities in our condensed consolidated balance sheets based on the applicable final maturity date. The carrying value of the non-current liabilities is reduced by issuance costs of $2 million. In some cases, the borrowing capacity amounts under the asset-backed senior term debt facilities as reflected in the table are not fully committed and any borrowings above the committed amounts are subject to the applicable lender’s discretion. As of June 30, 2026, we had committed borrowing capacity with respect to asset-backed senior term debt facilities of $725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333" w:before="0" w:after="0"/>
        <w:jc w:val="left"/>
        <w:rPr/>
      </w:pPr>
      <w:hyperlink w:anchor="i65bd50e6e0134a778ca5f9a1e0365124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333"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333"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333" w:before="0" w:after="0"/>
        <w:ind w:left="0" w:right="0" w:firstLine="720"/>
        <w:jc w:val="center"/>
        <w:rPr>
          <w:rFonts w:ascii="Times New Roman;serif" w:hAnsi="Times New Roman;serif"/>
          <w:b w:val="false"/>
          <w:color w:val="000000"/>
          <w:sz w:val="18"/>
        </w:rPr>
      </w:pPr>
      <w:r>
        <w:rPr>
          <w:rFonts w:ascii="Times New Roman;serif" w:hAnsi="Times New Roman;serif"/>
          <w:b w:val="false"/>
          <w:color w:val="000000"/>
          <w:sz w:val="18"/>
        </w:rPr>
        <w:t>(Tabular amounts in millions, except share and per share data and ratios, or as noted)</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withdrawal period end dates and final maturity dates reflected in the table above are inclusive of any extensions that are at the sole discretion of the Company. Certain of our asset-backed senior term debt facilities may also have additional extension options that are subject to lender approval that are not reflected in the table above.</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Asset-backed Mezzanine Term Debt Facilities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the asset-backed senior revolving credit facilities and asset-backed senior term debt facilities, we have issued asset-backed mezzanine term debt facilities which are subordinated to the related senior facilities. The borrowing capacity amounts under the asset-backed mezzanine term debt facilities as reflected in the table are not fully committed and any borrowing above the committed amounts are subject to the applicable lender’s discretion. As of June 30, 2026, we had committed borrowing capacity with respect to asset-backed mezzanine term debt facilities of $350 million.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Convertible Senior Notes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August 2021, we issued the 2026 Notes and in May 2025, we issued the 2030 Notes. The table below summarizes certain details related to our Convertible Senior Notes (in millions), as of June 30, 2026:</w:t>
      </w:r>
    </w:p>
    <w:tbl>
      <w:tblPr>
        <w:tblW w:w="10205" w:type="dxa"/>
        <w:jc w:val="left"/>
        <w:tblInd w:w="0" w:type="dxa"/>
        <w:tblLayout w:type="fixed"/>
        <w:tblCellMar>
          <w:top w:w="28" w:type="dxa"/>
          <w:left w:w="28" w:type="dxa"/>
          <w:bottom w:w="28" w:type="dxa"/>
          <w:right w:w="28" w:type="dxa"/>
        </w:tblCellMar>
      </w:tblPr>
      <w:tblGrid>
        <w:gridCol w:w="824"/>
        <w:gridCol w:w="725"/>
        <w:gridCol w:w="725"/>
        <w:gridCol w:w="109"/>
        <w:gridCol w:w="109"/>
        <w:gridCol w:w="109"/>
        <w:gridCol w:w="670"/>
        <w:gridCol w:w="1486"/>
        <w:gridCol w:w="350"/>
        <w:gridCol w:w="109"/>
        <w:gridCol w:w="109"/>
        <w:gridCol w:w="109"/>
        <w:gridCol w:w="844"/>
        <w:gridCol w:w="1625"/>
        <w:gridCol w:w="440"/>
        <w:gridCol w:w="109"/>
        <w:gridCol w:w="109"/>
        <w:gridCol w:w="109"/>
        <w:gridCol w:w="388"/>
        <w:gridCol w:w="857"/>
        <w:gridCol w:w="290"/>
      </w:tblGrid>
      <w:tr>
        <w:trPr/>
        <w:tc>
          <w:tcPr>
            <w:tcW w:w="824"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2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3"/>
            <w:tcBorders/>
            <w:shd w:fill="FFFFFF" w:val="clear"/>
            <w:tcMar>
              <w:top w:w="0" w:type="dxa"/>
              <w:left w:w="0" w:type="dxa"/>
              <w:bottom w:w="0" w:type="dxa"/>
              <w:right w:w="0" w:type="dxa"/>
            </w:tcMar>
            <w:vAlign w:val="center"/>
          </w:tcPr>
          <w:p>
            <w:pPr>
              <w:pStyle w:val="TableContents"/>
              <w:bidi w:val="0"/>
              <w:spacing w:lineRule="auto" w:line="333" w:before="53" w:after="283"/>
              <w:jc w:val="center"/>
              <w:rPr>
                <w:rFonts w:ascii="Times New Roman;serif" w:hAnsi="Times New Roman;serif"/>
                <w:b/>
                <w:color w:val="000000"/>
                <w:sz w:val="16"/>
              </w:rPr>
            </w:pPr>
            <w:r>
              <w:rPr>
                <w:rFonts w:ascii="Times New Roman;serif" w:hAnsi="Times New Roman;serif"/>
                <w:b/>
                <w:color w:val="000000"/>
                <w:sz w:val="16"/>
              </w:rPr>
              <w:t>Remaining Aggregate Principal 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Unamortized Debt Discount and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 Carrying Amount</w:t>
            </w:r>
          </w:p>
        </w:tc>
      </w:tr>
      <w:tr>
        <w:trPr/>
        <w:tc>
          <w:tcPr>
            <w:tcW w:w="22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2030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Convertible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3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4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left"/>
        <w:rPr/>
      </w:pPr>
      <w:r>
        <w:rPr>
          <w:rFonts w:ascii="Times New Roman;serif" w:hAnsi="Times New Roman;serif"/>
          <w:b w:val="false"/>
          <w:color w:val="000000"/>
          <w:sz w:val="20"/>
        </w:rPr>
        <w:t>See “</w:t>
      </w:r>
      <w:r>
        <w:rPr>
          <w:rFonts w:ascii="Times New Roman;serif" w:hAnsi="Times New Roman;serif"/>
          <w:b w:val="false"/>
          <w:i/>
          <w:color w:val="000000"/>
          <w:sz w:val="20"/>
        </w:rPr>
        <w:t>Part I – Item 1. Financial Statements – Notes to Condensed Consolidated Financial Statements – Note 5. Credit Facilities, Long-Term Debt, and Convertible Notes</w:t>
      </w:r>
      <w:r>
        <w:rPr>
          <w:color w:val="000000"/>
        </w:rPr>
        <w:t xml:space="preserve">” </w:t>
      </w:r>
      <w:r>
        <w:rPr>
          <w:rFonts w:ascii="Times New Roman;serif" w:hAnsi="Times New Roman;serif"/>
          <w:b w:val="false"/>
          <w:color w:val="000000"/>
          <w:sz w:val="20"/>
        </w:rPr>
        <w:t>for additional information regarding our debt and financing arrangements.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Special Purpose Entities</w:t>
      </w:r>
    </w:p>
    <w:p>
      <w:pPr>
        <w:pStyle w:val="TextBody"/>
        <w:bidi w:val="0"/>
        <w:spacing w:lineRule="auto" w:line="288" w:before="240" w:after="283"/>
        <w:ind w:left="0" w:right="0" w:firstLine="450"/>
        <w:jc w:val="left"/>
        <w:rPr/>
      </w:pPr>
      <w:r>
        <w:rPr>
          <w:rFonts w:ascii="Times New Roman;serif" w:hAnsi="Times New Roman;serif"/>
          <w:b w:val="false"/>
          <w:color w:val="000000"/>
          <w:sz w:val="20"/>
        </w:rPr>
        <w:t>The Company has established certain special purpose entities (“SPEs”) for the purpose of financing the Company’s purchase and renovation of real estate inventory through the issuance of asset-backed debt. The Company is the primary beneficiary of the various variable interest entities (“VIE”) within these financing structures and consolidates these VIEs. See “</w:t>
      </w:r>
      <w:r>
        <w:rPr>
          <w:rFonts w:ascii="Times New Roman;serif" w:hAnsi="Times New Roman;serif"/>
          <w:b w:val="false"/>
          <w:i/>
          <w:color w:val="000000"/>
          <w:sz w:val="20"/>
        </w:rPr>
        <w:t>Part I – Item 1. Financial Statements – Notes to Condensed Consolidated Financial Statements – Note 4. Variable Interest Entities</w:t>
      </w:r>
      <w:r>
        <w:rPr>
          <w:color w:val="000000"/>
        </w:rPr>
        <w:t xml:space="preserve">” </w:t>
      </w:r>
      <w:r>
        <w:rPr>
          <w:rFonts w:ascii="Times New Roman;serif" w:hAnsi="Times New Roman;serif"/>
          <w:b w:val="false"/>
          <w:color w:val="000000"/>
          <w:sz w:val="20"/>
        </w:rPr>
        <w:t>for additional information regarding our VIEs.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333" w:before="0" w:after="0"/>
        <w:jc w:val="left"/>
        <w:rPr/>
      </w:pPr>
      <w:hyperlink w:anchor="i65bd50e6e0134a778ca5f9a1e0365124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333"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333"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333" w:before="0" w:after="0"/>
        <w:ind w:left="0" w:right="0" w:firstLine="720"/>
        <w:jc w:val="center"/>
        <w:rPr>
          <w:rFonts w:ascii="Times New Roman;serif" w:hAnsi="Times New Roman;serif"/>
          <w:b w:val="false"/>
          <w:color w:val="000000"/>
          <w:sz w:val="18"/>
        </w:rPr>
      </w:pPr>
      <w:r>
        <w:rPr>
          <w:rFonts w:ascii="Times New Roman;serif" w:hAnsi="Times New Roman;serif"/>
          <w:b w:val="false"/>
          <w:color w:val="000000"/>
          <w:sz w:val="18"/>
        </w:rPr>
        <w:t>(Tabular amounts in millions, except share and per share data and ratios, or as noted)</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assets and liabilities related to the VIEs consolidated by the Company as well as the assets, liabilities and equity related to Opendoor Technologies Inc. (Parent Company Only) (“Parent Company”) and subsidiaries that are not VIEs, as of June 30, 2026 (in millions):</w:t>
      </w:r>
    </w:p>
    <w:tbl>
      <w:tblPr>
        <w:tblW w:w="7733" w:type="dxa"/>
        <w:jc w:val="left"/>
        <w:tblInd w:w="0" w:type="dxa"/>
        <w:tblLayout w:type="fixed"/>
        <w:tblCellMar>
          <w:top w:w="28" w:type="dxa"/>
          <w:left w:w="28" w:type="dxa"/>
          <w:bottom w:w="28" w:type="dxa"/>
          <w:right w:w="28" w:type="dxa"/>
        </w:tblCellMar>
      </w:tblPr>
      <w:tblGrid>
        <w:gridCol w:w="1411"/>
        <w:gridCol w:w="1242"/>
        <w:gridCol w:w="1246"/>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411"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VIE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Non-VIE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Escrow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inventory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valuation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inventory,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3"/>
              </w:rPr>
            </w:pPr>
            <w:r>
              <w:rPr>
                <w:rFonts w:ascii="Times New Roman;serif" w:hAnsi="Times New Roman;serif"/>
                <w:b w:val="false"/>
                <w:color w:val="000000"/>
                <w:sz w:val="13"/>
              </w:rPr>
              <w:t>(1)</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Current asset-backed senior revolving credit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Convertible senior notes –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3"/>
              </w:rPr>
            </w:pPr>
            <w:r>
              <w:rPr>
                <w:rFonts w:ascii="Times New Roman;serif" w:hAnsi="Times New Roman;serif"/>
                <w:b w:val="false"/>
                <w:color w:val="000000"/>
                <w:sz w:val="13"/>
              </w:rPr>
              <w:t>(2)</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asset-backed mezzanine 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asset-backed senior 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 – Net of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w:t>
      </w:r>
    </w:p>
    <w:p>
      <w:pPr>
        <w:pStyle w:val="TextBody"/>
        <w:bidi w:val="0"/>
        <w:spacing w:lineRule="auto" w:line="288" w:before="120" w:after="283"/>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The Company’s consolidated Other Assets include the following assets as shown in the condensed consolidated balance sheets: Property and Equipment - Net, $24 million; Right of Use Assets, $10 million; Goodwill, $3 million; and Other Assets, $74 million.</w:t>
      </w:r>
    </w:p>
    <w:p>
      <w:pPr>
        <w:pStyle w:val="TextBody"/>
        <w:bidi w:val="0"/>
        <w:spacing w:lineRule="auto" w:line="288" w:before="60" w:after="283"/>
        <w:ind w:left="0" w:right="0" w:hanging="360"/>
        <w:jc w:val="left"/>
        <w:rPr/>
      </w:pPr>
      <w:r>
        <w:rPr>
          <w:rFonts w:ascii="Times New Roman;serif" w:hAnsi="Times New Roman;serif"/>
          <w:b w:val="false"/>
          <w:color w:val="000000"/>
          <w:sz w:val="13"/>
        </w:rPr>
        <w:t>(2)</w:t>
      </w:r>
      <w:r>
        <w:rPr>
          <w:rFonts w:ascii="Times New Roman;serif" w:hAnsi="Times New Roman;serif"/>
          <w:b w:val="false"/>
          <w:color w:val="000000"/>
          <w:sz w:val="20"/>
        </w:rPr>
        <w:t xml:space="preserve">The Company’s consolidated Other Current Liabilities include the following liabilities as shown in the condensed consolidated balance sheets: Accounts Payable and Other Accrued Liabilities, $78 million; Interest Payable, $3 million; and Lease Liabilities </w:t>
      </w:r>
      <w:r>
        <w:rPr>
          <w:color w:val="000000"/>
        </w:rPr>
        <w:t xml:space="preserve">– </w:t>
      </w:r>
      <w:r>
        <w:rPr>
          <w:rFonts w:ascii="Times New Roman;serif" w:hAnsi="Times New Roman;serif"/>
          <w:b w:val="false"/>
          <w:color w:val="000000"/>
          <w:sz w:val="20"/>
        </w:rPr>
        <w:t>Current, $2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333" w:before="0" w:after="0"/>
        <w:jc w:val="left"/>
        <w:rPr/>
      </w:pPr>
      <w:hyperlink w:anchor="i65bd50e6e0134a778ca5f9a1e0365124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333"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333"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333" w:before="0" w:after="0"/>
        <w:ind w:left="0" w:right="0" w:firstLine="720"/>
        <w:jc w:val="center"/>
        <w:rPr>
          <w:rFonts w:ascii="Times New Roman;serif" w:hAnsi="Times New Roman;serif"/>
          <w:b w:val="false"/>
          <w:color w:val="000000"/>
          <w:sz w:val="18"/>
        </w:rPr>
      </w:pPr>
      <w:r>
        <w:rPr>
          <w:rFonts w:ascii="Times New Roman;serif" w:hAnsi="Times New Roman;serif"/>
          <w:b w:val="false"/>
          <w:color w:val="000000"/>
          <w:sz w:val="18"/>
        </w:rPr>
        <w:t>(Tabular amounts in millions, except share and per share data and ratios, or as noted)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flows for the periods presented:</w:t>
      </w:r>
    </w:p>
    <w:tbl>
      <w:tblPr>
        <w:tblW w:w="8031" w:type="dxa"/>
        <w:jc w:val="left"/>
        <w:tblInd w:w="0" w:type="dxa"/>
        <w:tblLayout w:type="fixed"/>
        <w:tblCellMar>
          <w:top w:w="28" w:type="dxa"/>
          <w:left w:w="28" w:type="dxa"/>
          <w:bottom w:w="28" w:type="dxa"/>
          <w:right w:w="28" w:type="dxa"/>
        </w:tblCellMar>
      </w:tblPr>
      <w:tblGrid>
        <w:gridCol w:w="2033"/>
        <w:gridCol w:w="1785"/>
        <w:gridCol w:w="1792"/>
        <w:gridCol w:w="109"/>
        <w:gridCol w:w="109"/>
        <w:gridCol w:w="109"/>
        <w:gridCol w:w="211"/>
        <w:gridCol w:w="541"/>
        <w:gridCol w:w="109"/>
        <w:gridCol w:w="109"/>
        <w:gridCol w:w="109"/>
        <w:gridCol w:w="109"/>
        <w:gridCol w:w="211"/>
        <w:gridCol w:w="541"/>
        <w:gridCol w:w="154"/>
      </w:tblGrid>
      <w:tr>
        <w:trPr/>
        <w:tc>
          <w:tcPr>
            <w:tcW w:w="2033"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c>
          <w:tcPr>
            <w:tcW w:w="1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10" w:type="dxa"/>
            <w:gridSpan w:val="3"/>
            <w:tcBorders>
              <w:top w:val="single" w:sz="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5610" w:type="dxa"/>
            <w:gridSpan w:val="3"/>
            <w:tcBorders>
              <w:top w:val="single" w:sz="2" w:space="0" w:color="FFFFFF"/>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increase in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Net Cash (Used in) Provided by Operating Activities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operating activities was $(964) million and $544 million for the six months ended June 30, 2026 and 2025, respectively. For the six months ended June 30, 2026, cash used in operating activities was primarily driven by the $932 million increase in real estate inventory and our net loss, net of non-cash items, of $50 million. For the six months ended June 30, 2025, cash provided by operating activities was primarily driven by a $593 million decrease in real estate inventory, partially offset by our net loss, net of non-cash items, of $33 million.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Net Cash (Used in) Provided by Investing Activities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investing activities was $(14) million and $— million for the six months ended June 30, 2026 and 2025, respectively. For the six months ended June 30, 2026, cash used in investing activities consisted of a $9 million increase in property and equipment primarily related to IDSW capitalization and a $5 million increase in non-marketable equity securities. For the six months ended June 30, 2025, cash provided by investing activities primarily consisted of a decrease in marketable securities of $6 million, offset by a $6 million increase in property and equipment primarily related to IDSW capitalization.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Net Cash Provided by (Used in) Financing Activities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 was $639 million and $(122) million for the six months ended June 30, 2026 and 2025, respectively. For the six months ended June 30, 2026, cash provided by financing activities was primarily attributable to $638 million net proceeds from non-recourse asset-backed debt. For the six months ended June 30, 2025, cash used in financing activities was primarily attributable to $182 million net principal payments on non-recourse asset-backed debt, partially offset by $75 million of proceeds from the issuance of convertible senior notes, net of discount.</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Contractual Obligations and Commitments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Contractual obligations are cash amounts that we are obligated to pay as part of certain contracts that we have entered into during the normal course of business. There have been no material changes outside the ordinary course of business in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333" w:before="0" w:after="0"/>
        <w:jc w:val="left"/>
        <w:rPr/>
      </w:pPr>
      <w:hyperlink w:anchor="i65bd50e6e0134a778ca5f9a1e0365124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333"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333"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333" w:before="0" w:after="0"/>
        <w:ind w:left="0" w:right="0" w:firstLine="720"/>
        <w:jc w:val="center"/>
        <w:rPr>
          <w:rFonts w:ascii="Times New Roman;serif" w:hAnsi="Times New Roman;serif"/>
          <w:b w:val="false"/>
          <w:color w:val="000000"/>
          <w:sz w:val="18"/>
        </w:rPr>
      </w:pPr>
      <w:r>
        <w:rPr>
          <w:rFonts w:ascii="Times New Roman;serif" w:hAnsi="Times New Roman;serif"/>
          <w:b w:val="false"/>
          <w:color w:val="000000"/>
          <w:sz w:val="18"/>
        </w:rPr>
        <w:t>(Tabular amounts in millions, except share and per share data and ratios, or as noted)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commitments under contractual obligations as previously disclosed in our Annual Report on Form 10-K for the year ended December 31, 2025. Below is a table that shows our material contractual obligations as of June 30, 2026:</w:t>
      </w:r>
    </w:p>
    <w:tbl>
      <w:tblPr>
        <w:tblW w:w="10205" w:type="dxa"/>
        <w:jc w:val="left"/>
        <w:tblInd w:w="0" w:type="dxa"/>
        <w:tblLayout w:type="fixed"/>
        <w:tblCellMar>
          <w:top w:w="28" w:type="dxa"/>
          <w:left w:w="28" w:type="dxa"/>
          <w:bottom w:w="28" w:type="dxa"/>
          <w:right w:w="28" w:type="dxa"/>
        </w:tblCellMar>
      </w:tblPr>
      <w:tblGrid>
        <w:gridCol w:w="1295"/>
        <w:gridCol w:w="1126"/>
        <w:gridCol w:w="1128"/>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50"/>
        <w:gridCol w:w="482"/>
        <w:gridCol w:w="131"/>
        <w:gridCol w:w="109"/>
        <w:gridCol w:w="109"/>
        <w:gridCol w:w="109"/>
        <w:gridCol w:w="251"/>
        <w:gridCol w:w="484"/>
        <w:gridCol w:w="129"/>
        <w:gridCol w:w="109"/>
        <w:gridCol w:w="109"/>
        <w:gridCol w:w="109"/>
        <w:gridCol w:w="109"/>
        <w:gridCol w:w="109"/>
        <w:gridCol w:w="109"/>
        <w:gridCol w:w="159"/>
      </w:tblGrid>
      <w:tr>
        <w:trPr/>
        <w:tc>
          <w:tcPr>
            <w:tcW w:w="1295"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3"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Payment Due by Year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Less than</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1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1 – 3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4 – 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More than</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5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Senior revolving credit facilities</w:t>
            </w:r>
            <w:r>
              <w:rPr>
                <w:rFonts w:ascii="Times New Roman;serif" w:hAnsi="Times New Roman;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Senior and mezzanine term debt facilities</w:t>
            </w:r>
            <w:r>
              <w:rPr>
                <w:rFonts w:ascii="Times New Roman;serif" w:hAnsi="Times New Roman;serif"/>
                <w:b w:val="false"/>
                <w:color w:val="000000"/>
                <w:sz w:val="13"/>
              </w:rPr>
              <w:t>(2)</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Convertible senior notes</w:t>
            </w:r>
            <w:r>
              <w:rPr>
                <w:rFonts w:ascii="Times New Roman;serif" w:hAnsi="Times New Roman;serif"/>
                <w:b w:val="false"/>
                <w:color w:val="000000"/>
                <w:sz w:val="13"/>
              </w:rPr>
              <w:t>(3)</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Operating leases</w:t>
            </w:r>
            <w:r>
              <w:rPr>
                <w:rFonts w:ascii="Times New Roman;serif" w:hAnsi="Times New Roman;serif"/>
                <w:b w:val="false"/>
                <w:color w:val="000000"/>
                <w:sz w:val="13"/>
              </w:rPr>
              <w:t>(4)</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Purchase commitments</w:t>
            </w:r>
            <w:r>
              <w:rPr>
                <w:rFonts w:ascii="Times New Roman;serif" w:hAnsi="Times New Roman;serif"/>
                <w:b w:val="false"/>
                <w:color w:val="000000"/>
                <w:sz w:val="13"/>
              </w:rPr>
              <w:t>(5)</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4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4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4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4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4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4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______________</w:t>
      </w:r>
    </w:p>
    <w:p>
      <w:pPr>
        <w:pStyle w:val="TextBody"/>
        <w:bidi w:val="0"/>
        <w:spacing w:lineRule="auto" w:line="288" w:before="120" w:after="283"/>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Represents the principal amounts outstanding as of June 30, 2026. Includes estimated interest payments, calculated using the variable rate in existence at period end over an assumed holding period of 90 days. Borrowings under the senior revolving credit facilities are payable as the related inventory is sold. The payment is expected to be within one year of June 30, 2026.</w:t>
      </w:r>
    </w:p>
    <w:p>
      <w:pPr>
        <w:pStyle w:val="TextBody"/>
        <w:bidi w:val="0"/>
        <w:spacing w:lineRule="auto" w:line="288" w:before="120" w:after="283"/>
        <w:ind w:left="0" w:right="0" w:hanging="360"/>
        <w:jc w:val="left"/>
        <w:rPr/>
      </w:pPr>
      <w:r>
        <w:rPr>
          <w:rFonts w:ascii="Times New Roman;serif" w:hAnsi="Times New Roman;serif"/>
          <w:b w:val="false"/>
          <w:color w:val="000000"/>
          <w:sz w:val="13"/>
        </w:rPr>
        <w:t>(2)</w:t>
      </w:r>
      <w:r>
        <w:rPr>
          <w:rFonts w:ascii="Times New Roman;serif" w:hAnsi="Times New Roman;serif"/>
          <w:b w:val="false"/>
          <w:color w:val="000000"/>
          <w:sz w:val="20"/>
        </w:rPr>
        <w:t>Represents the principal amounts outstanding as of June 30, 2026 and estimated interest payments assuming the principal balances remain outstanding until maturity. The final maturity dates of the senior and mezzanine term debt facilities vary, as discussed above.</w:t>
      </w:r>
    </w:p>
    <w:p>
      <w:pPr>
        <w:pStyle w:val="TextBody"/>
        <w:bidi w:val="0"/>
        <w:spacing w:lineRule="auto" w:line="288" w:before="120" w:after="283"/>
        <w:ind w:left="0" w:right="0" w:hanging="360"/>
        <w:jc w:val="left"/>
        <w:rPr/>
      </w:pPr>
      <w:r>
        <w:rPr>
          <w:rFonts w:ascii="Times New Roman;serif" w:hAnsi="Times New Roman;serif"/>
          <w:b w:val="false"/>
          <w:color w:val="000000"/>
          <w:sz w:val="13"/>
        </w:rPr>
        <w:t>(3)</w:t>
      </w:r>
      <w:r>
        <w:rPr>
          <w:rFonts w:ascii="Times New Roman;serif" w:hAnsi="Times New Roman;serif"/>
          <w:b w:val="false"/>
          <w:color w:val="000000"/>
          <w:sz w:val="20"/>
        </w:rPr>
        <w:t>Represents the principal amounts outstanding and interest payments for the 2026 Notes through maturity and the principal amounts outstanding for the 2030 Notes assuming conversion within one year (noteholders may convert through September 30, 2026). The 2030 Notes mature on May 15, 2030, assuming no conversions, total future cash outflows would be as follows:</w:t>
      </w:r>
    </w:p>
    <w:tbl>
      <w:tblPr>
        <w:tblW w:w="7647" w:type="dxa"/>
        <w:jc w:val="left"/>
        <w:tblInd w:w="0" w:type="dxa"/>
        <w:tblLayout w:type="fixed"/>
        <w:tblCellMar>
          <w:top w:w="28" w:type="dxa"/>
          <w:left w:w="28" w:type="dxa"/>
          <w:bottom w:w="28" w:type="dxa"/>
          <w:right w:w="28" w:type="dxa"/>
        </w:tblCellMar>
      </w:tblPr>
      <w:tblGrid>
        <w:gridCol w:w="766"/>
        <w:gridCol w:w="671"/>
        <w:gridCol w:w="677"/>
        <w:gridCol w:w="211"/>
        <w:gridCol w:w="466"/>
        <w:gridCol w:w="109"/>
        <w:gridCol w:w="109"/>
        <w:gridCol w:w="109"/>
        <w:gridCol w:w="109"/>
        <w:gridCol w:w="211"/>
        <w:gridCol w:w="466"/>
        <w:gridCol w:w="109"/>
        <w:gridCol w:w="109"/>
        <w:gridCol w:w="109"/>
        <w:gridCol w:w="109"/>
        <w:gridCol w:w="318"/>
        <w:gridCol w:w="386"/>
        <w:gridCol w:w="165"/>
        <w:gridCol w:w="109"/>
        <w:gridCol w:w="109"/>
        <w:gridCol w:w="109"/>
        <w:gridCol w:w="269"/>
        <w:gridCol w:w="461"/>
        <w:gridCol w:w="140"/>
        <w:gridCol w:w="109"/>
        <w:gridCol w:w="109"/>
        <w:gridCol w:w="109"/>
        <w:gridCol w:w="250"/>
        <w:gridCol w:w="482"/>
        <w:gridCol w:w="182"/>
      </w:tblGrid>
      <w:tr>
        <w:trPr/>
        <w:tc>
          <w:tcPr>
            <w:tcW w:w="76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3"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Payment Due by Year</w:t>
            </w:r>
          </w:p>
        </w:tc>
      </w:tr>
      <w:tr>
        <w:trPr/>
        <w:tc>
          <w:tcPr>
            <w:tcW w:w="21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(in millions)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Less than</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1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1 – 3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4 – 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More than</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5 years</w:t>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Convertible senior notes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pPr>
      <w:r>
        <w:rPr>
          <w:rFonts w:ascii="Times New Roman;serif" w:hAnsi="Times New Roman;serif"/>
          <w:b w:val="false"/>
          <w:color w:val="000000"/>
          <w:sz w:val="13"/>
        </w:rPr>
        <w:t>(4)</w:t>
      </w:r>
      <w:r>
        <w:rPr>
          <w:rFonts w:ascii="Times New Roman;serif" w:hAnsi="Times New Roman;serif"/>
          <w:b w:val="false"/>
          <w:color w:val="000000"/>
          <w:sz w:val="20"/>
        </w:rPr>
        <w:t xml:space="preserve">Represents future payments for long-term operating leases that have commenced, or have been executed but not yet commenced, as of June 30, 2026. </w:t>
      </w:r>
    </w:p>
    <w:p>
      <w:pPr>
        <w:pStyle w:val="TextBody"/>
        <w:bidi w:val="0"/>
        <w:spacing w:lineRule="auto" w:line="288" w:before="120" w:after="283"/>
        <w:ind w:left="0" w:right="0" w:hanging="360"/>
        <w:jc w:val="left"/>
        <w:rPr/>
      </w:pPr>
      <w:r>
        <w:rPr>
          <w:rFonts w:ascii="Times New Roman;serif" w:hAnsi="Times New Roman;serif"/>
          <w:b w:val="false"/>
          <w:color w:val="000000"/>
          <w:sz w:val="13"/>
        </w:rPr>
        <w:t>(5)</w:t>
      </w:r>
      <w:r>
        <w:rPr>
          <w:rFonts w:ascii="Times New Roman;serif" w:hAnsi="Times New Roman;serif"/>
          <w:b w:val="false"/>
          <w:color w:val="000000"/>
          <w:sz w:val="20"/>
        </w:rPr>
        <w:t>As of June 30, 2026, we were under contract to purchase 2,310 homes for an aggregate purchase price of $736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Discussion and analysis of our financial condition and results of operations are based on our financial statements, which have been prepared in accordance with GAAP. The preparation of these financial statements requires us to make estimates and judgments that affect the reported amounts of assets and liabilities and related disclosure of contingent assets and liabilities, revenue, and expenses at the date of the financial statements. Generally, we base our estimates on historical experience and on various other assumptions in accordance with GAAP that we believe to be reasonable under the circumstances. Actual results may differ from these estimates under different assumptions or conditions.</w:t>
      </w:r>
    </w:p>
    <w:p>
      <w:pPr>
        <w:pStyle w:val="TextBody"/>
        <w:bidi w:val="0"/>
        <w:spacing w:lineRule="auto" w:line="288" w:before="240" w:after="283"/>
        <w:ind w:left="0" w:right="0" w:firstLine="450"/>
        <w:jc w:val="left"/>
        <w:rPr/>
      </w:pPr>
      <w:r>
        <w:rPr>
          <w:rFonts w:ascii="Times New Roman;serif" w:hAnsi="Times New Roman;serif"/>
          <w:b w:val="false"/>
          <w:color w:val="000000"/>
          <w:sz w:val="20"/>
        </w:rPr>
        <w:t>We consider an accounting judgment, estimate or assumption to be critical when (1) the estimate or assumption is complex in nature or requires a high degree of judgment and (2) the use of different judgments, estimates and assumptions could have a material impact on the condensed consolidated financial statements. Based on this definition, critical accounting policies and estimates are discussed in “</w:t>
      </w:r>
      <w:r>
        <w:rPr>
          <w:rFonts w:ascii="Times New Roman;serif" w:hAnsi="Times New Roman;serif"/>
          <w:b w:val="false"/>
          <w:i/>
          <w:color w:val="000000"/>
          <w:sz w:val="20"/>
        </w:rPr>
        <w:t>Part II – Item 7. Management's Discussion and Analysis of Financial Condition and Results of Operations – Critical Accounting Policies and Estimates</w:t>
      </w:r>
      <w:r>
        <w:rPr>
          <w:color w:val="000000"/>
        </w:rPr>
        <w:t xml:space="preserve">” </w:t>
      </w:r>
      <w:r>
        <w:rPr>
          <w:rFonts w:ascii="Times New Roman;serif" w:hAnsi="Times New Roman;serif"/>
          <w:b w:val="false"/>
          <w:color w:val="000000"/>
          <w:sz w:val="20"/>
        </w:rPr>
        <w:t>in the Annual Report on Form 10-K for the year ended December 31, 2025. There have been no significant changes to these critical accounting estimates during the first six months of 2026. In addition, we have other key accounting policies and estimates that are described in “</w:t>
      </w:r>
      <w:r>
        <w:rPr>
          <w:rFonts w:ascii="Times New Roman;serif" w:hAnsi="Times New Roman;serif"/>
          <w:b w:val="false"/>
          <w:i/>
          <w:color w:val="000000"/>
          <w:sz w:val="20"/>
        </w:rPr>
        <w:t>Part I – Item 1. Financial Statements – Notes to Condensed Consolidated Financial Statements – Note 1. Description of Business and Accounting Policies</w:t>
      </w:r>
      <w:r>
        <w:rPr>
          <w:color w:val="000000"/>
        </w:rPr>
        <w:t xml:space="preserve">” </w:t>
      </w:r>
      <w:r>
        <w:rPr>
          <w:rFonts w:ascii="Times New Roman;serif" w:hAnsi="Times New Roman;serif"/>
          <w:b w:val="false"/>
          <w:color w:val="000000"/>
          <w:sz w:val="20"/>
        </w:rPr>
        <w:t>in this Quarterly Report on Form 10-Q.</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333" w:before="0" w:after="0"/>
        <w:jc w:val="left"/>
        <w:rPr/>
      </w:pPr>
      <w:hyperlink w:anchor="i65bd50e6e0134a778ca5f9a1e0365124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333"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333"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333" w:before="0" w:after="0"/>
        <w:ind w:left="0" w:right="0" w:firstLine="720"/>
        <w:jc w:val="center"/>
        <w:rPr>
          <w:rFonts w:ascii="Times New Roman;serif" w:hAnsi="Times New Roman;serif"/>
          <w:b w:val="false"/>
          <w:color w:val="000000"/>
          <w:sz w:val="18"/>
        </w:rPr>
      </w:pPr>
      <w:r>
        <w:rPr>
          <w:rFonts w:ascii="Times New Roman;serif" w:hAnsi="Times New Roman;serif"/>
          <w:b w:val="false"/>
          <w:color w:val="000000"/>
          <w:sz w:val="18"/>
        </w:rPr>
        <w:t>(Tabular amounts in millions, except share and per share data and ratios, or as noted)</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240" w:after="283"/>
        <w:ind w:left="0" w:right="0" w:firstLine="450"/>
        <w:jc w:val="left"/>
        <w:rPr/>
      </w:pPr>
      <w:r>
        <w:rPr>
          <w:rFonts w:ascii="Times New Roman;serif" w:hAnsi="Times New Roman;serif"/>
          <w:b w:val="false"/>
          <w:color w:val="000000"/>
          <w:sz w:val="20"/>
        </w:rPr>
        <w:t>For information on recent accounting standards, see “</w:t>
      </w:r>
      <w:r>
        <w:rPr>
          <w:rFonts w:ascii="Times New Roman;serif" w:hAnsi="Times New Roman;serif"/>
          <w:b w:val="false"/>
          <w:i/>
          <w:color w:val="000000"/>
          <w:sz w:val="20"/>
        </w:rPr>
        <w:t>Part I – Item 1. Financial Statements – Notes to Condensed Consolidated Financial Statements – Note 1. Description of Business and Accounting Policies”</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333" w:before="0" w:after="0"/>
        <w:jc w:val="left"/>
        <w:rPr/>
      </w:pPr>
      <w:hyperlink w:anchor="i65bd50e6e0134a778ca5f9a1e0365124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333"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before="0" w:after="0"/>
        <w:ind w:left="0" w:right="0" w:firstLine="72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are exposed to market risks in the ordinary course of our business. These risks primarily consist of fluctuations in interest rates and exposure to inflationary pressures.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240" w:after="283"/>
        <w:ind w:left="0" w:right="0" w:firstLine="450"/>
        <w:jc w:val="left"/>
        <w:rPr/>
      </w:pPr>
      <w:r>
        <w:rPr>
          <w:rFonts w:ascii="Times New Roman;serif" w:hAnsi="Times New Roman;serif"/>
          <w:b w:val="false"/>
          <w:color w:val="000000"/>
          <w:sz w:val="20"/>
        </w:rPr>
        <w:t>We are subject to market risk by way of changes in interest rates on borrowings under our inventory financing facilities. As of June 30, 2026, we had total outstanding balances on our asset-backed debt of $1.8 billion, 55% of which was based on a fixed rate with an average duration of 1.4 years and the remaining 45% was based on a floating rate. Total property financing interest expense for the six months ended June 30, 2026 was $43 million, of which $34 million was fixed and $9 million was floating. Accordingly, fluctuations in market interest rates may increase or decrease our interest expense. We may use interest rate cap derivatives, interest rate swaps or other interest rate hedging instruments to economically hedge and manage interest rate risk with respect to our variable floating rate debt. Many of our floating rate debt facilities also have benchmark rate floors. See “</w:t>
      </w:r>
      <w:r>
        <w:rPr>
          <w:rFonts w:ascii="Times New Roman;serif" w:hAnsi="Times New Roman;serif"/>
          <w:b w:val="false"/>
          <w:i/>
          <w:color w:val="000000"/>
          <w:sz w:val="20"/>
        </w:rPr>
        <w:t>Part I – Item 1. Financial Statements – Notes to Condensed Consolidated Financial Statements – Note 5. Credit Facilities, Long-Term Debt, and Convertible Notes</w:t>
      </w:r>
      <w:r>
        <w:rPr>
          <w:color w:val="000000"/>
        </w:rPr>
        <w:t xml:space="preserve">” </w:t>
      </w:r>
      <w:r>
        <w:rPr>
          <w:rFonts w:ascii="Times New Roman;serif" w:hAnsi="Times New Roman;serif"/>
          <w:b w:val="false"/>
          <w:color w:val="000000"/>
          <w:sz w:val="20"/>
        </w:rPr>
        <w:t xml:space="preserve">for additional information regarding our inventory financing facilities and fixed and floating interest rates. Assuming no change in the outstanding borrowings on our credit facilities, we estimate that a one percentage point increase in applicable benchmark rates would increase our annual interest expense by approximately $8 million as of June 30, 2026.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Inflation Risk</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believe the inflation experienced in recent years has impacted the cost of goods and services that we consume, such as labor and materials costs for home repairs. Moreover, despite certain legal challenges, the current U.S. presidential administration has implemented tariffs on imports from a number of countries, and has proposed or announced tariffs on goods from numerous additional countries and other trade policies intended to restrict imports, which may further increase the cost and the scarcity of materials used for home repairs. Inflationary pressures may additionally be compounded by elevated transportation costs linked to the geopolitical environment arising from events in the Middle East. We endeavor to offset these impacts in our business by appropriately considering them in our pricing and operational models. However, if our costs were to become subject to significant incremental inflationary pressure, we may not be able to fully offset such higher costs by adjusting our operational model or our pricing methodology. Our inability to do so could harm our business, results of operations, and financial condition.</w:t>
      </w:r>
    </w:p>
    <w:p>
      <w:pPr>
        <w:pStyle w:val="TextBody"/>
        <w:bidi w:val="0"/>
        <w:spacing w:lineRule="auto" w:line="288" w:before="240" w:after="283"/>
        <w:ind w:left="0" w:right="0" w:firstLine="450"/>
        <w:jc w:val="left"/>
        <w:rPr/>
      </w:pPr>
      <w:r>
        <w:rPr>
          <w:rFonts w:ascii="Times New Roman;serif" w:hAnsi="Times New Roman;serif"/>
          <w:b w:val="false"/>
          <w:color w:val="000000"/>
          <w:sz w:val="20"/>
        </w:rPr>
        <w:t>In response to persistent inflationary pressures in the U.S., the Federal Reserve implemented a number of increases to the federal funds rate in 2022 and 2023. Despite the Federal Reserve’s rate reductions in 2024 and 2025, the federal funds rate remains elevated compared to recent historical levels. Higher interest rates contribute to increased mortgage rates, which reduce home affordability and can lead to lower transaction volumes, extended holding periods, and increased holding and financing costs for our owned inventory. See “</w:t>
      </w:r>
      <w:r>
        <w:rPr>
          <w:rFonts w:ascii="Times New Roman;serif" w:hAnsi="Times New Roman;serif"/>
          <w:b w:val="false"/>
          <w:i/>
          <w:color w:val="000000"/>
          <w:sz w:val="20"/>
        </w:rPr>
        <w:t>Part I – Item 2. Management’s Discussion and Analysis of Financial Condition and Results of Operations – Current Housing Environment</w:t>
      </w:r>
      <w:r>
        <w:rPr>
          <w:color w:val="000000"/>
        </w:rPr>
        <w:t xml:space="preserve">” </w:t>
      </w:r>
      <w:r>
        <w:rPr>
          <w:rFonts w:ascii="Times New Roman;serif" w:hAnsi="Times New Roman;serif"/>
          <w:b w:val="false"/>
          <w:color w:val="000000"/>
          <w:sz w:val="20"/>
        </w:rPr>
        <w:t xml:space="preserve">for a further discussion of the impact of the elevated federal funds rate on our business.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Inherent Limitations on Effectiveness of Controls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240" w:after="283"/>
        <w:ind w:left="0" w:right="0" w:firstLine="450"/>
        <w:jc w:val="left"/>
        <w:rPr/>
      </w:pPr>
      <w:r>
        <w:rPr>
          <w:rFonts w:ascii="Times New Roman;serif" w:hAnsi="Times New Roman;serif"/>
          <w:b w:val="false"/>
          <w:color w:val="000000"/>
          <w:sz w:val="20"/>
        </w:rPr>
        <w:t>Our management, with the participation of our Chief Executive Officer and Chief Financial Officer, evaluated the effectiveness of our disclosure controls and procedures (as defined in Rules 13a-15(e) and 15d-15(e) under the Exchange Act), as of the end of the period covered by this Quarterly Report on Form 10-Q. Based on the evaluation,</w:t>
      </w:r>
      <w:r>
        <w:rPr>
          <w:color w:val="000000"/>
        </w:rPr>
        <w:t xml:space="preserve"> </w:t>
      </w:r>
      <w:r>
        <w:rPr>
          <w:rFonts w:ascii="Times New Roman;serif" w:hAnsi="Times New Roman;serif"/>
          <w:b w:val="false"/>
          <w:color w:val="000000"/>
          <w:sz w:val="20"/>
        </w:rPr>
        <w:t xml:space="preserve">our Chief Executive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333" w:before="0" w:after="0"/>
        <w:jc w:val="left"/>
        <w:rPr/>
      </w:pPr>
      <w:hyperlink w:anchor="i65bd50e6e0134a778ca5f9a1e0365124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333"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before="0" w:after="0"/>
        <w:ind w:left="0" w:right="0" w:firstLine="720"/>
        <w:jc w:val="center"/>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Officer and Chief Financial Officer concluded that our disclosure controls and procedures are effective at the reasonable assurance level as of June 30, 2026.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in connection with the evaluation required by Rules 13a-15(d) and 15d-15(d) of the Exchange Act that occurred during the quarter ended June 30, 2026 that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333" w:before="0" w:after="0"/>
        <w:jc w:val="left"/>
        <w:rPr/>
      </w:pPr>
      <w:hyperlink w:anchor="i65bd50e6e0134a778ca5f9a1e0365124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333"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before="0" w:after="0"/>
        <w:ind w:left="0" w:right="0" w:firstLine="720"/>
        <w:jc w:val="center"/>
        <w:rPr/>
      </w:pPr>
      <w:r>
        <w:rPr/>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240" w:after="283"/>
        <w:ind w:left="0" w:right="0" w:firstLine="450"/>
        <w:jc w:val="left"/>
        <w:rPr/>
      </w:pPr>
      <w:r>
        <w:rPr>
          <w:rFonts w:ascii="Times New Roman;serif" w:hAnsi="Times New Roman;serif"/>
          <w:b w:val="false"/>
          <w:color w:val="000000"/>
          <w:sz w:val="20"/>
        </w:rPr>
        <w:t>The information required by this Item 1 is incorporated herein by reference to the discussion in “</w:t>
      </w:r>
      <w:r>
        <w:rPr>
          <w:rFonts w:ascii="Times New Roman;serif" w:hAnsi="Times New Roman;serif"/>
          <w:b w:val="false"/>
          <w:i/>
          <w:color w:val="000000"/>
          <w:sz w:val="20"/>
        </w:rPr>
        <w:t>Part I – Item 1. Financial Statements – Notes to Condensed Consolidated Financial Statements – Note 15. Commitments and Contingencies – Legal Matters</w:t>
      </w:r>
      <w:r>
        <w:rPr>
          <w:rFonts w:ascii="Times New Roman;serif" w:hAnsi="Times New Roman;serif"/>
          <w:b w:val="false"/>
          <w:color w:val="000000"/>
          <w:sz w:val="20"/>
        </w:rPr>
        <w:t>.”</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to the legal matters referenced above, we are currently and have in the past been subject to legal proceedings and regulatory actions in the ordinary course of business. We do not anticipate that the ultimate liability, if any, arising out of any such matters will have a material effect on our financial condition, results of operations or cash flows. In the future, we may be subject to further legal proceedings and regulatory actions in the ordinary course of business and we cannot predict whether any such proceeding or matter will have a material effect on our financial condition,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240" w:after="283"/>
        <w:ind w:left="0" w:right="0" w:firstLine="450"/>
        <w:jc w:val="left"/>
        <w:rPr/>
      </w:pPr>
      <w:r>
        <w:rPr>
          <w:rFonts w:ascii="Times New Roman;serif" w:hAnsi="Times New Roman;serif"/>
          <w:b w:val="false"/>
          <w:color w:val="000000"/>
          <w:sz w:val="20"/>
        </w:rPr>
        <w:t>In the course of conducting our business operations, we are exposed to a variety of risks. You should carefully consider the risks described below, as applicable, the risks described in “</w:t>
      </w:r>
      <w:r>
        <w:rPr>
          <w:rFonts w:ascii="Times New Roman;serif" w:hAnsi="Times New Roman;serif"/>
          <w:b w:val="false"/>
          <w:i/>
          <w:color w:val="000000"/>
          <w:sz w:val="20"/>
        </w:rPr>
        <w:t>Part I – Item 1A. Risk Factors</w:t>
      </w:r>
      <w:r>
        <w:rPr>
          <w:rFonts w:ascii="Times New Roman;serif" w:hAnsi="Times New Roman;serif"/>
          <w:b w:val="false"/>
          <w:color w:val="000000"/>
          <w:sz w:val="20"/>
        </w:rPr>
        <w:t>,” in our Annual Report on Form 10-K for the year ended December 31, 2025 (the “Annual Report”) as well as the other information in this Quarterly Report on Form 10-Q, including our financial statements and related notes and “</w:t>
      </w:r>
      <w:r>
        <w:rPr>
          <w:rFonts w:ascii="Times New Roman;serif" w:hAnsi="Times New Roman;serif"/>
          <w:b w:val="false"/>
          <w:i/>
          <w:color w:val="000000"/>
          <w:sz w:val="20"/>
        </w:rPr>
        <w:t>Item 2. Management’s Discussion and Analysis of Financial Condition and Results of Operations</w:t>
      </w:r>
      <w:r>
        <w:rPr>
          <w:rFonts w:ascii="Times New Roman;serif" w:hAnsi="Times New Roman;serif"/>
          <w:b w:val="false"/>
          <w:color w:val="000000"/>
          <w:sz w:val="20"/>
        </w:rPr>
        <w:t>,” before deciding whether to invest in our common stock. Any of the risk factors we described in “</w:t>
      </w:r>
      <w:r>
        <w:rPr>
          <w:rFonts w:ascii="Times New Roman;serif" w:hAnsi="Times New Roman;serif"/>
          <w:b w:val="false"/>
          <w:i/>
          <w:color w:val="000000"/>
          <w:sz w:val="20"/>
        </w:rPr>
        <w:t>Part I – Item 1A. Risk Factors</w:t>
      </w:r>
      <w:r>
        <w:rPr>
          <w:rFonts w:ascii="Times New Roman;serif" w:hAnsi="Times New Roman;serif"/>
          <w:b w:val="false"/>
          <w:color w:val="000000"/>
          <w:sz w:val="20"/>
        </w:rPr>
        <w:t>,” in our Annual Report or in subsequent periodic reports, have affected or could materially and adversely affect our business, financial condition, results of operations, and prospects. The market price of shares of our common stock could decline, possibly significantly or permanently, if one or more of these risks and uncertainties occurs. Certain statements in “Risk Factors” are forward-looking statements. See “Forward-Looking Statements.”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our risk factors since the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6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None.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     None.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(b)     None.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     During the three months ended June 30, 2026, no director or officer of the Company adopted or terminated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333" w:before="0" w:after="0"/>
        <w:jc w:val="left"/>
        <w:rPr/>
      </w:pPr>
      <w:hyperlink w:anchor="i65bd50e6e0134a778ca5f9a1e0365124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333"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before="0" w:after="0"/>
        <w:ind w:left="0" w:right="0" w:firstLine="72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240" w:after="1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is a list of exhibits filed as part of this Quarterly Report on Form 10-Q.</w:t>
      </w:r>
    </w:p>
    <w:tbl>
      <w:tblPr>
        <w:tblW w:w="10205" w:type="dxa"/>
        <w:jc w:val="left"/>
        <w:tblInd w:w="0" w:type="dxa"/>
        <w:tblLayout w:type="fixed"/>
        <w:tblCellMar>
          <w:top w:w="28" w:type="dxa"/>
          <w:left w:w="28" w:type="dxa"/>
          <w:bottom w:w="28" w:type="dxa"/>
          <w:right w:w="28" w:type="dxa"/>
        </w:tblCellMar>
      </w:tblPr>
      <w:tblGrid>
        <w:gridCol w:w="256"/>
        <w:gridCol w:w="224"/>
        <w:gridCol w:w="227"/>
        <w:gridCol w:w="109"/>
        <w:gridCol w:w="109"/>
        <w:gridCol w:w="109"/>
        <w:gridCol w:w="109"/>
        <w:gridCol w:w="109"/>
        <w:gridCol w:w="109"/>
        <w:gridCol w:w="1729"/>
        <w:gridCol w:w="1599"/>
        <w:gridCol w:w="1616"/>
        <w:gridCol w:w="175"/>
        <w:gridCol w:w="175"/>
        <w:gridCol w:w="176"/>
        <w:gridCol w:w="340"/>
        <w:gridCol w:w="264"/>
        <w:gridCol w:w="235"/>
        <w:gridCol w:w="302"/>
        <w:gridCol w:w="302"/>
        <w:gridCol w:w="307"/>
        <w:gridCol w:w="225"/>
        <w:gridCol w:w="225"/>
        <w:gridCol w:w="226"/>
        <w:gridCol w:w="275"/>
        <w:gridCol w:w="275"/>
        <w:gridCol w:w="398"/>
      </w:tblGrid>
      <w:tr>
        <w:trPr/>
        <w:tc>
          <w:tcPr>
            <w:tcW w:w="25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r>
      <w:tr>
        <w:trPr/>
        <w:tc>
          <w:tcPr>
            <w:tcW w:w="707" w:type="dxa"/>
            <w:gridSpan w:val="3"/>
            <w:tcBorders/>
            <w:tcMar>
              <w:top w:w="0" w:type="dxa"/>
              <w:left w:w="0" w:type="dxa"/>
              <w:bottom w:w="0" w:type="dxa"/>
              <w:right w:w="0" w:type="dxa"/>
            </w:tcMar>
            <w:vAlign w:val="center"/>
          </w:tcPr>
          <w:p>
            <w:pPr>
              <w:pStyle w:val="TableContents"/>
              <w:bidi w:val="0"/>
              <w:spacing w:lineRule="auto" w:line="288" w:before="53" w:after="30"/>
              <w:jc w:val="left"/>
              <w:rPr>
                <w:rFonts w:ascii="Times New Roman;serif" w:hAnsi="Times New Roman;serif"/>
                <w:b/>
                <w:color w:val="000000"/>
                <w:sz w:val="16"/>
              </w:rPr>
            </w:pPr>
            <w:r>
              <w:rPr>
                <w:rFonts w:ascii="Times New Roman;serif" w:hAnsi="Times New Roman;serif"/>
                <w:b/>
                <w:color w:val="000000"/>
                <w:sz w:val="16"/>
              </w:rPr>
              <w:t>Exhibit</w:t>
            </w:r>
          </w:p>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Description</w:t>
            </w:r>
          </w:p>
        </w:tc>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Form</w:t>
            </w:r>
          </w:p>
        </w:tc>
        <w:tc>
          <w:tcPr>
            <w:tcW w:w="8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File No.</w:t>
            </w:r>
          </w:p>
        </w:tc>
        <w:tc>
          <w:tcPr>
            <w:tcW w:w="9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Exhibit</w:t>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Filing Date</w:t>
            </w:r>
          </w:p>
        </w:tc>
        <w:tc>
          <w:tcPr>
            <w:tcW w:w="9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Filed Herewith</w:t>
            </w:r>
          </w:p>
        </w:tc>
      </w:tr>
      <w:tr>
        <w:trPr/>
        <w:tc>
          <w:tcPr>
            <w:tcW w:w="70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4" w:type="dxa"/>
            <w:gridSpan w:val="3"/>
            <w:tcBorders/>
            <w:tcMar>
              <w:top w:w="0" w:type="dxa"/>
              <w:left w:w="0" w:type="dxa"/>
              <w:bottom w:w="0" w:type="dxa"/>
              <w:right w:w="0" w:type="dxa"/>
            </w:tcMar>
            <w:vAlign w:val="center"/>
          </w:tcPr>
          <w:p>
            <w:pPr>
              <w:pStyle w:val="TableContents"/>
              <w:bidi w:val="0"/>
              <w:spacing w:lineRule="auto" w:line="333" w:before="53" w:after="30"/>
              <w:jc w:val="left"/>
              <w:rPr/>
            </w:pPr>
            <w:hyperlink r:id="rId2">
              <w:r>
                <w:rPr>
                  <w:rStyle w:val="InternetLink"/>
                  <w:rFonts w:ascii="Times New Roman;serif" w:hAnsi="Times New Roman;serif"/>
                  <w:b w:val="false"/>
                  <w:color w:val="0000FF"/>
                  <w:sz w:val="20"/>
                  <w:u w:val="single"/>
                </w:rPr>
                <w:t xml:space="preserve">Certificate of Incorporation of Opendoor Technologies Inc. </w:t>
              </w:r>
            </w:hyperlink>
          </w:p>
        </w:tc>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8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001-39253</w:t>
            </w:r>
          </w:p>
        </w:tc>
        <w:tc>
          <w:tcPr>
            <w:tcW w:w="9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12/18/2020</w:t>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4" w:type="dxa"/>
            <w:gridSpan w:val="3"/>
            <w:tcBorders/>
            <w:tcMar>
              <w:top w:w="0" w:type="dxa"/>
              <w:left w:w="0" w:type="dxa"/>
              <w:bottom w:w="0" w:type="dxa"/>
              <w:right w:w="0" w:type="dxa"/>
            </w:tcMar>
            <w:vAlign w:val="center"/>
          </w:tcPr>
          <w:p>
            <w:pPr>
              <w:pStyle w:val="TableContents"/>
              <w:bidi w:val="0"/>
              <w:spacing w:lineRule="auto" w:line="333" w:before="53" w:after="30"/>
              <w:jc w:val="left"/>
              <w:rPr/>
            </w:pPr>
            <w:hyperlink r:id="rId3">
              <w:r>
                <w:rPr>
                  <w:rStyle w:val="InternetLink"/>
                  <w:rFonts w:ascii="Times New Roman;serif" w:hAnsi="Times New Roman;serif"/>
                  <w:b w:val="false"/>
                  <w:color w:val="0000FF"/>
                  <w:sz w:val="20"/>
                  <w:u w:val="single"/>
                </w:rPr>
                <w:t xml:space="preserve">Amended and Restated Bylaws of Opendoor Technologies Inc. </w:t>
              </w:r>
            </w:hyperlink>
          </w:p>
        </w:tc>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8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001-39253</w:t>
            </w:r>
          </w:p>
        </w:tc>
        <w:tc>
          <w:tcPr>
            <w:tcW w:w="9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01/24/2023</w:t>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4" w:type="dxa"/>
            <w:gridSpan w:val="3"/>
            <w:tcBorders/>
            <w:tcMar>
              <w:top w:w="0" w:type="dxa"/>
              <w:left w:w="0" w:type="dxa"/>
              <w:bottom w:w="0" w:type="dxa"/>
              <w:right w:w="0" w:type="dxa"/>
            </w:tcMar>
            <w:vAlign w:val="center"/>
          </w:tcPr>
          <w:p>
            <w:pPr>
              <w:pStyle w:val="TableContents"/>
              <w:bidi w:val="0"/>
              <w:spacing w:lineRule="auto" w:line="333" w:before="53" w:after="30"/>
              <w:jc w:val="left"/>
              <w:rPr/>
            </w:pPr>
            <w:hyperlink r:id="rId4">
              <w:r>
                <w:rPr>
                  <w:rStyle w:val="InternetLink"/>
                  <w:rFonts w:ascii="Times New Roman;serif" w:hAnsi="Times New Roman;serif"/>
                  <w:b w:val="false"/>
                  <w:color w:val="0000FF"/>
                  <w:sz w:val="20"/>
                  <w:u w:val="single"/>
                </w:rPr>
                <w:t>Specimen Common Stock Certificate of Opendoor Technologies Inc.</w:t>
              </w:r>
            </w:hyperlink>
          </w:p>
        </w:tc>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S-4/A</w:t>
            </w:r>
          </w:p>
        </w:tc>
        <w:tc>
          <w:tcPr>
            <w:tcW w:w="8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333-249302</w:t>
            </w:r>
          </w:p>
        </w:tc>
        <w:tc>
          <w:tcPr>
            <w:tcW w:w="9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4.5</w:t>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11/06/2020</w:t>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Times New Roman;serif" w:hAnsi="Times New Roman;serif"/>
                  <w:b w:val="false"/>
                  <w:color w:val="0000FF"/>
                  <w:sz w:val="20"/>
                  <w:u w:val="single"/>
                </w:rPr>
                <w:t>Warrant Agreement, dated July 28, 2022, between Opendoor Technologies Inc. and Zillow, Inc.</w:t>
              </w:r>
            </w:hyperlink>
          </w:p>
        </w:tc>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8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001-39253</w:t>
            </w:r>
          </w:p>
        </w:tc>
        <w:tc>
          <w:tcPr>
            <w:tcW w:w="9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08/05/2022</w:t>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
              <w:r>
                <w:rPr>
                  <w:rStyle w:val="InternetLink"/>
                  <w:rFonts w:ascii="Times New Roman;serif" w:hAnsi="Times New Roman;serif"/>
                  <w:b w:val="false"/>
                  <w:color w:val="0000FF"/>
                  <w:sz w:val="20"/>
                  <w:u w:val="single"/>
                </w:rPr>
                <w:t>Warrant Agreement (including Form of Warrant), dated November 21, 2025, by and between the Company and Equiniti Trust Company, LLC, as Warrant Agent.</w:t>
              </w:r>
            </w:hyperlink>
          </w:p>
        </w:tc>
        <w:tc>
          <w:tcPr>
            <w:tcW w:w="52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8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001-39253</w:t>
            </w:r>
          </w:p>
        </w:tc>
        <w:tc>
          <w:tcPr>
            <w:tcW w:w="91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11/21/2025</w:t>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
              <w:r>
                <w:rPr>
                  <w:rStyle w:val="InternetLink"/>
                  <w:rFonts w:ascii="Times New Roman;serif" w:hAnsi="Times New Roman;serif"/>
                  <w:b w:val="false"/>
                  <w:color w:val="0000FF"/>
                  <w:sz w:val="20"/>
                  <w:u w:val="single"/>
                </w:rPr>
                <w:t>Indenture, dated as of May 16, 2025, between Opendoor Technologies Inc. and U.S. Bank Trust Company, National Association as Trustee.</w:t>
              </w:r>
            </w:hyperlink>
          </w:p>
        </w:tc>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8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001-39253</w:t>
            </w:r>
          </w:p>
        </w:tc>
        <w:tc>
          <w:tcPr>
            <w:tcW w:w="9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05/19/2025</w:t>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4" w:type="dxa"/>
            <w:gridSpan w:val="3"/>
            <w:tcBorders/>
            <w:tcMar>
              <w:top w:w="0" w:type="dxa"/>
              <w:left w:w="0" w:type="dxa"/>
              <w:bottom w:w="0" w:type="dxa"/>
              <w:right w:w="0" w:type="dxa"/>
            </w:tcMar>
            <w:vAlign w:val="center"/>
          </w:tcPr>
          <w:p>
            <w:pPr>
              <w:pStyle w:val="TableContents"/>
              <w:bidi w:val="0"/>
              <w:spacing w:lineRule="auto" w:line="288" w:before="0" w:after="0"/>
              <w:jc w:val="left"/>
              <w:rPr/>
            </w:pPr>
            <w:r>
              <w:fldChar w:fldCharType="begin"/>
            </w:r>
            <w:r>
              <w:rPr>
                <w:rStyle w:val="InternetLink"/>
                <w:sz w:val="20"/>
                <w:u w:val="single"/>
                <w:b w:val="false"/>
                <w:rFonts w:ascii="Times New Roman;serif" w:hAnsi="Times New Roman;serif"/>
                <w:color w:val="0000FF"/>
              </w:rPr>
              <w:instrText xml:space="preserve"> HYPERLINK "https://www.sec.gov/Archives/edgar/data/1801169/000114036125019770/ef20049190_ex4-1.htm" \l "EXHIBITA"</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Form of 7.000% Convertible Senior Notes due 2030.</w:t>
            </w:r>
            <w:r>
              <w:rPr>
                <w:rStyle w:val="InternetLink"/>
                <w:sz w:val="20"/>
                <w:u w:val="single"/>
                <w:b w:val="false"/>
                <w:rFonts w:ascii="Times New Roman;serif" w:hAnsi="Times New Roman;serif"/>
                <w:color w:val="0000FF"/>
              </w:rPr>
              <w:fldChar w:fldCharType="end"/>
            </w:r>
          </w:p>
        </w:tc>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8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001-39253</w:t>
            </w:r>
          </w:p>
        </w:tc>
        <w:tc>
          <w:tcPr>
            <w:tcW w:w="9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Exhibit A to 4.1</w:t>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05/19/2025</w:t>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101-formofrestricte.htm">
              <w:r>
                <w:rPr>
                  <w:rStyle w:val="InternetLink"/>
                  <w:rFonts w:ascii="Times New Roman;serif" w:hAnsi="Times New Roman;serif"/>
                  <w:b w:val="false"/>
                  <w:color w:val="0000FF"/>
                  <w:sz w:val="20"/>
                  <w:u w:val="single"/>
                </w:rPr>
                <w:t>Form of Restricted Stock Unit Grant Notice and Restricted Stock Unit Agreement (Non-Employee Director) under 2020 Incentive Award Plan</w:t>
              </w:r>
            </w:hyperlink>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0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4" w:type="dxa"/>
            <w:gridSpan w:val="3"/>
            <w:tcBorders/>
            <w:tcMar>
              <w:top w:w="0" w:type="dxa"/>
              <w:left w:w="0" w:type="dxa"/>
              <w:bottom w:w="0" w:type="dxa"/>
              <w:right w:w="0" w:type="dxa"/>
            </w:tcMar>
            <w:vAlign w:val="center"/>
          </w:tcPr>
          <w:p>
            <w:pPr>
              <w:pStyle w:val="TableContents"/>
              <w:bidi w:val="0"/>
              <w:spacing w:lineRule="auto" w:line="288" w:before="53" w:after="30"/>
              <w:jc w:val="left"/>
              <w:rPr/>
            </w:pPr>
            <w:hyperlink w:anchor="q22026exhibit311.htm">
              <w:r>
                <w:rPr>
                  <w:rStyle w:val="InternetLink"/>
                  <w:rFonts w:ascii="Times New Roman;serif" w:hAnsi="Times New Roman;serif"/>
                  <w:b w:val="false"/>
                  <w:color w:val="0000FF"/>
                  <w:sz w:val="20"/>
                  <w:u w:val="single"/>
                </w:rPr>
                <w:t>Certification of Chief Executive Officer Pursuant to Section 302 of the Sarbanes-Oxley Act of 2002</w:t>
              </w:r>
            </w:hyperlink>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0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4" w:type="dxa"/>
            <w:gridSpan w:val="3"/>
            <w:tcBorders/>
            <w:tcMar>
              <w:top w:w="0" w:type="dxa"/>
              <w:left w:w="0" w:type="dxa"/>
              <w:bottom w:w="0" w:type="dxa"/>
              <w:right w:w="0" w:type="dxa"/>
            </w:tcMar>
            <w:vAlign w:val="center"/>
          </w:tcPr>
          <w:p>
            <w:pPr>
              <w:pStyle w:val="TableContents"/>
              <w:bidi w:val="0"/>
              <w:spacing w:lineRule="auto" w:line="288" w:before="53" w:after="30"/>
              <w:jc w:val="left"/>
              <w:rPr/>
            </w:pPr>
            <w:hyperlink w:anchor="q22026exhibit312.htm">
              <w:r>
                <w:rPr>
                  <w:rStyle w:val="InternetLink"/>
                  <w:rFonts w:ascii="Times New Roman;serif" w:hAnsi="Times New Roman;serif"/>
                  <w:b w:val="false"/>
                  <w:color w:val="0000FF"/>
                  <w:sz w:val="20"/>
                  <w:u w:val="single"/>
                </w:rPr>
                <w:t>Certification of Chief Financial Officer Pursuant to Section 302 of the Sarbanes-Oxley Act of 2002</w:t>
              </w:r>
            </w:hyperlink>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0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4" w:type="dxa"/>
            <w:gridSpan w:val="3"/>
            <w:tcBorders/>
            <w:tcMar>
              <w:top w:w="0" w:type="dxa"/>
              <w:left w:w="0" w:type="dxa"/>
              <w:bottom w:w="0" w:type="dxa"/>
              <w:right w:w="0" w:type="dxa"/>
            </w:tcMar>
            <w:vAlign w:val="center"/>
          </w:tcPr>
          <w:p>
            <w:pPr>
              <w:pStyle w:val="TableContents"/>
              <w:bidi w:val="0"/>
              <w:spacing w:lineRule="auto" w:line="288" w:before="53" w:after="30"/>
              <w:jc w:val="left"/>
              <w:rPr/>
            </w:pPr>
            <w:hyperlink w:anchor="q22026exhibit321.htm">
              <w:r>
                <w:rPr>
                  <w:rStyle w:val="InternetLink"/>
                  <w:rFonts w:ascii="Times New Roman;serif" w:hAnsi="Times New Roman;serif"/>
                  <w:b w:val="false"/>
                  <w:color w:val="000080"/>
                  <w:sz w:val="20"/>
                  <w:u w:val="single"/>
                </w:rPr>
                <w:t xml:space="preserve">Certification of Chief Executive Officer and Chief </w:t>
              </w:r>
            </w:hyperlink>
            <w:hyperlink w:anchor="q22026exhibit321.htm">
              <w:r>
                <w:rPr>
                  <w:rStyle w:val="InternetLink"/>
                  <w:rFonts w:ascii="Times New Roman;serif" w:hAnsi="Times New Roman;serif"/>
                  <w:b w:val="false"/>
                  <w:color w:val="000080"/>
                  <w:sz w:val="20"/>
                  <w:u w:val="single"/>
                </w:rPr>
                <w:t>Financial</w:t>
              </w:r>
            </w:hyperlink>
            <w:hyperlink w:anchor="q22026exhibit321.htm">
              <w:r>
                <w:rPr>
                  <w:rStyle w:val="InternetLink"/>
                  <w:rFonts w:ascii="Times New Roman;serif" w:hAnsi="Times New Roman;serif"/>
                  <w:b w:val="false"/>
                  <w:color w:val="000080"/>
                  <w:sz w:val="20"/>
                  <w:u w:val="single"/>
                </w:rPr>
                <w:t xml:space="preserve"> Officer Pursuant to Section 906 of the Sarbanes-Oxley Act of 2002</w:t>
              </w:r>
            </w:hyperlink>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0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0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0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0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0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0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0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(as formatted as Inline XBRL and contained in Exhibit 101)</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________________</w:t>
      </w:r>
    </w:p>
    <w:p>
      <w:pPr>
        <w:pStyle w:val="TextBody"/>
        <w:bidi w:val="0"/>
        <w:spacing w:lineRule="auto" w:line="333"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    Furnished herewith.</w:t>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    Indicates management contract or compensatory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333" w:before="240" w:after="2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6917" w:type="dxa"/>
        <w:jc w:val="left"/>
        <w:tblInd w:w="0" w:type="dxa"/>
        <w:tblLayout w:type="fixed"/>
        <w:tblCellMar>
          <w:top w:w="28" w:type="dxa"/>
          <w:left w:w="28" w:type="dxa"/>
          <w:bottom w:w="28" w:type="dxa"/>
          <w:right w:w="28" w:type="dxa"/>
        </w:tblCellMar>
      </w:tblPr>
      <w:tblGrid>
        <w:gridCol w:w="200"/>
        <w:gridCol w:w="177"/>
        <w:gridCol w:w="178"/>
        <w:gridCol w:w="484"/>
        <w:gridCol w:w="484"/>
        <w:gridCol w:w="486"/>
        <w:gridCol w:w="267"/>
        <w:gridCol w:w="267"/>
        <w:gridCol w:w="267"/>
        <w:gridCol w:w="267"/>
        <w:gridCol w:w="267"/>
        <w:gridCol w:w="267"/>
        <w:gridCol w:w="267"/>
        <w:gridCol w:w="267"/>
        <w:gridCol w:w="267"/>
        <w:gridCol w:w="728"/>
        <w:gridCol w:w="728"/>
        <w:gridCol w:w="1049"/>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8" w:type="dxa"/>
            <w:gridSpan w:val="12"/>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OPENDOOR TECHNOLOGIES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August 04, 2026</w:t>
            </w:r>
          </w:p>
        </w:tc>
        <w:tc>
          <w:tcPr>
            <w:tcW w:w="8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107"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Kaz Nejatian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Kaz Nejatian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spacing w:before="240" w:after="283"/>
        <w:jc w:val="center"/>
        <w:rPr/>
      </w:pPr>
      <w:r>
        <w:rPr/>
      </w:r>
    </w:p>
    <w:tbl>
      <w:tblPr>
        <w:tblW w:w="7476" w:type="dxa"/>
        <w:jc w:val="left"/>
        <w:tblInd w:w="0" w:type="dxa"/>
        <w:tblLayout w:type="fixed"/>
        <w:tblCellMar>
          <w:top w:w="28" w:type="dxa"/>
          <w:left w:w="28" w:type="dxa"/>
          <w:bottom w:w="28" w:type="dxa"/>
          <w:right w:w="28" w:type="dxa"/>
        </w:tblCellMar>
      </w:tblPr>
      <w:tblGrid>
        <w:gridCol w:w="200"/>
        <w:gridCol w:w="177"/>
        <w:gridCol w:w="178"/>
        <w:gridCol w:w="484"/>
        <w:gridCol w:w="484"/>
        <w:gridCol w:w="486"/>
        <w:gridCol w:w="134"/>
        <w:gridCol w:w="134"/>
        <w:gridCol w:w="136"/>
        <w:gridCol w:w="209"/>
        <w:gridCol w:w="209"/>
        <w:gridCol w:w="211"/>
        <w:gridCol w:w="188"/>
        <w:gridCol w:w="188"/>
        <w:gridCol w:w="188"/>
        <w:gridCol w:w="1131"/>
        <w:gridCol w:w="1131"/>
        <w:gridCol w:w="160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August 04, 2026</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063"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Christy Schwartz</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Christy Schwartz</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Financial and Accounting Officer)</w:t>
            </w:r>
          </w:p>
        </w:tc>
      </w:tr>
    </w:tbl>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10.1</w:t>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tbl>
      <w:tblPr>
        <w:tblW w:w="3344" w:type="dxa"/>
        <w:jc w:val="left"/>
        <w:tblInd w:w="0" w:type="dxa"/>
        <w:tblLayout w:type="fixed"/>
        <w:tblCellMar>
          <w:top w:w="28" w:type="dxa"/>
          <w:left w:w="28" w:type="dxa"/>
          <w:bottom w:w="28" w:type="dxa"/>
          <w:right w:w="28" w:type="dxa"/>
        </w:tblCellMar>
      </w:tblPr>
      <w:tblGrid>
        <w:gridCol w:w="1070"/>
        <w:gridCol w:w="941"/>
        <w:gridCol w:w="1333"/>
      </w:tblGrid>
      <w:tr>
        <w:trPr/>
        <w:tc>
          <w:tcPr>
            <w:tcW w:w="107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2020 INCENTIVE AWARD PLAN</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RESTRICTED STOCK UNIT GRANT NOTICE</w:t>
      </w:r>
    </w:p>
    <w:p>
      <w:pPr>
        <w:pStyle w:val="TextBody"/>
        <w:bidi w:val="0"/>
        <w:spacing w:before="0" w:after="240"/>
        <w:ind w:left="0" w:right="0" w:firstLine="720"/>
        <w:jc w:val="both"/>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0"/>
        </w:rPr>
        <w:t>Opendoor Technologies Inc., a Delaware corporation (the “</w:t>
      </w:r>
      <w:r>
        <w:rPr>
          <w:rFonts w:ascii="Times New Roman;serif" w:hAnsi="Times New Roman;serif"/>
          <w:b/>
          <w:i/>
          <w:color w:val="000000"/>
          <w:sz w:val="20"/>
        </w:rPr>
        <w:t>Company</w:t>
      </w:r>
      <w:r>
        <w:rPr>
          <w:color w:val="000000"/>
        </w:rPr>
        <w:t>”</w:t>
      </w:r>
      <w:r>
        <w:rPr>
          <w:rFonts w:ascii="Times New Roman;serif" w:hAnsi="Times New Roman;serif"/>
          <w:b w:val="false"/>
          <w:color w:val="000000"/>
          <w:sz w:val="20"/>
        </w:rPr>
        <w:t>), has granted to the participant listed below (“</w:t>
      </w:r>
      <w:r>
        <w:rPr>
          <w:rFonts w:ascii="Times New Roman;serif" w:hAnsi="Times New Roman;serif"/>
          <w:b/>
          <w:i/>
          <w:color w:val="000000"/>
          <w:sz w:val="20"/>
        </w:rPr>
        <w:t>Participant</w:t>
      </w:r>
      <w:r>
        <w:rPr>
          <w:color w:val="000000"/>
        </w:rPr>
        <w:t>”</w:t>
      </w:r>
      <w:r>
        <w:rPr>
          <w:rFonts w:ascii="Times New Roman;serif" w:hAnsi="Times New Roman;serif"/>
          <w:b w:val="false"/>
          <w:color w:val="000000"/>
          <w:sz w:val="20"/>
        </w:rPr>
        <w:t>) the Restricted Stock Units (the “</w:t>
      </w:r>
      <w:r>
        <w:rPr>
          <w:rFonts w:ascii="Times New Roman;serif" w:hAnsi="Times New Roman;serif"/>
          <w:b/>
          <w:i/>
          <w:color w:val="000000"/>
          <w:sz w:val="20"/>
        </w:rPr>
        <w:t>RSUs</w:t>
      </w:r>
      <w:r>
        <w:rPr>
          <w:color w:val="000000"/>
        </w:rPr>
        <w:t>”</w:t>
      </w:r>
      <w:r>
        <w:rPr>
          <w:rFonts w:ascii="Times New Roman;serif" w:hAnsi="Times New Roman;serif"/>
          <w:b w:val="false"/>
          <w:color w:val="000000"/>
          <w:sz w:val="20"/>
        </w:rPr>
        <w:t>) described in this Restricted Stock Unit Grant Notice (this “</w:t>
      </w:r>
      <w:r>
        <w:rPr>
          <w:rFonts w:ascii="Times New Roman;serif" w:hAnsi="Times New Roman;serif"/>
          <w:b/>
          <w:i/>
          <w:color w:val="000000"/>
          <w:sz w:val="20"/>
        </w:rPr>
        <w:t>Grant Notice</w:t>
      </w:r>
      <w:r>
        <w:rPr>
          <w:color w:val="000000"/>
        </w:rPr>
        <w:t>”</w:t>
      </w:r>
      <w:r>
        <w:rPr>
          <w:rFonts w:ascii="Times New Roman;serif" w:hAnsi="Times New Roman;serif"/>
          <w:b w:val="false"/>
          <w:color w:val="000000"/>
          <w:sz w:val="20"/>
        </w:rPr>
        <w:t>), subject to the terms and conditions of the Opendoor Technologies Inc. 2020 Incentive Award Plan (as amended from time to time, the “</w:t>
      </w:r>
      <w:r>
        <w:rPr>
          <w:rFonts w:ascii="Times New Roman;serif" w:hAnsi="Times New Roman;serif"/>
          <w:b/>
          <w:i/>
          <w:color w:val="000000"/>
          <w:sz w:val="20"/>
        </w:rPr>
        <w:t>Plan</w:t>
      </w:r>
      <w:r>
        <w:rPr>
          <w:color w:val="000000"/>
        </w:rPr>
        <w:t>”</w:t>
      </w:r>
      <w:r>
        <w:rPr>
          <w:rFonts w:ascii="Times New Roman;serif" w:hAnsi="Times New Roman;serif"/>
          <w:b w:val="false"/>
          <w:color w:val="000000"/>
          <w:sz w:val="20"/>
        </w:rPr>
        <w:t xml:space="preserve">) and the Restricted Stock Unit Agreement attached hereto as </w:t>
      </w:r>
      <w:r>
        <w:rPr>
          <w:rFonts w:ascii="Times New Roman;serif" w:hAnsi="Times New Roman;serif"/>
          <w:b/>
          <w:color w:val="000000"/>
          <w:sz w:val="20"/>
        </w:rPr>
        <w:t>Exhibit A</w:t>
      </w:r>
      <w:r>
        <w:rPr>
          <w:color w:val="000000"/>
        </w:rPr>
        <w:t xml:space="preserve"> </w:t>
      </w:r>
      <w:r>
        <w:rPr>
          <w:rFonts w:ascii="Times New Roman;serif" w:hAnsi="Times New Roman;serif"/>
          <w:b w:val="false"/>
          <w:color w:val="000000"/>
          <w:sz w:val="20"/>
        </w:rPr>
        <w:t>(the “</w:t>
      </w:r>
      <w:r>
        <w:rPr>
          <w:rFonts w:ascii="Times New Roman;serif" w:hAnsi="Times New Roman;serif"/>
          <w:b/>
          <w:i/>
          <w:color w:val="000000"/>
          <w:sz w:val="20"/>
        </w:rPr>
        <w:t>Agreement</w:t>
      </w:r>
      <w:r>
        <w:rPr>
          <w:color w:val="000000"/>
        </w:rPr>
        <w:t>”</w:t>
      </w:r>
      <w:r>
        <w:rPr>
          <w:rFonts w:ascii="Times New Roman;serif" w:hAnsi="Times New Roman;serif"/>
          <w:b w:val="false"/>
          <w:color w:val="000000"/>
          <w:sz w:val="20"/>
        </w:rPr>
        <w:t>), both of which are incorporated into this Grant Notice by reference. Capitalized terms not specifically defined in this Grant Notice or the Agreement have the meanings given to them in the Plan.</w:t>
      </w:r>
    </w:p>
    <w:tbl>
      <w:tblPr>
        <w:tblW w:w="10205" w:type="dxa"/>
        <w:jc w:val="left"/>
        <w:tblInd w:w="0" w:type="dxa"/>
        <w:tblLayout w:type="fixed"/>
        <w:tblCellMar>
          <w:top w:w="28" w:type="dxa"/>
          <w:left w:w="28" w:type="dxa"/>
          <w:bottom w:w="28" w:type="dxa"/>
          <w:right w:w="28" w:type="dxa"/>
        </w:tblCellMar>
      </w:tblPr>
      <w:tblGrid>
        <w:gridCol w:w="869"/>
        <w:gridCol w:w="765"/>
        <w:gridCol w:w="749"/>
        <w:gridCol w:w="2299"/>
        <w:gridCol w:w="2281"/>
        <w:gridCol w:w="3242"/>
      </w:tblGrid>
      <w:tr>
        <w:trPr/>
        <w:tc>
          <w:tcPr>
            <w:tcW w:w="86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299" w:type="dxa"/>
            <w:tcBorders/>
            <w:vAlign w:val="center"/>
          </w:tcPr>
          <w:p>
            <w:pPr>
              <w:pStyle w:val="TableContents"/>
              <w:bidi w:val="0"/>
              <w:spacing w:before="0" w:after="283"/>
              <w:jc w:val="left"/>
              <w:rPr>
                <w:sz w:val="4"/>
                <w:szCs w:val="4"/>
              </w:rPr>
            </w:pPr>
            <w:r>
              <w:rPr>
                <w:sz w:val="4"/>
                <w:szCs w:val="4"/>
              </w:rPr>
            </w:r>
          </w:p>
        </w:tc>
        <w:tc>
          <w:tcPr>
            <w:tcW w:w="2281" w:type="dxa"/>
            <w:tcBorders/>
            <w:vAlign w:val="center"/>
          </w:tcPr>
          <w:p>
            <w:pPr>
              <w:pStyle w:val="TableContents"/>
              <w:bidi w:val="0"/>
              <w:spacing w:before="0" w:after="283"/>
              <w:jc w:val="left"/>
              <w:rPr>
                <w:sz w:val="4"/>
                <w:szCs w:val="4"/>
              </w:rPr>
            </w:pPr>
            <w:r>
              <w:rPr>
                <w:sz w:val="4"/>
                <w:szCs w:val="4"/>
              </w:rPr>
            </w:r>
          </w:p>
        </w:tc>
        <w:tc>
          <w:tcPr>
            <w:tcW w:w="3242" w:type="dxa"/>
            <w:tcBorders/>
            <w:vAlign w:val="center"/>
          </w:tcPr>
          <w:p>
            <w:pPr>
              <w:pStyle w:val="TableContents"/>
              <w:bidi w:val="0"/>
              <w:spacing w:before="0" w:after="283"/>
              <w:jc w:val="left"/>
              <w:rPr>
                <w:sz w:val="4"/>
                <w:szCs w:val="4"/>
              </w:rPr>
            </w:pPr>
            <w:r>
              <w:rPr>
                <w:sz w:val="4"/>
                <w:szCs w:val="4"/>
              </w:rPr>
            </w:r>
          </w:p>
        </w:tc>
      </w:tr>
      <w:tr>
        <w:trPr/>
        <w:tc>
          <w:tcPr>
            <w:tcW w:w="23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Participant:</w:t>
            </w:r>
          </w:p>
        </w:tc>
        <w:tc>
          <w:tcPr>
            <w:tcW w:w="7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Grant Date:</w:t>
            </w:r>
          </w:p>
        </w:tc>
        <w:tc>
          <w:tcPr>
            <w:tcW w:w="7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Number of RSUs:</w:t>
            </w:r>
          </w:p>
        </w:tc>
        <w:tc>
          <w:tcPr>
            <w:tcW w:w="7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Vesting Commencement Date:</w:t>
            </w:r>
          </w:p>
        </w:tc>
        <w:tc>
          <w:tcPr>
            <w:tcW w:w="7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Vesting Schedule:</w:t>
            </w:r>
          </w:p>
        </w:tc>
        <w:tc>
          <w:tcPr>
            <w:tcW w:w="782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[To be specified in individual award agreements.] </w:t>
            </w:r>
          </w:p>
        </w:tc>
      </w:tr>
      <w:tr>
        <w:trPr/>
        <w:tc>
          <w:tcPr>
            <w:tcW w:w="23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Distribution Schedule:</w:t>
            </w:r>
          </w:p>
        </w:tc>
        <w:tc>
          <w:tcPr>
            <w:tcW w:w="782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Subject to the terms of the Agreement, the RSUs shall be distributable in accordance with Section 2.2 of the Agreement.</w:t>
            </w:r>
          </w:p>
        </w:tc>
      </w:tr>
      <w:tr>
        <w:trPr/>
        <w:tc>
          <w:tcPr>
            <w:tcW w:w="2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By accepting (whether in writing, electronically or otherwise) the RSUs, Participant agrees to be bound by the terms of this Grant Notice, the Plan and the Agreement. Participant has reviewed the Plan, this Grant Notice and the Agreement in their entirety, has had an opportunity to obtain the advice of counsel prior to executing this Grant Notice and fully understands all provisions of the Plan, this Grant Notice and the Agreement. Participant hereby agrees to accept as binding, conclusive and final all decisions or interpretations of the Administrator upon any questions arising under the Plan, this Grant Notice or the Agreement.</w:t>
      </w:r>
    </w:p>
    <w:tbl>
      <w:tblPr>
        <w:tblW w:w="4955" w:type="dxa"/>
        <w:jc w:val="left"/>
        <w:tblInd w:w="0" w:type="dxa"/>
        <w:tblLayout w:type="fixed"/>
        <w:tblCellMar>
          <w:top w:w="28" w:type="dxa"/>
          <w:left w:w="28" w:type="dxa"/>
          <w:bottom w:w="28" w:type="dxa"/>
          <w:right w:w="28" w:type="dxa"/>
        </w:tblCellMar>
      </w:tblPr>
      <w:tblGrid>
        <w:gridCol w:w="410"/>
        <w:gridCol w:w="360"/>
        <w:gridCol w:w="360"/>
        <w:gridCol w:w="360"/>
        <w:gridCol w:w="360"/>
        <w:gridCol w:w="360"/>
        <w:gridCol w:w="360"/>
        <w:gridCol w:w="360"/>
        <w:gridCol w:w="364"/>
        <w:gridCol w:w="258"/>
        <w:gridCol w:w="258"/>
        <w:gridCol w:w="258"/>
        <w:gridCol w:w="258"/>
        <w:gridCol w:w="258"/>
        <w:gridCol w:w="371"/>
      </w:tblGrid>
      <w:tr>
        <w:trPr/>
        <w:tc>
          <w:tcPr>
            <w:tcW w:w="41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r>
      <w:tr>
        <w:trPr/>
        <w:tc>
          <w:tcPr>
            <w:tcW w:w="329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OPENDOOR TECHNOLOGIES INC.</w:t>
            </w:r>
          </w:p>
        </w:tc>
        <w:tc>
          <w:tcPr>
            <w:tcW w:w="166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PARTICIPANT</w:t>
            </w:r>
          </w:p>
        </w:tc>
      </w:tr>
      <w:tr>
        <w:trPr/>
        <w:tc>
          <w:tcPr>
            <w:tcW w:w="329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6"/>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Name: </w:t>
            </w:r>
          </w:p>
        </w:tc>
        <w:tc>
          <w:tcPr>
            <w:tcW w:w="10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[Participant Name]</w:t>
            </w:r>
          </w:p>
        </w:tc>
      </w:tr>
      <w:tr>
        <w:trPr/>
        <w:tc>
          <w:tcPr>
            <w:tcW w:w="1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1080"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40"/>
        <w:jc w:val="right"/>
        <w:rPr/>
      </w:pPr>
      <w:r>
        <w:rPr/>
      </w:r>
    </w:p>
    <w:p>
      <w:pPr>
        <w:pStyle w:val="TextBody"/>
        <w:bidi w:val="0"/>
        <w:spacing w:before="240" w:after="240"/>
        <w:jc w:val="center"/>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50520"/>
                <wp:effectExtent l="0" t="0" r="0" b="0"/>
                <wp:wrapNone/>
                <wp:docPr id="56" name="Frame5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EXHIBIT A</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RESTRICTED STOCK UNIT AGREEMENT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Capitalized terms not specifically defined in this Agreement have the meanings specified in the Grant Notice or, if not defined in the Grant Notice, in the Plan.</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ARTICLE I.</w:t>
        <w:br/>
        <w:t>GENERAL</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1.1 </w:t>
      </w:r>
      <w:r>
        <w:rPr>
          <w:rFonts w:ascii="Times New Roman;serif" w:hAnsi="Times New Roman;serif"/>
          <w:b w:val="false"/>
          <w:color w:val="000000"/>
          <w:sz w:val="20"/>
          <w:u w:val="single"/>
        </w:rPr>
        <w:t>Award of RSUs</w:t>
      </w:r>
      <w:r>
        <w:rPr>
          <w:rFonts w:ascii="Times New Roman;serif" w:hAnsi="Times New Roman;serif"/>
          <w:b w:val="false"/>
          <w:color w:val="000000"/>
          <w:sz w:val="20"/>
        </w:rPr>
        <w:t>. The Company has granted the RSUs to Participant effective as of the Grant Date set forth in the Grant Notice (the “</w:t>
      </w:r>
      <w:r>
        <w:rPr>
          <w:rFonts w:ascii="Times New Roman;serif" w:hAnsi="Times New Roman;serif"/>
          <w:b/>
          <w:i/>
          <w:color w:val="000000"/>
          <w:sz w:val="20"/>
        </w:rPr>
        <w:t>Grant Date</w:t>
      </w:r>
      <w:r>
        <w:rPr>
          <w:color w:val="000000"/>
        </w:rPr>
        <w:t>”</w:t>
      </w:r>
      <w:r>
        <w:rPr>
          <w:rFonts w:ascii="Times New Roman;serif" w:hAnsi="Times New Roman;serif"/>
          <w:b w:val="false"/>
          <w:color w:val="000000"/>
          <w:sz w:val="20"/>
        </w:rPr>
        <w:t>). Each RSU represents the right to receive one Share as set forth in this Agreement. Participant will have no right to the distribution of any Shares until the time (if ever) the RSUs have vested.</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1.2 </w:t>
      </w:r>
      <w:r>
        <w:rPr>
          <w:rFonts w:ascii="Times New Roman;serif" w:hAnsi="Times New Roman;serif"/>
          <w:b w:val="false"/>
          <w:color w:val="000000"/>
          <w:sz w:val="20"/>
          <w:u w:val="single"/>
        </w:rPr>
        <w:t>Incorporation of Terms of Plan</w:t>
      </w:r>
      <w:r>
        <w:rPr>
          <w:rFonts w:ascii="Times New Roman;serif" w:hAnsi="Times New Roman;serif"/>
          <w:b w:val="false"/>
          <w:color w:val="000000"/>
          <w:sz w:val="20"/>
        </w:rPr>
        <w:t>. The RSUs are subject to the terms and conditions set forth in this Agreement and the Plan, which is incorporated herein by reference. In the event of any inconsistency between the Plan and this Agreement, the terms of the Plan will control.</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1.3 </w:t>
      </w:r>
      <w:r>
        <w:rPr>
          <w:rFonts w:ascii="Times New Roman;serif" w:hAnsi="Times New Roman;serif"/>
          <w:b w:val="false"/>
          <w:color w:val="000000"/>
          <w:sz w:val="20"/>
          <w:u w:val="single"/>
        </w:rPr>
        <w:t>Unsecured Promise</w:t>
      </w:r>
      <w:r>
        <w:rPr>
          <w:rFonts w:ascii="Times New Roman;serif" w:hAnsi="Times New Roman;serif"/>
          <w:b w:val="false"/>
          <w:color w:val="000000"/>
          <w:sz w:val="20"/>
        </w:rPr>
        <w:t>. The RSUs will at all times prior to settlement represent an unsecured Company obligation payable only from the Company’s general assets.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ARTICLE II.</w:t>
        <w:br/>
        <w:t>VESTING; FORFEITURE AND SETTLEMENT</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2.1 </w:t>
      </w:r>
      <w:r>
        <w:rPr>
          <w:rFonts w:ascii="Times New Roman;serif" w:hAnsi="Times New Roman;serif"/>
          <w:b w:val="false"/>
          <w:color w:val="000000"/>
          <w:sz w:val="20"/>
          <w:u w:val="single"/>
        </w:rPr>
        <w:t>Vesting; Forfeiture</w:t>
      </w:r>
      <w:r>
        <w:rPr>
          <w:rFonts w:ascii="Times New Roman;serif" w:hAnsi="Times New Roman;serif"/>
          <w:b w:val="false"/>
          <w:color w:val="000000"/>
          <w:sz w:val="20"/>
        </w:rPr>
        <w:t>. The RSUs will vest according to the vesting schedule in the Grant Notice except that any fraction of an RSU that would otherwise be vested will be accumulated and will vest only when a whole RSU has accumulated. In the event of Participant’s Termination of Service for any reason, all unvested RSUs will immediately and automatically be cancelled and forfeited, except as otherwise determined by the Administrator or provided in a binding written agreement between Participant and the Company.</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2.2 </w:t>
      </w:r>
      <w:r>
        <w:rPr>
          <w:rFonts w:ascii="Times New Roman;serif" w:hAnsi="Times New Roman;serif"/>
          <w:b w:val="false"/>
          <w:color w:val="000000"/>
          <w:sz w:val="20"/>
          <w:u w:val="single"/>
        </w:rPr>
        <w:t>Settlement</w:t>
      </w:r>
      <w:r>
        <w:rPr>
          <w:rFonts w:ascii="Times New Roman;serif" w:hAnsi="Times New Roman;serif"/>
          <w:b w:val="false"/>
          <w:color w:val="000000"/>
          <w:sz w:val="20"/>
        </w:rPr>
        <w:t>.</w:t>
      </w:r>
    </w:p>
    <w:p>
      <w:pPr>
        <w:pStyle w:val="TextBody"/>
        <w:bidi w:val="0"/>
        <w:spacing w:lineRule="auto" w:line="288" w:before="0" w:after="240"/>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(a) Except as provided in Section 2.2(b), the RSUs will be paid in Shares as soon as administratively practicable after the vesting of the applicable RSU, but in no event later than the March 15 of the year following the year in which the RSU’s vesting date occurs.</w:t>
      </w:r>
    </w:p>
    <w:p>
      <w:pPr>
        <w:pStyle w:val="TextBody"/>
        <w:bidi w:val="0"/>
        <w:spacing w:lineRule="auto" w:line="288" w:before="0" w:after="240"/>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(b) If Participant makes a valid deferral election within the time period specified by the Company in the deferral election form provided by the Company, then Participant may elect to change the timing of receipt of Shares otherwise distributable under Section 2.2(a). To the extent a valid deferral election is made by Participant, Participant’s RSUs shall be settled by delivery of whole Shares upon the earliest to occur of the following events:</w:t>
      </w:r>
    </w:p>
    <w:p>
      <w:pPr>
        <w:pStyle w:val="TextBody"/>
        <w:bidi w:val="0"/>
        <w:spacing w:lineRule="auto" w:line="288" w:before="0" w:after="240"/>
        <w:ind w:left="0" w:right="0" w:firstLine="1440"/>
        <w:jc w:val="both"/>
        <w:rPr/>
      </w:pPr>
      <w:r>
        <w:rPr>
          <w:rFonts w:ascii="Times New Roman;serif" w:hAnsi="Times New Roman;serif"/>
          <w:b w:val="false"/>
          <w:color w:val="000000"/>
          <w:sz w:val="20"/>
        </w:rPr>
        <w:t>(i)    Within thirty (30) days following the date of Participant’s “</w:t>
      </w:r>
      <w:r>
        <w:rPr>
          <w:rFonts w:ascii="Times New Roman;serif" w:hAnsi="Times New Roman;serif"/>
          <w:b/>
          <w:i/>
          <w:color w:val="000000"/>
          <w:sz w:val="20"/>
        </w:rPr>
        <w:t>Separation from Service</w:t>
      </w:r>
      <w:r>
        <w:rPr>
          <w:rFonts w:ascii="Times New Roman;serif" w:hAnsi="Times New Roman;serif"/>
          <w:b w:val="false"/>
          <w:color w:val="000000"/>
          <w:sz w:val="20"/>
        </w:rPr>
        <w:t>.” For purposes of this Agreement, Participant's “</w:t>
      </w:r>
      <w:r>
        <w:rPr>
          <w:rFonts w:ascii="Times New Roman;serif" w:hAnsi="Times New Roman;serif"/>
          <w:b/>
          <w:i/>
          <w:color w:val="000000"/>
          <w:sz w:val="20"/>
        </w:rPr>
        <w:t>Separation from Service</w:t>
      </w:r>
      <w:r>
        <w:rPr>
          <w:color w:val="000000"/>
        </w:rPr>
        <w:t xml:space="preserve">” </w:t>
      </w:r>
      <w:r>
        <w:rPr>
          <w:rFonts w:ascii="Times New Roman;serif" w:hAnsi="Times New Roman;serif"/>
          <w:b w:val="false"/>
          <w:color w:val="000000"/>
          <w:sz w:val="20"/>
        </w:rPr>
        <w:t>shall mean Participant’s “separation from service” from the Company (within the meaning of Section 409A(a)(2)(A)(i) of the Code and Treasury Regulation Section 1.409A-1(h)). Notwithstanding anything to the contrary in this Agreement, no RSUs shall be distributed or paid to Participant during the six-month period following Participant’s Separation from Service if the Company determines that paying such amounts at the time or times indicated in this Agreement would be a prohibited distribution under Section 409A(a)(2)(B)(i) of the Code. If the distribution or payment of any of Participant’s RSUs is delayed as a result of the previous sentence, then on the first business day following the end of such six-month period (or such earlier date upon which such amount can be paid under Section 409A without resulting in a prohibited distribution, including as a result of Participant’s death), such RSUs shall be distributed in Shares;</w:t>
      </w:r>
    </w:p>
    <w:p>
      <w:pPr>
        <w:pStyle w:val="TextBody"/>
        <w:bidi w:val="0"/>
        <w:spacing w:lineRule="auto" w:line="288" w:before="0" w:after="240"/>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(ii)    Within thirty (30) days following the date of Participant's death;</w:t>
      </w:r>
    </w:p>
    <w:p>
      <w:pPr>
        <w:pStyle w:val="TextBody"/>
        <w:bidi w:val="0"/>
        <w:spacing w:before="0" w:after="0"/>
        <w:jc w:val="righ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50520"/>
                <wp:effectExtent l="0" t="0" r="0" b="0"/>
                <wp:wrapNone/>
                <wp:docPr id="57" name="Frame5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(iii)    Within thirty (30) days following the date of Participant's “disability” (as defined in Treasury Regulation §1.409A-1(a)(5)));</w:t>
      </w:r>
    </w:p>
    <w:p>
      <w:pPr>
        <w:pStyle w:val="TextBody"/>
        <w:bidi w:val="0"/>
        <w:spacing w:lineRule="auto" w:line="288" w:before="0" w:after="240"/>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(iv)    Within thirty (30) days following the date of the occurrence of a Change in Control, but only if such transaction or event constitutes a “change in control event,” as defined in Treasury Regulation Section 1.409A-3(i)(5) (and any distribution of Shares shall occur immediately prior to the Change in Control); or</w:t>
      </w:r>
    </w:p>
    <w:p>
      <w:pPr>
        <w:pStyle w:val="TextBody"/>
        <w:bidi w:val="0"/>
        <w:spacing w:lineRule="auto" w:line="288" w:before="0" w:after="240"/>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(v)    If Participant has elected a fixed date distribution in his or her deferral election form, during the calendar year specified in Participant’s deferral election form, if any, for such fixed date distribution (and, for the avoidance of doubt, if Participant has not elected a fixed date distribution in Participant's deferral election form, this clause (v) shall not apply).</w:t>
      </w:r>
    </w:p>
    <w:p>
      <w:pPr>
        <w:pStyle w:val="TextBody"/>
        <w:bidi w:val="0"/>
        <w:spacing w:lineRule="auto" w:line="288" w:before="0" w:after="240"/>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Any deferral election made by Participant pursuant to this Section 2.2(b) must comply with the requirements of Section 409A as well as any Plan rules on deferrals and must be made on a form approved by the Company. To the extent made, any such deferral election will be incorporated herein by this reference. Neither the time nor form of distribution of Shares with respect to the RSUs may be changed, except as may be permitted by the Administrator in accordance with the Plan and Section 409A. Notwithstanding the foregoing, subject to Section 2.2(b), the Company may delay any payment under this Agreement that the Company reasonably determines would violate Applicable Law until the earliest date the Company reasonably determines the making of the payment will not cause such a violation (in accordance with Treasury Regulation Section 1.409A-2(b)(7)(ii)); provided the Company reasonably believes the delay will not result in the imposition of excise taxes under Section 409A.</w:t>
      </w:r>
    </w:p>
    <w:p>
      <w:pPr>
        <w:pStyle w:val="TextBody"/>
        <w:bidi w:val="0"/>
        <w:spacing w:lineRule="auto" w:line="288" w:before="0" w:after="240"/>
        <w:ind w:left="0" w:right="0" w:firstLine="1440"/>
        <w:jc w:val="both"/>
        <w:rPr/>
      </w:pPr>
      <w:r>
        <w:rPr>
          <w:rFonts w:ascii="Times New Roman;serif" w:hAnsi="Times New Roman;serif"/>
          <w:b w:val="false"/>
          <w:color w:val="000000"/>
          <w:sz w:val="20"/>
        </w:rPr>
        <w:t xml:space="preserve">2.3 </w:t>
      </w:r>
      <w:r>
        <w:rPr>
          <w:rFonts w:ascii="Times New Roman;serif" w:hAnsi="Times New Roman;serif"/>
          <w:b w:val="false"/>
          <w:color w:val="000000"/>
          <w:sz w:val="20"/>
          <w:u w:val="single"/>
        </w:rPr>
        <w:t>Section 409A</w:t>
      </w:r>
      <w:r>
        <w:rPr>
          <w:rFonts w:ascii="Times New Roman;serif" w:hAnsi="Times New Roman;serif"/>
          <w:b w:val="false"/>
          <w:color w:val="000000"/>
          <w:sz w:val="20"/>
        </w:rPr>
        <w:t>. It is the intent of this Agreement that it and all payments and benefits hereunder be exempt from, or comply with, the requirements of Section 409A so that none of the RSUs provided under this Agreement or Shares issuable thereunder will be subject to the additional tax imposed under Section 409A, and any ambiguities herein will be interpreted to be so exempt or so comply. Each payment payable under this Agreement is intended to constitute a separate payment for purposes of U.S. Treasury Regulation Section 1.409A-2(b)(2). Unless a valid deferral election is made by the Participant pursuant to Section 2.2(b) above, this Agreement is not intended to provide for any deferral of compensation subject to Section 409A.</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ARTICLE III.</w:t>
        <w:br/>
        <w:t>TAXATION AND TAX WITHHOLDING</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3.1 </w:t>
      </w:r>
      <w:r>
        <w:rPr>
          <w:rFonts w:ascii="Times New Roman;serif" w:hAnsi="Times New Roman;serif"/>
          <w:b w:val="false"/>
          <w:color w:val="000000"/>
          <w:sz w:val="20"/>
          <w:u w:val="single"/>
        </w:rPr>
        <w:t>Representation</w:t>
      </w:r>
      <w:r>
        <w:rPr>
          <w:rFonts w:ascii="Times New Roman;serif" w:hAnsi="Times New Roman;serif"/>
          <w:b w:val="false"/>
          <w:color w:val="000000"/>
          <w:sz w:val="20"/>
        </w:rPr>
        <w:t>. Participant represents to the Company that Participant has reviewed with Participant’s own tax advisors the tax consequences of this Award and the transactions contemplated by the Grant Notice and this Agreement. Participant is relying solely on such advisors and not on any statements or representations of the Company or any of its agents.</w:t>
      </w:r>
    </w:p>
    <w:p>
      <w:pPr>
        <w:pStyle w:val="TextBody"/>
        <w:bidi w:val="0"/>
        <w:spacing w:lineRule="auto" w:line="288" w:before="240" w:after="240"/>
        <w:ind w:left="0" w:right="0" w:firstLine="720"/>
        <w:jc w:val="both"/>
        <w:rPr/>
      </w:pPr>
      <w:r>
        <w:rPr>
          <w:rFonts w:ascii="Times New Roman;serif" w:hAnsi="Times New Roman;serif"/>
          <w:b w:val="false"/>
          <w:color w:val="000000"/>
          <w:sz w:val="20"/>
        </w:rPr>
        <w:t xml:space="preserve">3.2 </w:t>
      </w:r>
      <w:r>
        <w:rPr>
          <w:rFonts w:ascii="Times New Roman;serif" w:hAnsi="Times New Roman;serif"/>
          <w:b w:val="false"/>
          <w:color w:val="000000"/>
          <w:sz w:val="20"/>
          <w:u w:val="single"/>
        </w:rPr>
        <w:t>Tax Withholding</w:t>
      </w:r>
      <w:r>
        <w:rPr>
          <w:rFonts w:ascii="Times New Roman;serif" w:hAnsi="Times New Roman;serif"/>
          <w:b w:val="false"/>
          <w:color w:val="000000"/>
          <w:sz w:val="20"/>
        </w:rPr>
        <w:t>.</w:t>
      </w:r>
    </w:p>
    <w:p>
      <w:pPr>
        <w:pStyle w:val="TextBody"/>
        <w:bidi w:val="0"/>
        <w:spacing w:lineRule="auto" w:line="288" w:before="0" w:after="240"/>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(a) Participant must pay the Company, or make provision satisfactory to the Administrator for payment of, any taxes required by Applicable Law to be withheld in connection with such Participant’s Awards by the date of the event creating the tax liability. In this regard, Participant authorizes the Company, or their respective agents, at their discretion, to satisfy their withholding obligations with regard to the RSUs by any of the methods set forth in Section 9.5 of the Plan.</w:t>
      </w:r>
    </w:p>
    <w:p>
      <w:pPr>
        <w:pStyle w:val="TextBody"/>
        <w:bidi w:val="0"/>
        <w:spacing w:lineRule="auto" w:line="288" w:before="0" w:after="240"/>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(b) Participant acknowledges that Participant is ultimately liable and responsible for all taxes owed in connection with the RSUs, regardless of any action the Company or any Subsidiary takes with respect to any tax withholding obligations that arise in connection with the RSUs. Neither the Company nor any Subsidiary makes any representation or undertaking regarding the treatment of any tax withholding in connection with the awarding, vesting or payment of the RSUs or the subsequent sale of Shares. The Company and its Subsidiaries do not commit and are under no obligation to structure the RSUs to reduce or eliminate Participant’s tax liability.</w:t>
      </w:r>
    </w:p>
    <w:p>
      <w:pPr>
        <w:pStyle w:val="TextBody"/>
        <w:bidi w:val="0"/>
        <w:spacing w:before="0" w:after="0"/>
        <w:jc w:val="righ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50520"/>
                <wp:effectExtent l="0" t="0" r="0" b="0"/>
                <wp:wrapNone/>
                <wp:docPr id="58" name="Frame5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ARTICLE IV.</w:t>
        <w:br/>
        <w:t>OTHER PROVISIONS</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4.1 </w:t>
      </w:r>
      <w:r>
        <w:rPr>
          <w:rFonts w:ascii="Times New Roman;serif" w:hAnsi="Times New Roman;serif"/>
          <w:b w:val="false"/>
          <w:color w:val="000000"/>
          <w:sz w:val="20"/>
          <w:u w:val="single"/>
        </w:rPr>
        <w:t>Adjustments</w:t>
      </w:r>
      <w:r>
        <w:rPr>
          <w:rFonts w:ascii="Times New Roman;serif" w:hAnsi="Times New Roman;serif"/>
          <w:b w:val="false"/>
          <w:color w:val="000000"/>
          <w:sz w:val="20"/>
        </w:rPr>
        <w:t>. Participant acknowledges that the RSUs, and the Shares subject to the RSUs, are subject to adjustment, modification and termination in certain events as provided in this Agreement and the Plan.</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4.2 </w:t>
      </w:r>
      <w:r>
        <w:rPr>
          <w:rFonts w:ascii="Times New Roman;serif" w:hAnsi="Times New Roman;serif"/>
          <w:b w:val="false"/>
          <w:color w:val="000000"/>
          <w:sz w:val="20"/>
          <w:u w:val="single"/>
        </w:rPr>
        <w:t>Notices</w:t>
      </w:r>
      <w:r>
        <w:rPr>
          <w:rFonts w:ascii="Times New Roman;serif" w:hAnsi="Times New Roman;serif"/>
          <w:b w:val="false"/>
          <w:color w:val="000000"/>
          <w:sz w:val="20"/>
        </w:rPr>
        <w:t>. Any notice to be given under the terms of this Agreement to the Company must be in writing and addressed to the Company in care of the Company’s Secretary at the Company’s principal office or the Secretary’s then-current email address or facsimile number. Any notice to be given under the terms of this Agreement to Participant must be in writing and addressed to Participant (or, if Participant is then deceased, to the Designated Beneficiary) at Participant’s last known mailing address, email address or facsimile number in the Company’s personnel files. By a notice given pursuant to this Section, either party may designate a different address for notices to be given to that party. Any notice will be deemed duly given when actually received, when sent by email, when sent by certified mail (return receipt requested) and deposited with postage prepaid in a post office or branch post office regularly maintained by the United States Postal Service, when delivered by a nationally recognized express shipping company or upon receipt of a facsimile transmission confirmation.</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4.3 </w:t>
      </w:r>
      <w:r>
        <w:rPr>
          <w:rFonts w:ascii="Times New Roman;serif" w:hAnsi="Times New Roman;serif"/>
          <w:b w:val="false"/>
          <w:color w:val="000000"/>
          <w:sz w:val="20"/>
          <w:u w:val="single"/>
        </w:rPr>
        <w:t>Titles</w:t>
      </w:r>
      <w:r>
        <w:rPr>
          <w:rFonts w:ascii="Times New Roman;serif" w:hAnsi="Times New Roman;serif"/>
          <w:b w:val="false"/>
          <w:color w:val="000000"/>
          <w:sz w:val="20"/>
        </w:rPr>
        <w:t>. Titles are provided herein for convenience only and are not to serve as a basis for interpretation or construction of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4.4 </w:t>
      </w:r>
      <w:r>
        <w:rPr>
          <w:rFonts w:ascii="Times New Roman;serif" w:hAnsi="Times New Roman;serif"/>
          <w:b w:val="false"/>
          <w:color w:val="000000"/>
          <w:sz w:val="20"/>
          <w:u w:val="single"/>
        </w:rPr>
        <w:t>Conformity to Securities Laws</w:t>
      </w:r>
      <w:r>
        <w:rPr>
          <w:rFonts w:ascii="Times New Roman;serif" w:hAnsi="Times New Roman;serif"/>
          <w:b w:val="false"/>
          <w:color w:val="000000"/>
          <w:sz w:val="20"/>
        </w:rPr>
        <w:t>. Participant acknowledges that the Plan, the Grant Notice and this Agreement are intended to conform to the extent necessary with all Applicable Laws and, to the extent Applicable Laws permit, will be deemed amended as necessary to conform to Applicable Laws.</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4.5 </w:t>
      </w:r>
      <w:r>
        <w:rPr>
          <w:rFonts w:ascii="Times New Roman;serif" w:hAnsi="Times New Roman;serif"/>
          <w:b w:val="false"/>
          <w:color w:val="000000"/>
          <w:sz w:val="20"/>
          <w:u w:val="single"/>
        </w:rPr>
        <w:t>Successors and Assigns</w:t>
      </w:r>
      <w:r>
        <w:rPr>
          <w:rFonts w:ascii="Times New Roman;serif" w:hAnsi="Times New Roman;serif"/>
          <w:b w:val="false"/>
          <w:color w:val="000000"/>
          <w:sz w:val="20"/>
        </w:rPr>
        <w:t>. The Company may assign any of its rights under this Agreement to single or multiple assignees, and this Agreement will inure to the benefit of the successors and assigns of the Company. Subject to the restrictions on transfer set forth in this Agreement or the Plan, this Agreement will be binding upon and inure to the benefit of the heirs, legatees, legal representatives, successors and assigns of the parties hereto.</w:t>
      </w:r>
    </w:p>
    <w:p>
      <w:pPr>
        <w:pStyle w:val="TextBody"/>
        <w:bidi w:val="0"/>
        <w:spacing w:lineRule="auto" w:line="288" w:before="240" w:after="240"/>
        <w:ind w:left="0" w:right="0" w:firstLine="720"/>
        <w:jc w:val="both"/>
        <w:rPr/>
      </w:pPr>
      <w:r>
        <w:rPr>
          <w:rFonts w:ascii="Times New Roman;serif" w:hAnsi="Times New Roman;serif"/>
          <w:b w:val="false"/>
          <w:color w:val="000000"/>
          <w:sz w:val="20"/>
        </w:rPr>
        <w:t xml:space="preserve">4.6 </w:t>
      </w:r>
      <w:r>
        <w:rPr>
          <w:rFonts w:ascii="Times New Roman;serif" w:hAnsi="Times New Roman;serif"/>
          <w:b w:val="false"/>
          <w:color w:val="000000"/>
          <w:sz w:val="20"/>
          <w:u w:val="single"/>
        </w:rPr>
        <w:t>Limitations Applicable to Section 16 Persons</w:t>
      </w:r>
      <w:r>
        <w:rPr>
          <w:rFonts w:ascii="Times New Roman;serif" w:hAnsi="Times New Roman;serif"/>
          <w:b w:val="false"/>
          <w:color w:val="000000"/>
          <w:sz w:val="20"/>
        </w:rPr>
        <w:t>. Notwithstanding any other provision of the Plan or this Agreement, if Participant is subject to Section 16 of the Exchange Act, the Plan, the Grant Notice, this Agreement and the RSUs will be subject to any additional limitations set forth in any applicable exemptive rule under Section 16 of the Exchange Act (including any amendment to Rule 16b-3) that are requirements for the application of such exemptive rule. To the extent Applicable Laws permit, this Agreement will be deemed amended as necessary to conform to such applicable exemptive rule.</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4.7 </w:t>
      </w:r>
      <w:r>
        <w:rPr>
          <w:rFonts w:ascii="Times New Roman;serif" w:hAnsi="Times New Roman;serif"/>
          <w:b w:val="false"/>
          <w:color w:val="000000"/>
          <w:sz w:val="20"/>
          <w:u w:val="single"/>
        </w:rPr>
        <w:t>Entire Agreement</w:t>
      </w:r>
      <w:r>
        <w:rPr>
          <w:rFonts w:ascii="Times New Roman;serif" w:hAnsi="Times New Roman;serif"/>
          <w:b w:val="false"/>
          <w:color w:val="000000"/>
          <w:sz w:val="20"/>
        </w:rPr>
        <w:t>. The Plan, the Grant Notice, this Agreement (including any exhibit hereto) and any deferral election that is made by Participant pursuant to Section 2.2(b) above constitute the entire agreement of the parties and supersede in their entirety all prior undertakings and agreements of the Company and Participant with respect to the subject matter hereof.</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4.8 </w:t>
      </w:r>
      <w:r>
        <w:rPr>
          <w:rFonts w:ascii="Times New Roman;serif" w:hAnsi="Times New Roman;serif"/>
          <w:b w:val="false"/>
          <w:color w:val="000000"/>
          <w:sz w:val="20"/>
          <w:u w:val="single"/>
        </w:rPr>
        <w:t>Agreement Severable</w:t>
      </w:r>
      <w:r>
        <w:rPr>
          <w:rFonts w:ascii="Times New Roman;serif" w:hAnsi="Times New Roman;serif"/>
          <w:b w:val="false"/>
          <w:color w:val="000000"/>
          <w:sz w:val="20"/>
        </w:rPr>
        <w:t>. In the event that any provision of the Grant Notice or this Agreement is held illegal or invalid, the provision will be severable from, and the illegality or invalidity of the provision will not be construed to have any effect on, the remaining provisions of the Grant Notice or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4.9 </w:t>
      </w:r>
      <w:r>
        <w:rPr>
          <w:rFonts w:ascii="Times New Roman;serif" w:hAnsi="Times New Roman;serif"/>
          <w:b w:val="false"/>
          <w:color w:val="000000"/>
          <w:sz w:val="20"/>
          <w:u w:val="single"/>
        </w:rPr>
        <w:t>Limitation on Participant’s Rights</w:t>
      </w:r>
      <w:r>
        <w:rPr>
          <w:rFonts w:ascii="Times New Roman;serif" w:hAnsi="Times New Roman;serif"/>
          <w:b w:val="false"/>
          <w:color w:val="000000"/>
          <w:sz w:val="20"/>
        </w:rPr>
        <w:t>. Participation in the Plan confers no rights or interests other than as herein provided. This Agreement creates only a contractual obligation on the part of the Company as to amounts payable and may not be construed as creating a trust. Neither the Plan nor any underlying program, in and of itself, has any assets. Participant will have only the rights of a general unsecured creditor of the Company with respect to amounts credited and benefits payable, if any, with respect to the RSUs, and rights no greater than the right to receive the Shares as a general unsecured creditor with respect to the RSUs, as and when settled pursuant to the terms of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4.10 </w:t>
      </w:r>
      <w:r>
        <w:rPr>
          <w:rFonts w:ascii="Times New Roman;serif" w:hAnsi="Times New Roman;serif"/>
          <w:b w:val="false"/>
          <w:color w:val="000000"/>
          <w:sz w:val="20"/>
          <w:u w:val="single"/>
        </w:rPr>
        <w:t>Not a Contract of Employment</w:t>
      </w:r>
      <w:r>
        <w:rPr>
          <w:rFonts w:ascii="Times New Roman;serif" w:hAnsi="Times New Roman;serif"/>
          <w:b w:val="false"/>
          <w:color w:val="000000"/>
          <w:sz w:val="20"/>
        </w:rPr>
        <w:t xml:space="preserve">. Nothing in the Plan, the Grant Notice or this Agreement confers upon Participant any right to continue in the employ or service of the Company or any Subsidiary or interferes with or </w:t>
      </w:r>
    </w:p>
    <w:p>
      <w:pPr>
        <w:pStyle w:val="TextBody"/>
        <w:bidi w:val="0"/>
        <w:spacing w:before="0" w:after="0"/>
        <w:jc w:val="righ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50520"/>
                <wp:effectExtent l="0" t="0" r="0" b="0"/>
                <wp:wrapNone/>
                <wp:docPr id="59" name="Frame5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restricts in any way the rights of the Company and its Subsidiaries, which rights are hereby expressly reserved, to discharge or terminate the services of Participant at any time for any reason whatsoever, with or without cause, except to the extent expressly provided otherwise in a written agreement between the Company or a Subsidiary and Participant.</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4.11 </w:t>
      </w:r>
      <w:r>
        <w:rPr>
          <w:rFonts w:ascii="Times New Roman;serif" w:hAnsi="Times New Roman;serif"/>
          <w:b w:val="false"/>
          <w:color w:val="000000"/>
          <w:sz w:val="20"/>
          <w:u w:val="single"/>
        </w:rPr>
        <w:t>Counterparts</w:t>
      </w:r>
      <w:r>
        <w:rPr>
          <w:rFonts w:ascii="Times New Roman;serif" w:hAnsi="Times New Roman;serif"/>
          <w:b w:val="false"/>
          <w:color w:val="000000"/>
          <w:sz w:val="20"/>
        </w:rPr>
        <w:t>. The Grant Notice may be executed in one or more counterparts, including by way of any electronic signature, subject to Applicable Law, each of which will be deemed an original and all of which together will constitute one instrument.</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4.12 </w:t>
      </w:r>
      <w:r>
        <w:rPr>
          <w:rFonts w:ascii="Times New Roman;serif" w:hAnsi="Times New Roman;serif"/>
          <w:b w:val="false"/>
          <w:color w:val="000000"/>
          <w:sz w:val="20"/>
          <w:u w:val="single"/>
        </w:rPr>
        <w:t>Restrictions</w:t>
      </w:r>
      <w:r>
        <w:rPr>
          <w:rFonts w:ascii="Times New Roman;serif" w:hAnsi="Times New Roman;serif"/>
          <w:b w:val="false"/>
          <w:color w:val="000000"/>
          <w:sz w:val="20"/>
        </w:rPr>
        <w:t>. In the event the Shares are no longer registered with the Securities and Exchange Commission (as determined by the Administrator), any Shares acquired in respect of the RSUs shall be subject to such terms and conditions as the Administrator shall determine, including, without limitation, restrictions on the transferability, repurchase rights, the right of the Company to require that Shares be transferred in the event of certain transactions, rights of first refusal, tag-along rights, bring-along rights, redemption and co-sale rights and voting requirements. Such terms and conditions may be additional to those contained in the Plan and may, as determined by the Administrator, be contained in an exercise notice, securityholders’ agreement or in such other agreement as the Administrator shall determine, in each case in a form determined by the Administrator. The Administrator may condition the issuance of such Shares on the Participant’s consent to such terms and conditions and the Participant’s entering into such agreement or agreements.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 * * *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50520"/>
                <wp:effectExtent l="0" t="0" r="0" b="0"/>
                <wp:wrapNone/>
                <wp:docPr id="60" name="Frame6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45"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before="0" w:after="0"/>
        <w:jc w:val="left"/>
        <w:rPr/>
      </w:pPr>
      <w:r>
        <w:rPr/>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PURSUANT TO EXCHANGE ACT RULES 13a-14(a) AND 15d-14(a)</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Kaz Nejatian, certify that: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Opendoor Technologies Inc.;</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917" w:type="dxa"/>
        <w:jc w:val="left"/>
        <w:tblInd w:w="0" w:type="dxa"/>
        <w:tblLayout w:type="fixed"/>
        <w:tblCellMar>
          <w:top w:w="28" w:type="dxa"/>
          <w:left w:w="28" w:type="dxa"/>
          <w:bottom w:w="28" w:type="dxa"/>
          <w:right w:w="28" w:type="dxa"/>
        </w:tblCellMar>
      </w:tblPr>
      <w:tblGrid>
        <w:gridCol w:w="200"/>
        <w:gridCol w:w="177"/>
        <w:gridCol w:w="178"/>
        <w:gridCol w:w="484"/>
        <w:gridCol w:w="484"/>
        <w:gridCol w:w="486"/>
        <w:gridCol w:w="134"/>
        <w:gridCol w:w="134"/>
        <w:gridCol w:w="136"/>
        <w:gridCol w:w="732"/>
        <w:gridCol w:w="732"/>
        <w:gridCol w:w="104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August 04, 2026</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0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Kaz Nejatian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Kaz Nejatian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45"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before="0" w:after="0"/>
        <w:jc w:val="left"/>
        <w:rPr/>
      </w:pPr>
      <w:r>
        <w:rPr/>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PURSUANT TO EXCHANGE ACT RULES 13a-14(a) AND 15d-14(a)</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Christy Schwartz, certify that: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Opendoor Technologies Inc.;</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6283" w:type="dxa"/>
        <w:jc w:val="left"/>
        <w:tblInd w:w="0" w:type="dxa"/>
        <w:tblLayout w:type="fixed"/>
        <w:tblCellMar>
          <w:top w:w="28" w:type="dxa"/>
          <w:left w:w="28" w:type="dxa"/>
          <w:bottom w:w="28" w:type="dxa"/>
          <w:right w:w="28" w:type="dxa"/>
        </w:tblCellMar>
      </w:tblPr>
      <w:tblGrid>
        <w:gridCol w:w="200"/>
        <w:gridCol w:w="177"/>
        <w:gridCol w:w="178"/>
        <w:gridCol w:w="484"/>
        <w:gridCol w:w="484"/>
        <w:gridCol w:w="486"/>
        <w:gridCol w:w="134"/>
        <w:gridCol w:w="134"/>
        <w:gridCol w:w="136"/>
        <w:gridCol w:w="1131"/>
        <w:gridCol w:w="1131"/>
        <w:gridCol w:w="160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August 04, 2026</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8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Christy Schwartz</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Christy Schwartz</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45"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before="0" w:after="0"/>
        <w:jc w:val="left"/>
        <w:rPr/>
      </w:pPr>
      <w:r>
        <w:rPr/>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CERTIFICATION OF CHIEF EXECUTIVE OFFICER AND CHIEF FINANCIAL OFFICER</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Opendoor Technologies Inc. (the “Company”) for the period ended June 30, 2026 as filed with the Securities and Exchange Commission on the date hereof (the “Report”), the undersigned, Kaz Nejatian, Chief Executive Officer of the Company, and Christy Schwartz, Chief Financial Officer of the Company, each certifies, pursuant to 18 U.S.C. Section 1350, as adopted pursuant to Section 906 of the Sarbanes-Oxley Act of 2002,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tbl>
      <w:tblPr>
        <w:tblW w:w="6282" w:type="dxa"/>
        <w:jc w:val="left"/>
        <w:tblInd w:w="0" w:type="dxa"/>
        <w:tblLayout w:type="fixed"/>
        <w:tblCellMar>
          <w:top w:w="28" w:type="dxa"/>
          <w:left w:w="28" w:type="dxa"/>
          <w:bottom w:w="28" w:type="dxa"/>
          <w:right w:w="28" w:type="dxa"/>
        </w:tblCellMar>
      </w:tblPr>
      <w:tblGrid>
        <w:gridCol w:w="200"/>
        <w:gridCol w:w="177"/>
        <w:gridCol w:w="178"/>
        <w:gridCol w:w="484"/>
        <w:gridCol w:w="484"/>
        <w:gridCol w:w="486"/>
        <w:gridCol w:w="134"/>
        <w:gridCol w:w="134"/>
        <w:gridCol w:w="136"/>
        <w:gridCol w:w="1131"/>
        <w:gridCol w:w="1131"/>
        <w:gridCol w:w="1607"/>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August 04, 2026</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8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Kaz Nejatian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Kaz Nejatian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August 04, 2026</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8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Christy Schwartz</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Christy Schwartz</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Financial and Accounting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01169/000110465920137517/tm2038661d2_ex3-1.htm" TargetMode="External"/><Relationship Id="rId3" Type="http://schemas.openxmlformats.org/officeDocument/2006/relationships/hyperlink" Target="https://www.sec.gov/Archives/edgar/data/1801169/000119312523013575/d386352dex31.htm" TargetMode="External"/><Relationship Id="rId4" Type="http://schemas.openxmlformats.org/officeDocument/2006/relationships/hyperlink" Target="https://www.sec.gov/Archives/edgar/data/1801169/000110465920122215/tm2030455d5_ex4-5.htm" TargetMode="External"/><Relationship Id="rId5" Type="http://schemas.openxmlformats.org/officeDocument/2006/relationships/hyperlink" Target="https://www.sec.gov/Archives/edgar/data/1801169/000180116922000079/exhibit992opendoor-warrant.htm" TargetMode="External"/><Relationship Id="rId6" Type="http://schemas.openxmlformats.org/officeDocument/2006/relationships/hyperlink" Target="https://www.sec.gov/Archives/edgar/data/1801169/000114036125042984/ef20059583_ex4-1.htm" TargetMode="External"/><Relationship Id="rId7" Type="http://schemas.openxmlformats.org/officeDocument/2006/relationships/hyperlink" Target="https://www.sec.gov/Archives/edgar/data/1801169/000114036125019770/ef20049190_ex4-1.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28970</Words>
  <Characters>160505</Characters>
  <CharactersWithSpaces>187432</CharactersWithSpaces>
  <Paragraphs>3584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