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21,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Opendoor Technologies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tbl>
      <w:tblPr>
        <w:tblW w:w="9180" w:type="dxa"/>
        <w:jc w:val="left"/>
        <w:tblInd w:w="0" w:type="dxa"/>
        <w:tblLayout w:type="fixed"/>
        <w:tblCellMar>
          <w:top w:w="0" w:type="dxa"/>
          <w:left w:w="0" w:type="dxa"/>
          <w:bottom w:w="0" w:type="dxa"/>
          <w:right w:w="0" w:type="dxa"/>
        </w:tblCellMar>
      </w:tblPr>
      <w:tblGrid>
        <w:gridCol w:w="3755"/>
        <w:gridCol w:w="60"/>
        <w:gridCol w:w="2300"/>
        <w:gridCol w:w="60"/>
        <w:gridCol w:w="3005"/>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0"/>
              <w:jc w:val="left"/>
              <w:rPr>
                <w:color w:val="000000"/>
              </w:rPr>
            </w:pPr>
            <w:r>
              <w:rPr>
                <w:color w:val="000000"/>
              </w:rPr>
              <w:t> </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001-39253</w:t>
            </w:r>
          </w:p>
        </w:tc>
        <w:tc>
          <w:tcPr>
            <w:tcW w:w="60" w:type="dxa"/>
            <w:tcBorders/>
            <w:vAlign w:val="center"/>
          </w:tcPr>
          <w:p>
            <w:pPr>
              <w:pStyle w:val="TableContents"/>
              <w:bidi w:val="0"/>
              <w:spacing w:before="0" w:after="0"/>
              <w:jc w:val="left"/>
              <w:rPr>
                <w:color w:val="000000"/>
              </w:rPr>
            </w:pPr>
            <w:r>
              <w:rPr>
                <w:color w:val="000000"/>
              </w:rPr>
              <w:t> </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30-1318214</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60" w:type="dxa"/>
            <w:tcBorders/>
            <w:vAlign w:val="center"/>
          </w:tcPr>
          <w:p>
            <w:pPr>
              <w:pStyle w:val="TableContents"/>
              <w:bidi w:val="0"/>
              <w:spacing w:before="0" w:after="0"/>
              <w:jc w:val="left"/>
              <w:rPr>
                <w:color w:val="000000"/>
              </w:rPr>
            </w:pPr>
            <w:r>
              <w:rPr>
                <w:color w:val="000000"/>
              </w:rPr>
              <w:t> </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60" w:type="dxa"/>
            <w:tcBorders/>
            <w:vAlign w:val="center"/>
          </w:tcPr>
          <w:p>
            <w:pPr>
              <w:pStyle w:val="TableContents"/>
              <w:bidi w:val="0"/>
              <w:spacing w:before="0" w:after="0"/>
              <w:jc w:val="left"/>
              <w:rPr>
                <w:color w:val="000000"/>
              </w:rPr>
            </w:pPr>
            <w:r>
              <w:rPr>
                <w:color w:val="000000"/>
              </w:rPr>
              <w:t> </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color w:val="000000"/>
          <w:shd w:fill="FFFFFF" w:val="clear"/>
        </w:rPr>
      </w:pPr>
      <w:r>
        <w:rPr>
          <w:color w:val="000000"/>
          <w:shd w:fill="FFFFFF" w:val="clear"/>
        </w:rPr>
        <w:t> </w:t>
      </w:r>
    </w:p>
    <w:tbl>
      <w:tblPr>
        <w:tblW w:w="4360" w:type="dxa"/>
        <w:jc w:val="left"/>
        <w:tblInd w:w="0" w:type="dxa"/>
        <w:tblLayout w:type="fixed"/>
        <w:tblCellMar>
          <w:top w:w="0" w:type="dxa"/>
          <w:left w:w="0" w:type="dxa"/>
          <w:bottom w:w="0" w:type="dxa"/>
          <w:right w:w="0" w:type="dxa"/>
        </w:tblCellMar>
      </w:tblPr>
      <w:tblGrid>
        <w:gridCol w:w="3380"/>
        <w:gridCol w:w="60"/>
        <w:gridCol w:w="920"/>
      </w:tblGrid>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1295 West Washington Street, Suite 115</w:t>
            </w:r>
          </w:p>
        </w:tc>
        <w:tc>
          <w:tcPr>
            <w:tcW w:w="60" w:type="dxa"/>
            <w:tcBorders/>
            <w:vAlign w:val="center"/>
          </w:tcPr>
          <w:p>
            <w:pPr>
              <w:pStyle w:val="TableContents"/>
              <w:bidi w:val="0"/>
              <w:spacing w:before="0" w:after="0"/>
              <w:jc w:val="left"/>
              <w:rPr>
                <w:color w:val="000000"/>
              </w:rPr>
            </w:pPr>
            <w:r>
              <w:rPr>
                <w:color w:val="000000"/>
              </w:rPr>
              <w:t> </w:t>
            </w:r>
          </w:p>
        </w:tc>
        <w:tc>
          <w:tcPr>
            <w:tcW w:w="92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Tempe, AZ</w:t>
            </w:r>
          </w:p>
        </w:tc>
        <w:tc>
          <w:tcPr>
            <w:tcW w:w="60" w:type="dxa"/>
            <w:tcBorders/>
            <w:vAlign w:val="center"/>
          </w:tcPr>
          <w:p>
            <w:pPr>
              <w:pStyle w:val="TableContents"/>
              <w:bidi w:val="0"/>
              <w:spacing w:before="0" w:after="0"/>
              <w:jc w:val="left"/>
              <w:rPr>
                <w:color w:val="000000"/>
              </w:rPr>
            </w:pPr>
            <w:r>
              <w:rPr>
                <w:color w:val="000000"/>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85288</w:t>
            </w:r>
          </w:p>
        </w:tc>
      </w:tr>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0"/>
              <w:jc w:val="left"/>
              <w:rPr>
                <w:color w:val="000000"/>
              </w:rPr>
            </w:pPr>
            <w:r>
              <w:rPr>
                <w:color w:val="000000"/>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(480) 618-6760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7303"/>
        <w:gridCol w:w="60"/>
        <w:gridCol w:w="813"/>
        <w:gridCol w:w="60"/>
        <w:gridCol w:w="1969"/>
      </w:tblGrid>
      <w:tr>
        <w:trPr/>
        <w:tc>
          <w:tcPr>
            <w:tcW w:w="730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1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96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 per share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K Warrants, each whole warrant exercisable to purchase one share of common stock at an exercise price of $9.00 per warrant</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OPENW</w:t>
            </w:r>
          </w:p>
        </w:tc>
        <w:tc>
          <w:tcPr>
            <w:tcW w:w="60" w:type="dxa"/>
            <w:tcBorders/>
            <w:tcMar>
              <w:bottom w:w="0" w:type="dxa"/>
            </w:tcMar>
            <w:vAlign w:val="center"/>
          </w:tcPr>
          <w:p>
            <w:pPr>
              <w:pStyle w:val="TableContents"/>
              <w:bidi w:val="0"/>
              <w:spacing w:before="0" w:after="283"/>
              <w:jc w:val="left"/>
              <w:rPr/>
            </w:pPr>
            <w:r>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A Warrants, each whole warrant exercisable to purchase one share of common stock at an exercise price of $13.00 per warrant</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OPENL</w:t>
            </w:r>
          </w:p>
        </w:tc>
        <w:tc>
          <w:tcPr>
            <w:tcW w:w="60" w:type="dxa"/>
            <w:tcBorders/>
            <w:tcMar>
              <w:bottom w:w="0" w:type="dxa"/>
            </w:tcMar>
            <w:vAlign w:val="center"/>
          </w:tcPr>
          <w:p>
            <w:pPr>
              <w:pStyle w:val="TableContents"/>
              <w:bidi w:val="0"/>
              <w:spacing w:before="0" w:after="283"/>
              <w:jc w:val="left"/>
              <w:rPr/>
            </w:pPr>
            <w:r>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Z Warrants, each whole warrant exercisable to purchase one share of common stock at an exercise price of $17.00 per warrant</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OPENZ</w:t>
            </w:r>
          </w:p>
        </w:tc>
        <w:tc>
          <w:tcPr>
            <w:tcW w:w="60" w:type="dxa"/>
            <w:tcBorders/>
            <w:tcMar>
              <w:bottom w:w="0" w:type="dxa"/>
            </w:tcMar>
            <w:vAlign w:val="center"/>
          </w:tcPr>
          <w:p>
            <w:pPr>
              <w:pStyle w:val="TableContents"/>
              <w:bidi w:val="0"/>
              <w:spacing w:before="0" w:after="283"/>
              <w:jc w:val="left"/>
              <w:rPr/>
            </w:pPr>
            <w:r>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54"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21, 2026, Opendoor Technologies Inc. (the “Company”) announced that Lucas Matheson will step down as the Company’s President, effective as of the same date (the “Effective Date”).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this transition, Mr. Matheson and the Company executed a transition agreement, dated October 21, 2026 (the “Matheson Transition Agreement”). Pursuant to the Matheson Transition Agreement, Mr. Matheson will continue to be employed with the Company in a non-executive role as an Advisor to the Chief Executive Officer through July 15, 2027, on substantially the same terms and with substantially the same compensation. If Mr. Matheson’s employment terminates on July 15, 2027, or his employment is terminated prior to such date for any reason other than by the Company for cause, Mr. Matheson will be entitled to receive his base salary through July 15, 2027, plus severance under the Company’s Executive Severance Plan.</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is qualified in its entirety by reference to the full text of the Matheson Transition Agreement, a copy of which will be filed as an exhibit to a subsequent periodic report of the Company.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pPr>
      <w:r>
        <w:rPr>
          <w:rFonts w:ascii="Times New Roman" w:hAnsi="Times New Roman"/>
          <w:color w:val="000000"/>
          <w:sz w:val="20"/>
          <w:shd w:fill="FFFFFF" w:val="clear"/>
        </w:rPr>
        <w:t xml:space="preserve">In connection with the transition of the President role, the Company’s Board of Directors (the “Board”) appointed Kaz Nejatian, 44, to serve as the Company’s President, effective as of the Effective Date, in addition to his existing roles as Chief Executive Officer and a member of the Board. Information regarding Mr. Nejatian’s background and certain transactions involving Mr. Nejatian can be found under the headings “Proposal 1 – Election of Directors” and “Certain Relationships and Related Person Transactions” in the Company’s </w:t>
      </w:r>
      <w:hyperlink r:id="rId2">
        <w:r>
          <w:rPr>
            <w:rStyle w:val="InternetLink"/>
          </w:rPr>
          <w:t>definitive proxy statement for the 2026 Annual Meeting of Stockholders</w:t>
        </w:r>
      </w:hyperlink>
      <w:r>
        <w:rPr>
          <w:rFonts w:ascii="Times New Roman" w:hAnsi="Times New Roman"/>
          <w:color w:val="000000"/>
          <w:sz w:val="20"/>
          <w:shd w:fill="FFFFFF" w:val="clear"/>
        </w:rPr>
        <w:t>, filed with the Securities and Exchange Commission on April 28, 2026, which disclosure is incorporated by reference herein. Mr. Nejatian’s compensation is not expected to change in connection with his appointment.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395" w:type="dxa"/>
        <w:jc w:val="left"/>
        <w:tblInd w:w="0" w:type="dxa"/>
        <w:tblLayout w:type="fixed"/>
        <w:tblCellMar>
          <w:top w:w="0" w:type="dxa"/>
          <w:left w:w="0" w:type="dxa"/>
          <w:bottom w:w="0" w:type="dxa"/>
          <w:right w:w="0" w:type="dxa"/>
        </w:tblCellMar>
      </w:tblPr>
      <w:tblGrid>
        <w:gridCol w:w="1910"/>
        <w:gridCol w:w="545"/>
        <w:gridCol w:w="1940"/>
      </w:tblGrid>
      <w:tr>
        <w:trPr/>
        <w:tc>
          <w:tcPr>
            <w:tcW w:w="191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Opendoor Technologies Inc.</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21, 2026</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Kaz Nejatian</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Kaz Nejatian</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01169/000114036126017460/ny20064714x1_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759</Words>
  <Characters>4160</Characters>
  <CharactersWithSpaces>4904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