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39"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3" w:lineRule="exact"/>
        <w:rPr>
          <w:sz w:val="24"/>
          <w:szCs w:val="24"/>
          <w:color w:val="auto"/>
        </w:rPr>
      </w:pPr>
    </w:p>
    <w:p>
      <w:pPr>
        <w:ind w:left="340" w:right="1640" w:hanging="258"/>
        <w:spacing w:after="0" w:line="331" w:lineRule="auto"/>
        <w:tabs>
          <w:tab w:leader="none" w:pos="3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2023</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45" w:lineRule="exact"/>
        <w:rPr>
          <w:sz w:val="24"/>
          <w:szCs w:val="24"/>
          <w:color w:val="auto"/>
        </w:rPr>
      </w:pPr>
    </w:p>
    <w:p>
      <w:pPr>
        <w:ind w:left="340" w:right="1640" w:hanging="265"/>
        <w:spacing w:after="0" w:line="422" w:lineRule="auto"/>
        <w:tabs>
          <w:tab w:leader="none" w:pos="331"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___________ to ____________.</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001-39253</w:t>
      </w:r>
    </w:p>
    <w:p>
      <w:pPr>
        <w:spacing w:after="0" w:line="12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Opendoor Technologies Inc.</w:t>
      </w:r>
    </w:p>
    <w:p>
      <w:pPr>
        <w:sectPr>
          <w:pgSz w:w="11900" w:h="16838" w:orient="portrait"/>
          <w:cols w:equalWidth="0" w:num="1">
            <w:col w:w="11120"/>
          </w:cols>
          <w:pgMar w:left="320" w:top="247" w:right="459" w:bottom="1440" w:gutter="0" w:footer="0" w:header="0"/>
        </w:sectPr>
      </w:pPr>
    </w:p>
    <w:p>
      <w:pPr>
        <w:spacing w:after="0" w:line="303" w:lineRule="exact"/>
        <w:rPr>
          <w:sz w:val="24"/>
          <w:szCs w:val="24"/>
          <w:color w:val="auto"/>
        </w:rPr>
      </w:pPr>
    </w:p>
    <w:p>
      <w:pPr>
        <w:jc w:val="center"/>
        <w:ind w:left="1160"/>
        <w:spacing w:after="0"/>
        <w:rPr>
          <w:sz w:val="20"/>
          <w:szCs w:val="20"/>
          <w:color w:val="auto"/>
        </w:rPr>
      </w:pPr>
      <w:r>
        <w:rPr>
          <w:rFonts w:ascii="Arial" w:cs="Arial" w:eastAsia="Arial" w:hAnsi="Arial"/>
          <w:sz w:val="18"/>
          <w:szCs w:val="18"/>
          <w:b w:val="1"/>
          <w:bCs w:val="1"/>
          <w:color w:val="auto"/>
        </w:rPr>
        <w:t>Delaware</w:t>
      </w:r>
    </w:p>
    <w:p>
      <w:pPr>
        <w:spacing w:after="0" w:line="121" w:lineRule="exact"/>
        <w:rPr>
          <w:sz w:val="24"/>
          <w:szCs w:val="24"/>
          <w:color w:val="auto"/>
        </w:rPr>
      </w:pPr>
    </w:p>
    <w:p>
      <w:pPr>
        <w:jc w:val="both"/>
        <w:ind w:left="1160" w:firstLine="38"/>
        <w:spacing w:after="0" w:line="367" w:lineRule="auto"/>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rPr>
          <w:sz w:val="20"/>
          <w:szCs w:val="20"/>
          <w:color w:val="auto"/>
        </w:rPr>
      </w:pPr>
      <w:r>
        <w:rPr>
          <w:rFonts w:ascii="Arial" w:cs="Arial" w:eastAsia="Arial" w:hAnsi="Arial"/>
          <w:sz w:val="18"/>
          <w:szCs w:val="18"/>
          <w:color w:val="auto"/>
        </w:rPr>
        <w:t>(Exact name of registrant as specified in its charter)</w:t>
      </w:r>
    </w:p>
    <w:p>
      <w:pPr>
        <w:spacing w:after="0" w:line="43" w:lineRule="exact"/>
        <w:rPr>
          <w:sz w:val="24"/>
          <w:szCs w:val="24"/>
          <w:color w:val="auto"/>
        </w:rPr>
      </w:pPr>
    </w:p>
    <w:p>
      <w:pPr>
        <w:jc w:val="center"/>
        <w:ind w:left="-3059"/>
        <w:spacing w:after="0"/>
        <w:rPr>
          <w:sz w:val="20"/>
          <w:szCs w:val="20"/>
          <w:color w:val="auto"/>
        </w:rPr>
      </w:pPr>
      <w:r>
        <w:rPr>
          <w:rFonts w:ascii="Arial" w:cs="Arial" w:eastAsia="Arial" w:hAnsi="Arial"/>
          <w:sz w:val="18"/>
          <w:szCs w:val="18"/>
          <w:b w:val="1"/>
          <w:bCs w:val="1"/>
          <w:color w:val="auto"/>
        </w:rPr>
        <w:t>30-1318214</w:t>
      </w:r>
    </w:p>
    <w:p>
      <w:pPr>
        <w:spacing w:after="0" w:line="67" w:lineRule="exact"/>
        <w:rPr>
          <w:sz w:val="24"/>
          <w:szCs w:val="24"/>
          <w:color w:val="auto"/>
        </w:rPr>
      </w:pPr>
    </w:p>
    <w:p>
      <w:pPr>
        <w:jc w:val="center"/>
        <w:ind w:left="-3059"/>
        <w:spacing w:after="0"/>
        <w:rPr>
          <w:sz w:val="20"/>
          <w:szCs w:val="20"/>
          <w:color w:val="auto"/>
        </w:rPr>
      </w:pPr>
      <w:r>
        <w:rPr>
          <w:rFonts w:ascii="Arial" w:cs="Arial" w:eastAsia="Arial" w:hAnsi="Arial"/>
          <w:sz w:val="16"/>
          <w:szCs w:val="16"/>
          <w:color w:val="auto"/>
        </w:rPr>
        <w:t>(I.R.S. Employer Identification No.)</w:t>
      </w:r>
    </w:p>
    <w:p>
      <w:pPr>
        <w:spacing w:after="0" w:line="433" w:lineRule="exact"/>
        <w:rPr>
          <w:sz w:val="24"/>
          <w:szCs w:val="24"/>
          <w:color w:val="auto"/>
        </w:rPr>
      </w:pPr>
    </w:p>
    <w:p>
      <w:pPr>
        <w:sectPr>
          <w:pgSz w:w="11900" w:h="16838" w:orient="portrait"/>
          <w:cols w:equalWidth="0" w:num="2">
            <w:col w:w="3320" w:space="440"/>
            <w:col w:w="7360"/>
          </w:cols>
          <w:pgMar w:left="320" w:top="247" w:right="459" w:bottom="1440" w:gutter="0" w:footer="0" w:header="0"/>
          <w:type w:val="continuous"/>
        </w:sectPr>
      </w:pPr>
    </w:p>
    <w:p>
      <w:pPr>
        <w:ind w:left="540"/>
        <w:spacing w:after="0"/>
        <w:tabs>
          <w:tab w:leader="none" w:pos="2880" w:val="left"/>
        </w:tabs>
        <w:rPr>
          <w:sz w:val="20"/>
          <w:szCs w:val="20"/>
          <w:color w:val="auto"/>
        </w:rPr>
      </w:pPr>
      <w:r>
        <w:rPr>
          <w:rFonts w:ascii="Arial" w:cs="Arial" w:eastAsia="Arial" w:hAnsi="Arial"/>
          <w:sz w:val="18"/>
          <w:szCs w:val="18"/>
          <w:b w:val="1"/>
          <w:bCs w:val="1"/>
          <w:color w:val="auto"/>
        </w:rPr>
        <w:t>410 N. Scottsdale Road,</w:t>
      </w:r>
      <w:r>
        <w:rPr>
          <w:sz w:val="20"/>
          <w:szCs w:val="20"/>
          <w:color w:val="auto"/>
        </w:rPr>
        <w:tab/>
      </w:r>
      <w:r>
        <w:rPr>
          <w:rFonts w:ascii="Arial" w:cs="Arial" w:eastAsia="Arial" w:hAnsi="Arial"/>
          <w:sz w:val="16"/>
          <w:szCs w:val="16"/>
          <w:b w:val="1"/>
          <w:bCs w:val="1"/>
          <w:color w:val="auto"/>
        </w:rPr>
        <w:t>Suite 1600</w:t>
      </w:r>
    </w:p>
    <w:p>
      <w:pPr>
        <w:spacing w:after="0" w:line="63" w:lineRule="exact"/>
        <w:rPr>
          <w:sz w:val="24"/>
          <w:szCs w:val="24"/>
          <w:color w:val="auto"/>
        </w:rPr>
      </w:pPr>
    </w:p>
    <w:p>
      <w:pPr>
        <w:ind w:left="1660"/>
        <w:spacing w:after="0"/>
        <w:tabs>
          <w:tab w:leader="none" w:pos="8960" w:val="left"/>
        </w:tabs>
        <w:rPr>
          <w:sz w:val="20"/>
          <w:szCs w:val="20"/>
          <w:color w:val="auto"/>
        </w:rPr>
      </w:pPr>
      <w:r>
        <w:rPr>
          <w:rFonts w:ascii="Arial" w:cs="Arial" w:eastAsia="Arial" w:hAnsi="Arial"/>
          <w:sz w:val="18"/>
          <w:szCs w:val="18"/>
          <w:b w:val="1"/>
          <w:bCs w:val="1"/>
          <w:color w:val="auto"/>
        </w:rPr>
        <w:t>Tempe, AZ</w:t>
      </w:r>
      <w:r>
        <w:rPr>
          <w:sz w:val="20"/>
          <w:szCs w:val="20"/>
          <w:color w:val="auto"/>
        </w:rPr>
        <w:tab/>
      </w:r>
      <w:r>
        <w:rPr>
          <w:rFonts w:ascii="Arial" w:cs="Arial" w:eastAsia="Arial" w:hAnsi="Arial"/>
          <w:sz w:val="15"/>
          <w:szCs w:val="15"/>
          <w:b w:val="1"/>
          <w:bCs w:val="1"/>
          <w:color w:val="auto"/>
        </w:rPr>
        <w:t>85288</w:t>
      </w:r>
    </w:p>
    <w:p>
      <w:pPr>
        <w:spacing w:after="0" w:line="67" w:lineRule="exact"/>
        <w:rPr>
          <w:sz w:val="24"/>
          <w:szCs w:val="24"/>
          <w:color w:val="auto"/>
        </w:rPr>
      </w:pPr>
    </w:p>
    <w:p>
      <w:pPr>
        <w:ind w:left="780"/>
        <w:spacing w:after="0"/>
        <w:tabs>
          <w:tab w:leader="none" w:pos="8780"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pacing w:after="0" w:line="18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(480) 618-6760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4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59" w:lineRule="exact"/>
        <w:rPr>
          <w:sz w:val="24"/>
          <w:szCs w:val="24"/>
          <w:color w:val="auto"/>
        </w:rPr>
      </w:pPr>
    </w:p>
    <w:p>
      <w:pPr>
        <w:ind w:left="1580"/>
        <w:spacing w:after="0"/>
        <w:tabs>
          <w:tab w:leader="none" w:pos="4880" w:val="left"/>
          <w:tab w:leader="none" w:pos="7280" w:val="left"/>
        </w:tabs>
        <w:rPr>
          <w:sz w:val="20"/>
          <w:szCs w:val="20"/>
          <w:color w:val="auto"/>
        </w:rPr>
      </w:pPr>
      <w:r>
        <w:rPr>
          <w:rFonts w:ascii="Arial" w:cs="Arial" w:eastAsia="Arial" w:hAnsi="Arial"/>
          <w:sz w:val="18"/>
          <w:szCs w:val="18"/>
          <w:b w:val="1"/>
          <w:bCs w:val="1"/>
          <w:color w:val="auto"/>
        </w:rPr>
        <w:t>Title of each class</w:t>
      </w:r>
      <w:r>
        <w:rPr>
          <w:sz w:val="20"/>
          <w:szCs w:val="20"/>
          <w:color w:val="auto"/>
        </w:rPr>
        <w:tab/>
      </w:r>
      <w:r>
        <w:rPr>
          <w:rFonts w:ascii="Arial" w:cs="Arial" w:eastAsia="Arial" w:hAnsi="Arial"/>
          <w:sz w:val="18"/>
          <w:szCs w:val="18"/>
          <w:b w:val="1"/>
          <w:bCs w:val="1"/>
          <w:color w:val="auto"/>
        </w:rPr>
        <w:t>Trading Symbol(s)</w:t>
      </w:r>
      <w:r>
        <w:rPr>
          <w:sz w:val="20"/>
          <w:szCs w:val="20"/>
          <w:color w:val="auto"/>
        </w:rPr>
        <w:tab/>
      </w:r>
      <w:r>
        <w:rPr>
          <w:rFonts w:ascii="Arial" w:cs="Arial" w:eastAsia="Arial" w:hAnsi="Arial"/>
          <w:sz w:val="15"/>
          <w:szCs w:val="15"/>
          <w:b w:val="1"/>
          <w:bCs w:val="1"/>
          <w:color w:val="auto"/>
        </w:rPr>
        <w:t>Name of each exchange on which registered</w:t>
      </w:r>
    </w:p>
    <w:p>
      <w:pPr>
        <w:spacing w:after="0" w:line="67" w:lineRule="exact"/>
        <w:rPr>
          <w:sz w:val="24"/>
          <w:szCs w:val="24"/>
          <w:color w:val="auto"/>
        </w:rPr>
      </w:pPr>
    </w:p>
    <w:p>
      <w:pPr>
        <w:ind w:left="680"/>
        <w:spacing w:after="0"/>
        <w:tabs>
          <w:tab w:leader="none" w:pos="5360" w:val="left"/>
          <w:tab w:leader="none" w:pos="7820" w:val="left"/>
        </w:tabs>
        <w:rPr>
          <w:sz w:val="20"/>
          <w:szCs w:val="20"/>
          <w:color w:val="auto"/>
        </w:rPr>
      </w:pPr>
      <w:r>
        <w:rPr>
          <w:rFonts w:ascii="Arial" w:cs="Arial" w:eastAsia="Arial" w:hAnsi="Arial"/>
          <w:sz w:val="18"/>
          <w:szCs w:val="18"/>
          <w:color w:val="auto"/>
        </w:rPr>
        <w:t>Common stock, $0.0001 par value per share</w:t>
      </w:r>
      <w:r>
        <w:rPr>
          <w:sz w:val="20"/>
          <w:szCs w:val="20"/>
          <w:color w:val="auto"/>
        </w:rPr>
        <w:tab/>
      </w:r>
      <w:r>
        <w:rPr>
          <w:rFonts w:ascii="Arial" w:cs="Arial" w:eastAsia="Arial" w:hAnsi="Arial"/>
          <w:sz w:val="18"/>
          <w:szCs w:val="18"/>
          <w:color w:val="auto"/>
        </w:rPr>
        <w:t>OPEN</w:t>
      </w:r>
      <w:r>
        <w:rPr>
          <w:sz w:val="20"/>
          <w:szCs w:val="20"/>
          <w:color w:val="auto"/>
        </w:rPr>
        <w:tab/>
      </w:r>
      <w:r>
        <w:rPr>
          <w:rFonts w:ascii="Arial" w:cs="Arial" w:eastAsia="Arial" w:hAnsi="Arial"/>
          <w:sz w:val="16"/>
          <w:szCs w:val="16"/>
          <w:color w:val="auto"/>
        </w:rPr>
        <w:t>The Nasdaq Stock Market LLC</w:t>
      </w:r>
    </w:p>
    <w:p>
      <w:pPr>
        <w:spacing w:after="0" w:line="239" w:lineRule="exact"/>
        <w:rPr>
          <w:sz w:val="24"/>
          <w:szCs w:val="24"/>
          <w:color w:val="auto"/>
        </w:rPr>
      </w:pPr>
    </w:p>
    <w:p>
      <w:pPr>
        <w:ind w:right="120"/>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8" w:lineRule="exact"/>
        <w:rPr>
          <w:sz w:val="24"/>
          <w:szCs w:val="24"/>
          <w:color w:val="auto"/>
        </w:rPr>
      </w:pPr>
    </w:p>
    <w:p>
      <w:pPr>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8" w:lineRule="exact"/>
        <w:rPr>
          <w:sz w:val="24"/>
          <w:szCs w:val="24"/>
          <w:color w:val="auto"/>
        </w:rPr>
      </w:pPr>
    </w:p>
    <w:p>
      <w:pPr>
        <w:ind w:right="2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5"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31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420"/>
              <w:spacing w:after="0"/>
              <w:rPr>
                <w:sz w:val="20"/>
                <w:szCs w:val="20"/>
                <w:color w:val="auto"/>
              </w:rPr>
            </w:pPr>
            <w:r>
              <w:rPr>
                <w:rFonts w:ascii="Arial" w:cs="Arial" w:eastAsia="Arial" w:hAnsi="Arial"/>
                <w:sz w:val="18"/>
                <w:szCs w:val="18"/>
                <w:color w:val="auto"/>
              </w:rPr>
              <w:t>Accelerated filer</w:t>
            </w:r>
          </w:p>
        </w:tc>
        <w:tc>
          <w:tcPr>
            <w:tcW w:w="158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3100" w:type="dxa"/>
            <w:vAlign w:val="bottom"/>
          </w:tcPr>
          <w:p>
            <w:pPr>
              <w:spacing w:after="0"/>
              <w:rPr>
                <w:sz w:val="20"/>
                <w:szCs w:val="20"/>
                <w:color w:val="auto"/>
              </w:rPr>
            </w:pPr>
            <w:r>
              <w:rPr>
                <w:rFonts w:ascii="Arial" w:cs="Arial" w:eastAsia="Arial" w:hAnsi="Arial"/>
                <w:sz w:val="18"/>
                <w:szCs w:val="18"/>
                <w:color w:val="auto"/>
              </w:rPr>
              <w:t>Non-accelerated filer</w:t>
            </w:r>
          </w:p>
        </w:tc>
        <w:tc>
          <w:tcPr>
            <w:tcW w:w="2040" w:type="dxa"/>
            <w:vAlign w:val="bottom"/>
          </w:tcPr>
          <w:p>
            <w:pPr>
              <w:ind w:left="148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420"/>
              <w:spacing w:after="0"/>
              <w:rPr>
                <w:sz w:val="20"/>
                <w:szCs w:val="20"/>
                <w:color w:val="auto"/>
              </w:rPr>
            </w:pPr>
            <w:r>
              <w:rPr>
                <w:rFonts w:ascii="Arial" w:cs="Arial" w:eastAsia="Arial" w:hAnsi="Arial"/>
                <w:sz w:val="18"/>
                <w:szCs w:val="18"/>
                <w:color w:val="auto"/>
              </w:rPr>
              <w:t>Smaller reporting company</w:t>
            </w:r>
          </w:p>
        </w:tc>
        <w:tc>
          <w:tcPr>
            <w:tcW w:w="158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780" w:type="dxa"/>
            <w:vAlign w:val="bottom"/>
          </w:tcPr>
          <w:p>
            <w:pPr>
              <w:ind w:left="420"/>
              <w:spacing w:after="0"/>
              <w:rPr>
                <w:sz w:val="20"/>
                <w:szCs w:val="20"/>
                <w:color w:val="auto"/>
              </w:rPr>
            </w:pPr>
            <w:r>
              <w:rPr>
                <w:rFonts w:ascii="Arial" w:cs="Arial" w:eastAsia="Arial" w:hAnsi="Arial"/>
                <w:sz w:val="18"/>
                <w:szCs w:val="18"/>
                <w:color w:val="auto"/>
              </w:rPr>
              <w:t>Emerging growth company</w:t>
            </w:r>
          </w:p>
        </w:tc>
        <w:tc>
          <w:tcPr>
            <w:tcW w:w="158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4" w:lineRule="exact"/>
        <w:rPr>
          <w:sz w:val="24"/>
          <w:szCs w:val="24"/>
          <w:color w:val="auto"/>
        </w:rPr>
      </w:pPr>
    </w:p>
    <w:p>
      <w:pPr>
        <w:ind w:right="4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 w:lineRule="exact"/>
        <w:rPr>
          <w:sz w:val="24"/>
          <w:szCs w:val="24"/>
          <w:color w:val="auto"/>
        </w:rPr>
      </w:pPr>
    </w:p>
    <w:p>
      <w:pPr>
        <w:ind w:right="1960"/>
        <w:spacing w:after="0" w:line="299"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registrant’s common stock outstanding as of October 26, 2023 was approximately 670,031,190.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759460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247" w:right="4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b w:val="1"/>
                <w:bCs w:val="1"/>
                <w:color w:val="auto"/>
              </w:rPr>
              <w:t>Page</w:t>
            </w:r>
          </w:p>
        </w:tc>
      </w:tr>
      <w:tr>
        <w:trPr>
          <w:trHeight w:val="27"/>
        </w:trPr>
        <w:tc>
          <w:tcPr>
            <w:tcW w:w="2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3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3140" w:type="dxa"/>
            <w:vAlign w:val="bottom"/>
            <w:tcBorders>
              <w:bottom w:val="single" w:sz="8" w:color="auto"/>
            </w:tcBorders>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PART I - FINANCIAL INFORMATION</w:t>
            </w:r>
          </w:p>
        </w:tc>
        <w:tc>
          <w:tcPr>
            <w:tcW w:w="7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324"/>
        </w:trPr>
        <w:tc>
          <w:tcPr>
            <w:tcW w:w="20" w:type="dxa"/>
            <w:vAlign w:val="bottom"/>
          </w:tcPr>
          <w:p>
            <w:pPr>
              <w:spacing w:after="0"/>
              <w:rPr>
                <w:sz w:val="24"/>
                <w:szCs w:val="24"/>
                <w:color w:val="auto"/>
              </w:rPr>
            </w:pPr>
          </w:p>
        </w:tc>
        <w:tc>
          <w:tcPr>
            <w:tcW w:w="1060" w:type="dxa"/>
            <w:vAlign w:val="bottom"/>
          </w:tcPr>
          <w:p>
            <w:pPr>
              <w:ind w:left="140"/>
              <w:spacing w:after="0"/>
              <w:rPr>
                <w:sz w:val="20"/>
                <w:szCs w:val="20"/>
                <w:color w:val="auto"/>
              </w:rPr>
            </w:pPr>
            <w:r>
              <w:rPr>
                <w:rFonts w:ascii="Arial" w:cs="Arial" w:eastAsia="Arial" w:hAnsi="Arial"/>
                <w:sz w:val="18"/>
                <w:szCs w:val="18"/>
                <w:color w:val="auto"/>
              </w:rPr>
              <w:t>Item 1.</w:t>
            </w:r>
          </w:p>
        </w:tc>
        <w:tc>
          <w:tcPr>
            <w:tcW w:w="9440" w:type="dxa"/>
            <w:vAlign w:val="bottom"/>
            <w:gridSpan w:val="3"/>
          </w:tcPr>
          <w:p>
            <w:pPr>
              <w:ind w:left="260"/>
              <w:spacing w:after="0"/>
              <w:rPr>
                <w:sz w:val="20"/>
                <w:szCs w:val="20"/>
                <w:color w:val="auto"/>
              </w:rPr>
            </w:pPr>
            <w:r>
              <w:rPr>
                <w:rFonts w:ascii="Arial" w:cs="Arial" w:eastAsia="Arial" w:hAnsi="Arial"/>
                <w:sz w:val="18"/>
                <w:szCs w:val="18"/>
                <w:color w:val="auto"/>
              </w:rPr>
              <w:t>Financial Statements</w:t>
            </w: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944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Condensed Consolidated Balance Sheets</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440" w:type="dxa"/>
            <w:vAlign w:val="bottom"/>
            <w:gridSpan w:val="3"/>
          </w:tcPr>
          <w:p>
            <w:pPr>
              <w:ind w:left="260"/>
              <w:spacing w:after="0"/>
              <w:rPr>
                <w:sz w:val="20"/>
                <w:szCs w:val="20"/>
                <w:color w:val="auto"/>
              </w:rPr>
            </w:pPr>
            <w:r>
              <w:rPr>
                <w:rFonts w:ascii="Arial" w:cs="Arial" w:eastAsia="Arial" w:hAnsi="Arial"/>
                <w:sz w:val="18"/>
                <w:szCs w:val="18"/>
                <w:color w:val="auto"/>
              </w:rPr>
              <w:t>Condensed Consolidated Statements of Operations</w:t>
            </w: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944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Condensed Consolidated Statements of Comprehensive Loss</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440" w:type="dxa"/>
            <w:vAlign w:val="bottom"/>
            <w:gridSpan w:val="3"/>
          </w:tcPr>
          <w:p>
            <w:pPr>
              <w:ind w:left="260"/>
              <w:spacing w:after="0"/>
              <w:rPr>
                <w:sz w:val="20"/>
                <w:szCs w:val="20"/>
                <w:color w:val="auto"/>
              </w:rPr>
            </w:pPr>
            <w:r>
              <w:rPr>
                <w:rFonts w:ascii="Arial" w:cs="Arial" w:eastAsia="Arial" w:hAnsi="Arial"/>
                <w:sz w:val="18"/>
                <w:szCs w:val="18"/>
                <w:color w:val="auto"/>
              </w:rPr>
              <w:t>Condensed Consolidated Statements of Changes in Shareholders’ Equity</w:t>
            </w: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944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Condensed Consolidated Statements of Cash Flows</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440" w:type="dxa"/>
            <w:vAlign w:val="bottom"/>
            <w:gridSpan w:val="3"/>
          </w:tcPr>
          <w:p>
            <w:pPr>
              <w:ind w:left="260"/>
              <w:spacing w:after="0"/>
              <w:rPr>
                <w:sz w:val="20"/>
                <w:szCs w:val="20"/>
                <w:color w:val="auto"/>
              </w:rPr>
            </w:pPr>
            <w:r>
              <w:rPr>
                <w:rFonts w:ascii="Arial" w:cs="Arial" w:eastAsia="Arial" w:hAnsi="Arial"/>
                <w:sz w:val="18"/>
                <w:szCs w:val="18"/>
                <w:color w:val="auto"/>
              </w:rPr>
              <w:t>Notes to Condensed Consolidated Financial Statements</w:t>
            </w: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Item 2.</w:t>
            </w:r>
          </w:p>
        </w:tc>
        <w:tc>
          <w:tcPr>
            <w:tcW w:w="944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20" w:type="dxa"/>
            <w:vAlign w:val="bottom"/>
          </w:tcPr>
          <w:p>
            <w:pPr>
              <w:spacing w:after="0"/>
              <w:rPr>
                <w:sz w:val="21"/>
                <w:szCs w:val="21"/>
                <w:color w:val="auto"/>
              </w:rPr>
            </w:pPr>
          </w:p>
        </w:tc>
        <w:tc>
          <w:tcPr>
            <w:tcW w:w="1060" w:type="dxa"/>
            <w:vAlign w:val="bottom"/>
          </w:tcPr>
          <w:p>
            <w:pPr>
              <w:ind w:left="140"/>
              <w:spacing w:after="0"/>
              <w:rPr>
                <w:sz w:val="20"/>
                <w:szCs w:val="20"/>
                <w:color w:val="auto"/>
              </w:rPr>
            </w:pPr>
            <w:r>
              <w:rPr>
                <w:rFonts w:ascii="Arial" w:cs="Arial" w:eastAsia="Arial" w:hAnsi="Arial"/>
                <w:sz w:val="18"/>
                <w:szCs w:val="18"/>
                <w:color w:val="auto"/>
              </w:rPr>
              <w:t>Item 3.</w:t>
            </w:r>
          </w:p>
        </w:tc>
        <w:tc>
          <w:tcPr>
            <w:tcW w:w="9440" w:type="dxa"/>
            <w:vAlign w:val="bottom"/>
            <w:gridSpan w:val="3"/>
          </w:tcPr>
          <w:p>
            <w:pPr>
              <w:ind w:left="260"/>
              <w:spacing w:after="0"/>
              <w:rPr>
                <w:sz w:val="20"/>
                <w:szCs w:val="20"/>
                <w:color w:val="auto"/>
              </w:rPr>
            </w:pPr>
            <w:r>
              <w:rPr>
                <w:rFonts w:ascii="Arial" w:cs="Arial" w:eastAsia="Arial" w:hAnsi="Arial"/>
                <w:sz w:val="18"/>
                <w:szCs w:val="18"/>
                <w:color w:val="auto"/>
              </w:rPr>
              <w:t>Quantitative and Qualitative Disclosures About Market Risk</w:t>
            </w:r>
          </w:p>
        </w:tc>
        <w:tc>
          <w:tcPr>
            <w:tcW w:w="7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Item 4.</w:t>
            </w:r>
          </w:p>
        </w:tc>
        <w:tc>
          <w:tcPr>
            <w:tcW w:w="944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Controls and Procedures</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57"/>
        </w:trPr>
        <w:tc>
          <w:tcPr>
            <w:tcW w:w="20" w:type="dxa"/>
            <w:vAlign w:val="bottom"/>
          </w:tcPr>
          <w:p>
            <w:pPr>
              <w:spacing w:after="0"/>
              <w:rPr>
                <w:sz w:val="22"/>
                <w:szCs w:val="22"/>
                <w:color w:val="auto"/>
              </w:rPr>
            </w:pPr>
          </w:p>
        </w:tc>
        <w:tc>
          <w:tcPr>
            <w:tcW w:w="2840" w:type="dxa"/>
            <w:vAlign w:val="bottom"/>
            <w:gridSpan w:val="2"/>
          </w:tcPr>
          <w:p>
            <w:pPr>
              <w:spacing w:after="0"/>
              <w:rPr>
                <w:sz w:val="22"/>
                <w:szCs w:val="22"/>
                <w:color w:val="auto"/>
              </w:rPr>
            </w:pPr>
          </w:p>
        </w:tc>
        <w:tc>
          <w:tcPr>
            <w:tcW w:w="300" w:type="dxa"/>
            <w:vAlign w:val="bottom"/>
          </w:tcPr>
          <w:p>
            <w:pPr>
              <w:spacing w:after="0"/>
              <w:rPr>
                <w:sz w:val="22"/>
                <w:szCs w:val="22"/>
                <w:color w:val="auto"/>
              </w:rPr>
            </w:pPr>
          </w:p>
        </w:tc>
        <w:tc>
          <w:tcPr>
            <w:tcW w:w="736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28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PART II - OTHER INFORMATION</w:t>
            </w:r>
          </w:p>
        </w:tc>
        <w:tc>
          <w:tcPr>
            <w:tcW w:w="7660" w:type="dxa"/>
            <w:vAlign w:val="bottom"/>
            <w:tcBorders>
              <w:bottom w:val="single" w:sz="8" w:color="CCEEFF"/>
            </w:tcBorders>
            <w:gridSpan w:val="2"/>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1060" w:type="dxa"/>
            <w:vAlign w:val="bottom"/>
          </w:tcPr>
          <w:p>
            <w:pPr>
              <w:ind w:left="140"/>
              <w:spacing w:after="0"/>
              <w:rPr>
                <w:sz w:val="20"/>
                <w:szCs w:val="20"/>
                <w:color w:val="auto"/>
              </w:rPr>
            </w:pPr>
            <w:r>
              <w:rPr>
                <w:rFonts w:ascii="Arial" w:cs="Arial" w:eastAsia="Arial" w:hAnsi="Arial"/>
                <w:sz w:val="18"/>
                <w:szCs w:val="18"/>
                <w:color w:val="auto"/>
              </w:rPr>
              <w:t>Item 1.</w:t>
            </w:r>
          </w:p>
        </w:tc>
        <w:tc>
          <w:tcPr>
            <w:tcW w:w="9440" w:type="dxa"/>
            <w:vAlign w:val="bottom"/>
            <w:gridSpan w:val="3"/>
          </w:tcPr>
          <w:p>
            <w:pPr>
              <w:ind w:left="260"/>
              <w:spacing w:after="0"/>
              <w:rPr>
                <w:sz w:val="20"/>
                <w:szCs w:val="20"/>
                <w:color w:val="auto"/>
              </w:rPr>
            </w:pPr>
            <w:r>
              <w:rPr>
                <w:rFonts w:ascii="Arial" w:cs="Arial" w:eastAsia="Arial" w:hAnsi="Arial"/>
                <w:sz w:val="18"/>
                <w:szCs w:val="18"/>
                <w:color w:val="auto"/>
              </w:rPr>
              <w:t>Legal Proceedings</w:t>
            </w:r>
          </w:p>
        </w:tc>
        <w:tc>
          <w:tcPr>
            <w:tcW w:w="7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Item 1A.</w:t>
            </w:r>
          </w:p>
        </w:tc>
        <w:tc>
          <w:tcPr>
            <w:tcW w:w="944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Risk Factors</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20" w:type="dxa"/>
            <w:vAlign w:val="bottom"/>
          </w:tcPr>
          <w:p>
            <w:pPr>
              <w:spacing w:after="0"/>
              <w:rPr>
                <w:sz w:val="21"/>
                <w:szCs w:val="21"/>
                <w:color w:val="auto"/>
              </w:rPr>
            </w:pPr>
          </w:p>
        </w:tc>
        <w:tc>
          <w:tcPr>
            <w:tcW w:w="1060" w:type="dxa"/>
            <w:vAlign w:val="bottom"/>
          </w:tcPr>
          <w:p>
            <w:pPr>
              <w:ind w:left="140"/>
              <w:spacing w:after="0"/>
              <w:rPr>
                <w:sz w:val="20"/>
                <w:szCs w:val="20"/>
                <w:color w:val="auto"/>
              </w:rPr>
            </w:pPr>
            <w:r>
              <w:rPr>
                <w:rFonts w:ascii="Arial" w:cs="Arial" w:eastAsia="Arial" w:hAnsi="Arial"/>
                <w:sz w:val="18"/>
                <w:szCs w:val="18"/>
                <w:color w:val="auto"/>
              </w:rPr>
              <w:t>Item 2.</w:t>
            </w:r>
          </w:p>
        </w:tc>
        <w:tc>
          <w:tcPr>
            <w:tcW w:w="9440" w:type="dxa"/>
            <w:vAlign w:val="bottom"/>
            <w:gridSpan w:val="3"/>
          </w:tcPr>
          <w:p>
            <w:pPr>
              <w:ind w:left="260"/>
              <w:spacing w:after="0"/>
              <w:rPr>
                <w:sz w:val="20"/>
                <w:szCs w:val="20"/>
                <w:color w:val="auto"/>
              </w:rPr>
            </w:pPr>
            <w:r>
              <w:rPr>
                <w:rFonts w:ascii="Arial" w:cs="Arial" w:eastAsia="Arial" w:hAnsi="Arial"/>
                <w:sz w:val="18"/>
                <w:szCs w:val="18"/>
                <w:color w:val="auto"/>
              </w:rPr>
              <w:t>Unregistered Sales of Equity Securities and Use of Proceeds</w:t>
            </w:r>
          </w:p>
        </w:tc>
        <w:tc>
          <w:tcPr>
            <w:tcW w:w="7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Item 3.</w:t>
            </w:r>
          </w:p>
        </w:tc>
        <w:tc>
          <w:tcPr>
            <w:tcW w:w="944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Defaults Upon Senior Securities</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20" w:type="dxa"/>
            <w:vAlign w:val="bottom"/>
          </w:tcPr>
          <w:p>
            <w:pPr>
              <w:spacing w:after="0"/>
              <w:rPr>
                <w:sz w:val="21"/>
                <w:szCs w:val="21"/>
                <w:color w:val="auto"/>
              </w:rPr>
            </w:pPr>
          </w:p>
        </w:tc>
        <w:tc>
          <w:tcPr>
            <w:tcW w:w="1060" w:type="dxa"/>
            <w:vAlign w:val="bottom"/>
          </w:tcPr>
          <w:p>
            <w:pPr>
              <w:ind w:left="140"/>
              <w:spacing w:after="0"/>
              <w:rPr>
                <w:sz w:val="20"/>
                <w:szCs w:val="20"/>
                <w:color w:val="auto"/>
              </w:rPr>
            </w:pPr>
            <w:r>
              <w:rPr>
                <w:rFonts w:ascii="Arial" w:cs="Arial" w:eastAsia="Arial" w:hAnsi="Arial"/>
                <w:sz w:val="18"/>
                <w:szCs w:val="18"/>
                <w:color w:val="auto"/>
              </w:rPr>
              <w:t>Item 4.</w:t>
            </w:r>
          </w:p>
        </w:tc>
        <w:tc>
          <w:tcPr>
            <w:tcW w:w="9440" w:type="dxa"/>
            <w:vAlign w:val="bottom"/>
            <w:gridSpan w:val="3"/>
          </w:tcPr>
          <w:p>
            <w:pPr>
              <w:ind w:left="260"/>
              <w:spacing w:after="0"/>
              <w:rPr>
                <w:sz w:val="20"/>
                <w:szCs w:val="20"/>
                <w:color w:val="auto"/>
              </w:rPr>
            </w:pPr>
            <w:r>
              <w:rPr>
                <w:rFonts w:ascii="Arial" w:cs="Arial" w:eastAsia="Arial" w:hAnsi="Arial"/>
                <w:sz w:val="18"/>
                <w:szCs w:val="18"/>
                <w:color w:val="auto"/>
              </w:rPr>
              <w:t>Mine Safety Disclosures</w:t>
            </w:r>
          </w:p>
        </w:tc>
        <w:tc>
          <w:tcPr>
            <w:tcW w:w="7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Item 5.</w:t>
            </w:r>
          </w:p>
        </w:tc>
        <w:tc>
          <w:tcPr>
            <w:tcW w:w="944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Other Information</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20" w:type="dxa"/>
            <w:vAlign w:val="bottom"/>
          </w:tcPr>
          <w:p>
            <w:pPr>
              <w:spacing w:after="0"/>
              <w:rPr>
                <w:sz w:val="21"/>
                <w:szCs w:val="21"/>
                <w:color w:val="auto"/>
              </w:rPr>
            </w:pPr>
          </w:p>
        </w:tc>
        <w:tc>
          <w:tcPr>
            <w:tcW w:w="1060" w:type="dxa"/>
            <w:vAlign w:val="bottom"/>
          </w:tcPr>
          <w:p>
            <w:pPr>
              <w:ind w:left="140"/>
              <w:spacing w:after="0"/>
              <w:rPr>
                <w:sz w:val="20"/>
                <w:szCs w:val="20"/>
                <w:color w:val="auto"/>
              </w:rPr>
            </w:pPr>
            <w:r>
              <w:rPr>
                <w:rFonts w:ascii="Arial" w:cs="Arial" w:eastAsia="Arial" w:hAnsi="Arial"/>
                <w:sz w:val="18"/>
                <w:szCs w:val="18"/>
                <w:color w:val="auto"/>
              </w:rPr>
              <w:t>Item 6.</w:t>
            </w:r>
          </w:p>
        </w:tc>
        <w:tc>
          <w:tcPr>
            <w:tcW w:w="9440" w:type="dxa"/>
            <w:vAlign w:val="bottom"/>
            <w:gridSpan w:val="3"/>
          </w:tcPr>
          <w:p>
            <w:pPr>
              <w:ind w:left="260"/>
              <w:spacing w:after="0"/>
              <w:rPr>
                <w:sz w:val="20"/>
                <w:szCs w:val="20"/>
                <w:color w:val="auto"/>
              </w:rPr>
            </w:pPr>
            <w:r>
              <w:rPr>
                <w:rFonts w:ascii="Arial" w:cs="Arial" w:eastAsia="Arial" w:hAnsi="Arial"/>
                <w:sz w:val="18"/>
                <w:szCs w:val="18"/>
                <w:color w:val="auto"/>
              </w:rPr>
              <w:t>Exhibits</w:t>
            </w:r>
          </w:p>
        </w:tc>
        <w:tc>
          <w:tcPr>
            <w:tcW w:w="7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944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Signatures</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1478"/>
        </w:trPr>
        <w:tc>
          <w:tcPr>
            <w:tcW w:w="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3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-2665095</wp:posOffset>
            </wp:positionV>
            <wp:extent cx="667766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7766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-4611370</wp:posOffset>
            </wp:positionV>
            <wp:extent cx="66776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77660" cy="825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40" w:firstLine="405"/>
        <w:spacing w:after="0" w:line="263" w:lineRule="auto"/>
        <w:rPr>
          <w:sz w:val="20"/>
          <w:szCs w:val="20"/>
          <w:color w:val="auto"/>
        </w:rPr>
      </w:pPr>
      <w:r>
        <w:rPr>
          <w:rFonts w:ascii="Arial" w:cs="Arial" w:eastAsia="Arial" w:hAnsi="Arial"/>
          <w:sz w:val="18"/>
          <w:szCs w:val="18"/>
          <w:color w:val="auto"/>
        </w:rPr>
        <w:t>As used in this Quarterly Report on Form 10-Q, unless the context requires otherwise, references to “Opendoor,” the “Company,” “we,” “us,” and “our,” and similar references refer to Opendoor Technologies Inc. and its wholly owned subsidiaries following the Business Combination (as defined herein) and to Opendoor Labs Inc. prior to the Business Combination.</w:t>
      </w:r>
    </w:p>
    <w:p>
      <w:pPr>
        <w:spacing w:after="0" w:line="3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firstLine="405"/>
        <w:spacing w:after="0" w:line="285" w:lineRule="auto"/>
        <w:rPr>
          <w:sz w:val="20"/>
          <w:szCs w:val="20"/>
          <w:color w:val="auto"/>
        </w:rPr>
      </w:pPr>
      <w:r>
        <w:rPr>
          <w:rFonts w:ascii="Arial" w:cs="Arial" w:eastAsia="Arial" w:hAnsi="Arial"/>
          <w:sz w:val="16"/>
          <w:szCs w:val="16"/>
          <w:color w:val="auto"/>
        </w:rPr>
        <w:t>This Quarterly Report on Form 10-Q contains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Quarterly Report on Form 10-Q, including, without limitation, statements regarding: current and future health and stability of the real estate housing market and general economy; volatility of mortgage interest rates and expectations regarding the future shifts in behavior by consumers and partners; the health and status of our financial condition; anticipated future results of operations or financial performance; priorities of the Company to achieve future financial and business goals; our ability to continue to effectively navigate the markets in which it operates; anticipated future and ongoing impacts and benefits of acquisitions, partnership channel expansions, product innovations and other business decisions; health of our balance sheet to weather ongoing market transitions and any expectation to quickly re-scale in the future upon market stabilization; the Company’s ability to adopt an effective approach to manage economic and industry risk, as well as inventory health; our expectations with respect to the future success of our partnerships and our ability to drive significant growth in sales volumes through such partnerships; business strategy and plans, including plans to expand into additional markets; market opportunity and expansion and objectives of management for future operations, including statements regarding the benefits and timing of the roll out of new markets, products, or technology; and the expected diversification of funding sources, are forward-looking statements. When used in this Quarterly Report on Form 10-Q, words such as “anticipate,” “believe,” “contemplate,” “continue,” “could,” “estimate,” “expect,” “forecast,” “future,” “guidance,” “intend,” “may,” “might,” “opportunity,” “plan,” “possible,” “potential,” “predict,” “project,” “should,” “strategy,” “strive,” “target,” “vision,” “will,” or “would,” any negative of these words or other similar terms or expressions may identify forward-looking statements. The absence of these words does not mean that a statement is not forward-looking.</w:t>
      </w:r>
    </w:p>
    <w:p>
      <w:pPr>
        <w:spacing w:after="0" w:line="176" w:lineRule="exact"/>
        <w:rPr>
          <w:sz w:val="20"/>
          <w:szCs w:val="20"/>
          <w:color w:val="auto"/>
        </w:rPr>
      </w:pPr>
    </w:p>
    <w:p>
      <w:pPr>
        <w:ind w:right="60" w:firstLine="405"/>
        <w:spacing w:after="0" w:line="298" w:lineRule="auto"/>
        <w:rPr>
          <w:sz w:val="20"/>
          <w:szCs w:val="20"/>
          <w:color w:val="auto"/>
        </w:rPr>
      </w:pPr>
      <w:r>
        <w:rPr>
          <w:rFonts w:ascii="Arial" w:cs="Arial" w:eastAsia="Arial" w:hAnsi="Arial"/>
          <w:sz w:val="17"/>
          <w:szCs w:val="17"/>
          <w:color w:val="auto"/>
        </w:rPr>
        <w:t>These forward-looking statements are based on information available as of the date of this Quarterly Report on Form 10-Q and current expectations, forecasts and assumptions, which involve a number of judgments, risks and uncertainties, including without limitation, risks related to:</w:t>
      </w:r>
    </w:p>
    <w:p>
      <w:pPr>
        <w:spacing w:after="0" w:line="1" w:lineRule="exact"/>
        <w:rPr>
          <w:sz w:val="20"/>
          <w:szCs w:val="20"/>
          <w:color w:val="auto"/>
        </w:rPr>
      </w:pPr>
    </w:p>
    <w:p>
      <w:pPr>
        <w:ind w:left="660" w:right="40" w:hanging="247"/>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current and future health and stability of the economy, financial conditions and residential housing market, including any extended downturns or slowdowns;</w:t>
      </w:r>
    </w:p>
    <w:p>
      <w:pPr>
        <w:spacing w:after="0" w:line="8" w:lineRule="exact"/>
        <w:rPr>
          <w:rFonts w:ascii="Arial" w:cs="Arial" w:eastAsia="Arial" w:hAnsi="Arial"/>
          <w:sz w:val="18"/>
          <w:szCs w:val="18"/>
          <w:color w:val="auto"/>
        </w:rPr>
      </w:pPr>
    </w:p>
    <w:p>
      <w:pPr>
        <w:ind w:left="660" w:right="100" w:hanging="247"/>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general economic and financial conditions (including federal monetary policy, interest rates, inflation, actual or anticipated recession, home price fluctuations, and housing inventory) that may reduce demand for our products and services, lower our profitability or reduce our access to future financings;</w:t>
      </w:r>
    </w:p>
    <w:p>
      <w:pPr>
        <w:spacing w:after="0" w:line="21"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real estate assets and increased competition in the U.S. residential real estate industry;</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ability to operate and grow our core business products, including the ability to obtain sufficient financing and resell purchased homes;</w:t>
      </w:r>
    </w:p>
    <w:p>
      <w:pPr>
        <w:spacing w:after="0" w:line="74" w:lineRule="exact"/>
        <w:rPr>
          <w:rFonts w:ascii="Arial" w:cs="Arial" w:eastAsia="Arial" w:hAnsi="Arial"/>
          <w:sz w:val="17"/>
          <w:szCs w:val="17"/>
          <w:color w:val="auto"/>
        </w:rPr>
      </w:pPr>
    </w:p>
    <w:p>
      <w:pPr>
        <w:ind w:left="660" w:right="480" w:hanging="247"/>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investment of resources to pursue strategies and develop new products and services that may not prove effective or that are not attractive to customers and real estate partners or that do not allow us to compete successfully;</w:t>
      </w:r>
    </w:p>
    <w:p>
      <w:pPr>
        <w:spacing w:after="0" w:line="8"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acquire and resell homes profitably;</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grow market share in our existing markets or any new markets we may enter;</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our growth effectively;</w:t>
      </w:r>
    </w:p>
    <w:p>
      <w:pPr>
        <w:spacing w:after="0" w:line="63" w:lineRule="exact"/>
        <w:rPr>
          <w:rFonts w:ascii="Arial" w:cs="Arial" w:eastAsia="Arial" w:hAnsi="Arial"/>
          <w:sz w:val="18"/>
          <w:szCs w:val="18"/>
          <w:color w:val="auto"/>
        </w:rPr>
      </w:pPr>
    </w:p>
    <w:p>
      <w:pPr>
        <w:ind w:left="660" w:right="40" w:hanging="247"/>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sources of capital, including debt financing and securitization funding to finance our real estate inventories and other sources of capital to finance operations and growth;</w:t>
      </w:r>
    </w:p>
    <w:p>
      <w:pPr>
        <w:spacing w:after="0" w:line="8"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enhance our products and brand, and to attract customers;</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develop and refine our technology platform, including our automated pricing and valuation technology;</w:t>
      </w:r>
    </w:p>
    <w:p>
      <w:pPr>
        <w:spacing w:after="0" w:line="63" w:lineRule="exact"/>
        <w:rPr>
          <w:rFonts w:ascii="Arial" w:cs="Arial" w:eastAsia="Arial" w:hAnsi="Arial"/>
          <w:sz w:val="18"/>
          <w:szCs w:val="18"/>
          <w:color w:val="auto"/>
        </w:rPr>
      </w:pPr>
    </w:p>
    <w:p>
      <w:pPr>
        <w:ind w:left="660" w:hanging="247"/>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comply with multiple listing service rules and requirements to access and use listing data, and to maintain or establish relationships with listings and data providers;</w:t>
      </w:r>
    </w:p>
    <w:p>
      <w:pPr>
        <w:spacing w:after="0" w:line="8" w:lineRule="exact"/>
        <w:rPr>
          <w:rFonts w:ascii="Arial" w:cs="Arial" w:eastAsia="Arial" w:hAnsi="Arial"/>
          <w:sz w:val="18"/>
          <w:szCs w:val="18"/>
          <w:color w:val="auto"/>
        </w:rPr>
      </w:pPr>
    </w:p>
    <w:p>
      <w:pPr>
        <w:ind w:left="660" w:hanging="247"/>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obtain or maintain licenses and permits to support our current and future business operations;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9" w:right="41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60" w:right="200" w:hanging="247"/>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future impact of the ongoing COVID-19 pandemic (including future variants) or other public health crises on our ability to operate, demand for our products or services, or general economic conditions;</w:t>
      </w:r>
    </w:p>
    <w:p>
      <w:pPr>
        <w:spacing w:after="0" w:line="8" w:lineRule="exact"/>
        <w:rPr>
          <w:rFonts w:ascii="Arial" w:cs="Arial" w:eastAsia="Arial" w:hAnsi="Arial"/>
          <w:sz w:val="18"/>
          <w:szCs w:val="18"/>
          <w:color w:val="auto"/>
        </w:rPr>
      </w:pPr>
    </w:p>
    <w:p>
      <w:pPr>
        <w:ind w:left="660" w:right="820" w:hanging="247"/>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acquisitions, strategic partnerships, joint ventures, capital-raising activities or other corporate transactions or commitments by us or our competitors;</w:t>
      </w:r>
    </w:p>
    <w:p>
      <w:pPr>
        <w:spacing w:after="0" w:line="8"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actual or anticipated changes in technology, products, markets or services by us or our competitors;</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and/or directors;</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regulatory environment within our industry and complexities with compliance related to such environment;</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laws or government regulation affecting our business; and</w:t>
      </w:r>
    </w:p>
    <w:p>
      <w:pPr>
        <w:spacing w:after="0" w:line="63"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pending or any future litigation or regulatory actions.</w:t>
      </w:r>
    </w:p>
    <w:p>
      <w:pPr>
        <w:spacing w:after="0" w:line="225"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Moreover, we operate in a very competitive and rapidly changing environment. New risks emerge from time to time. It is not possible for our management to predict all risks, nor can we assess the effect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report may not occur and actual results could differ materially and adversely from those anticipated or implied in the forward-looking statements.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66" w:lineRule="exact"/>
        <w:rPr>
          <w:sz w:val="20"/>
          <w:szCs w:val="20"/>
          <w:color w:val="auto"/>
        </w:rPr>
      </w:pPr>
    </w:p>
    <w:p>
      <w:pPr>
        <w:jc w:val="both"/>
        <w:ind w:right="40" w:firstLine="405"/>
        <w:spacing w:after="0" w:line="259" w:lineRule="auto"/>
        <w:rPr>
          <w:sz w:val="20"/>
          <w:szCs w:val="20"/>
          <w:color w:val="auto"/>
        </w:rPr>
      </w:pPr>
      <w:r>
        <w:rPr>
          <w:rFonts w:ascii="Arial" w:cs="Arial" w:eastAsia="Arial" w:hAnsi="Arial"/>
          <w:sz w:val="18"/>
          <w:szCs w:val="18"/>
          <w:color w:val="auto"/>
        </w:rPr>
        <w:t>As a result of a number of known and unknown risks and uncertainties, including, without limitation, those described in the “Risk Factors” section of this Quarterly Report on Form 10-Q and on Part I. Item 1A “Risk Factors” in our Annual Report on Form 10-K for the year ended December 31, 2022 (the “Annual Report”), our actual results or performance may be materially different from those expressed or implied by these forward-looking statements. You should not place undue reliance on these forward-looking statements.</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(In millions, except </w:t>
      </w:r>
      <w:r>
        <w:rPr>
          <w:rFonts w:ascii="Arial" w:cs="Arial" w:eastAsia="Arial" w:hAnsi="Arial"/>
          <w:sz w:val="17"/>
          <w:szCs w:val="17"/>
          <w:color w:val="auto"/>
        </w:rPr>
        <w:t>s</w:t>
      </w:r>
      <w:r>
        <w:rPr>
          <w:rFonts w:ascii="Arial" w:cs="Arial" w:eastAsia="Arial" w:hAnsi="Arial"/>
          <w:sz w:val="16"/>
          <w:szCs w:val="16"/>
          <w:color w:val="auto"/>
        </w:rPr>
        <w:t>hare data)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5"/>
                <w:szCs w:val="15"/>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6"/>
        </w:trPr>
        <w:tc>
          <w:tcPr>
            <w:tcW w:w="8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39"/>
        </w:trPr>
        <w:tc>
          <w:tcPr>
            <w:tcW w:w="8300" w:type="dxa"/>
            <w:vAlign w:val="bottom"/>
            <w:tcBorders>
              <w:bottom w:val="single" w:sz="8" w:color="CCEEFF"/>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4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3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8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1,137</w:t>
            </w:r>
          </w:p>
        </w:tc>
        <w:tc>
          <w:tcPr>
            <w:tcW w:w="0" w:type="dxa"/>
            <w:vAlign w:val="bottom"/>
          </w:tcPr>
          <w:p>
            <w:pPr>
              <w:spacing w:after="0"/>
              <w:rPr>
                <w:sz w:val="1"/>
                <w:szCs w:val="1"/>
                <w:color w:val="auto"/>
              </w:rPr>
            </w:pPr>
          </w:p>
        </w:tc>
      </w:tr>
      <w:tr>
        <w:trPr>
          <w:trHeight w:val="190"/>
        </w:trPr>
        <w:tc>
          <w:tcPr>
            <w:tcW w:w="8300" w:type="dxa"/>
            <w:vAlign w:val="bottom"/>
          </w:tcPr>
          <w:p>
            <w:pPr>
              <w:ind w:left="180"/>
              <w:spacing w:after="0"/>
              <w:rPr>
                <w:sz w:val="20"/>
                <w:szCs w:val="20"/>
                <w:color w:val="auto"/>
              </w:rPr>
            </w:pPr>
            <w:r>
              <w:rPr>
                <w:rFonts w:ascii="Arial" w:cs="Arial" w:eastAsia="Arial" w:hAnsi="Arial"/>
                <w:sz w:val="14"/>
                <w:szCs w:val="14"/>
                <w:color w:val="auto"/>
              </w:rPr>
              <w:t>Restricted cash</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654</w:t>
            </w:r>
          </w:p>
        </w:tc>
        <w:tc>
          <w:tcPr>
            <w:tcW w:w="0" w:type="dxa"/>
            <w:vAlign w:val="bottom"/>
          </w:tcPr>
          <w:p>
            <w:pPr>
              <w:spacing w:after="0"/>
              <w:rPr>
                <w:sz w:val="1"/>
                <w:szCs w:val="1"/>
                <w:color w:val="auto"/>
              </w:rPr>
            </w:pPr>
          </w:p>
        </w:tc>
      </w:tr>
      <w:tr>
        <w:trPr>
          <w:trHeight w:val="39"/>
        </w:trPr>
        <w:tc>
          <w:tcPr>
            <w:tcW w:w="8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Marketable securities</w:t>
            </w:r>
          </w:p>
        </w:tc>
        <w:tc>
          <w:tcPr>
            <w:tcW w:w="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90"/>
        </w:trPr>
        <w:tc>
          <w:tcPr>
            <w:tcW w:w="8300" w:type="dxa"/>
            <w:vAlign w:val="bottom"/>
          </w:tcPr>
          <w:p>
            <w:pPr>
              <w:ind w:left="180"/>
              <w:spacing w:after="0"/>
              <w:rPr>
                <w:sz w:val="20"/>
                <w:szCs w:val="20"/>
                <w:color w:val="auto"/>
              </w:rPr>
            </w:pPr>
            <w:r>
              <w:rPr>
                <w:rFonts w:ascii="Arial" w:cs="Arial" w:eastAsia="Arial" w:hAnsi="Arial"/>
                <w:sz w:val="14"/>
                <w:szCs w:val="14"/>
                <w:color w:val="auto"/>
              </w:rPr>
              <w:t>Escrow receivable</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39"/>
        </w:trPr>
        <w:tc>
          <w:tcPr>
            <w:tcW w:w="8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Real estate inventory, net</w:t>
            </w:r>
          </w:p>
        </w:tc>
        <w:tc>
          <w:tcPr>
            <w:tcW w:w="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4,460</w:t>
            </w:r>
          </w:p>
        </w:tc>
        <w:tc>
          <w:tcPr>
            <w:tcW w:w="0" w:type="dxa"/>
            <w:vAlign w:val="bottom"/>
          </w:tcPr>
          <w:p>
            <w:pPr>
              <w:spacing w:after="0"/>
              <w:rPr>
                <w:sz w:val="1"/>
                <w:szCs w:val="1"/>
                <w:color w:val="auto"/>
              </w:rPr>
            </w:pPr>
          </w:p>
        </w:tc>
      </w:tr>
      <w:tr>
        <w:trPr>
          <w:trHeight w:val="191"/>
        </w:trPr>
        <w:tc>
          <w:tcPr>
            <w:tcW w:w="8300" w:type="dxa"/>
            <w:vAlign w:val="bottom"/>
          </w:tcPr>
          <w:p>
            <w:pPr>
              <w:ind w:left="180"/>
              <w:spacing w:after="0"/>
              <w:rPr>
                <w:sz w:val="20"/>
                <w:szCs w:val="20"/>
                <w:color w:val="auto"/>
              </w:rPr>
            </w:pPr>
            <w:r>
              <w:rPr>
                <w:rFonts w:ascii="Arial" w:cs="Arial" w:eastAsia="Arial" w:hAnsi="Arial"/>
                <w:sz w:val="14"/>
                <w:szCs w:val="14"/>
                <w:color w:val="auto"/>
              </w:rPr>
              <w:t>Other current assets $0 and $1 carried at fair value)</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39"/>
        </w:trPr>
        <w:tc>
          <w:tcPr>
            <w:tcW w:w="8300" w:type="dxa"/>
            <w:vAlign w:val="bottom"/>
            <w:tcBorders>
              <w:bottom w:val="single" w:sz="8" w:color="CCEEFF"/>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current assets</w:t>
            </w:r>
          </w:p>
        </w:tc>
        <w:tc>
          <w:tcPr>
            <w:tcW w:w="4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3,819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6,466</w:t>
            </w:r>
          </w:p>
        </w:tc>
        <w:tc>
          <w:tcPr>
            <w:tcW w:w="0" w:type="dxa"/>
            <w:vAlign w:val="bottom"/>
          </w:tcPr>
          <w:p>
            <w:pPr>
              <w:spacing w:after="0"/>
              <w:rPr>
                <w:sz w:val="1"/>
                <w:szCs w:val="1"/>
                <w:color w:val="auto"/>
              </w:rPr>
            </w:pPr>
          </w:p>
        </w:tc>
      </w:tr>
      <w:tr>
        <w:trPr>
          <w:trHeight w:val="191"/>
        </w:trPr>
        <w:tc>
          <w:tcPr>
            <w:tcW w:w="8300" w:type="dxa"/>
            <w:vAlign w:val="bottom"/>
          </w:tcPr>
          <w:p>
            <w:pPr>
              <w:ind w:left="20"/>
              <w:spacing w:after="0"/>
              <w:rPr>
                <w:sz w:val="20"/>
                <w:szCs w:val="20"/>
                <w:color w:val="auto"/>
              </w:rPr>
            </w:pPr>
            <w:r>
              <w:rPr>
                <w:rFonts w:ascii="Arial" w:cs="Arial" w:eastAsia="Arial" w:hAnsi="Arial"/>
                <w:sz w:val="14"/>
                <w:szCs w:val="14"/>
                <w:color w:val="auto"/>
              </w:rPr>
              <w:t>PROPERTY AND EQUIPMENT – Net</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39"/>
        </w:trPr>
        <w:tc>
          <w:tcPr>
            <w:tcW w:w="8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RIGHT OF USE ASSETS</w:t>
            </w:r>
          </w:p>
        </w:tc>
        <w:tc>
          <w:tcPr>
            <w:tcW w:w="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90"/>
        </w:trPr>
        <w:tc>
          <w:tcPr>
            <w:tcW w:w="8300" w:type="dxa"/>
            <w:vAlign w:val="bottom"/>
          </w:tcPr>
          <w:p>
            <w:pPr>
              <w:ind w:left="20"/>
              <w:spacing w:after="0"/>
              <w:rPr>
                <w:sz w:val="20"/>
                <w:szCs w:val="20"/>
                <w:color w:val="auto"/>
              </w:rPr>
            </w:pPr>
            <w:r>
              <w:rPr>
                <w:rFonts w:ascii="Arial" w:cs="Arial" w:eastAsia="Arial" w:hAnsi="Arial"/>
                <w:sz w:val="14"/>
                <w:szCs w:val="14"/>
                <w:color w:val="auto"/>
              </w:rPr>
              <w:t>GOODWILL</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39"/>
        </w:trPr>
        <w:tc>
          <w:tcPr>
            <w:tcW w:w="8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INTANGIBLES – Net</w:t>
            </w:r>
          </w:p>
        </w:tc>
        <w:tc>
          <w:tcPr>
            <w:tcW w:w="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0"/>
        </w:trPr>
        <w:tc>
          <w:tcPr>
            <w:tcW w:w="830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39"/>
        </w:trPr>
        <w:tc>
          <w:tcPr>
            <w:tcW w:w="8300" w:type="dxa"/>
            <w:vAlign w:val="bottom"/>
            <w:tcBorders>
              <w:bottom w:val="single" w:sz="8" w:color="CCEEFF"/>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5"/>
        </w:trPr>
        <w:tc>
          <w:tcPr>
            <w:tcW w:w="8300" w:type="dxa"/>
            <w:vAlign w:val="bottom"/>
            <w:shd w:val="clear" w:color="auto" w:fill="CCEEFF"/>
          </w:tcPr>
          <w:p>
            <w:pPr>
              <w:ind w:left="20"/>
              <w:spacing w:after="0" w:line="115" w:lineRule="exact"/>
              <w:rPr>
                <w:sz w:val="20"/>
                <w:szCs w:val="20"/>
                <w:color w:val="auto"/>
              </w:rPr>
            </w:pPr>
            <w:r>
              <w:rPr>
                <w:rFonts w:ascii="Arial" w:cs="Arial" w:eastAsia="Arial" w:hAnsi="Arial"/>
                <w:sz w:val="13"/>
                <w:szCs w:val="13"/>
                <w:color w:val="auto"/>
              </w:rPr>
              <w:t>TOTAL ASSETS</w:t>
            </w:r>
          </w:p>
        </w:tc>
        <w:tc>
          <w:tcPr>
            <w:tcW w:w="440" w:type="dxa"/>
            <w:vAlign w:val="bottom"/>
            <w:vMerge w:val="restart"/>
            <w:shd w:val="clear" w:color="auto" w:fill="CCEEFF"/>
          </w:tcPr>
          <w:p>
            <w:pPr>
              <w:jc w:val="right"/>
              <w:ind w:right="233"/>
              <w:spacing w:after="0"/>
              <w:rPr>
                <w:sz w:val="20"/>
                <w:szCs w:val="20"/>
                <w:color w:val="auto"/>
              </w:rPr>
            </w:pPr>
            <w:r>
              <w:rPr>
                <w:rFonts w:ascii="Arial" w:cs="Arial" w:eastAsia="Arial" w:hAnsi="Arial"/>
                <w:sz w:val="9"/>
                <w:szCs w:val="9"/>
                <w:color w:val="auto"/>
              </w:rPr>
              <w:t>(1)</w:t>
            </w:r>
          </w:p>
        </w:tc>
        <w:tc>
          <w:tcPr>
            <w:tcW w:w="12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3,947</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6,608</w:t>
            </w:r>
          </w:p>
        </w:tc>
        <w:tc>
          <w:tcPr>
            <w:tcW w:w="0" w:type="dxa"/>
            <w:vAlign w:val="bottom"/>
          </w:tcPr>
          <w:p>
            <w:pPr>
              <w:spacing w:after="0"/>
              <w:rPr>
                <w:sz w:val="1"/>
                <w:szCs w:val="1"/>
                <w:color w:val="auto"/>
              </w:rPr>
            </w:pPr>
          </w:p>
        </w:tc>
      </w:tr>
      <w:tr>
        <w:trPr>
          <w:trHeight w:val="28"/>
        </w:trPr>
        <w:tc>
          <w:tcPr>
            <w:tcW w:w="8300" w:type="dxa"/>
            <w:vAlign w:val="bottom"/>
            <w:shd w:val="clear" w:color="auto" w:fill="CCEEFF"/>
          </w:tcPr>
          <w:p>
            <w:pPr>
              <w:spacing w:after="0"/>
              <w:rPr>
                <w:sz w:val="2"/>
                <w:szCs w:val="2"/>
                <w:color w:val="auto"/>
              </w:rPr>
            </w:pPr>
          </w:p>
        </w:tc>
        <w:tc>
          <w:tcPr>
            <w:tcW w:w="440" w:type="dxa"/>
            <w:vAlign w:val="bottom"/>
            <w:vMerge w:val="continue"/>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8300" w:type="dxa"/>
            <w:vAlign w:val="bottom"/>
            <w:tcBorders>
              <w:bottom w:val="single" w:sz="8" w:color="CCEEFF"/>
            </w:tcBorders>
            <w:shd w:val="clear" w:color="auto" w:fill="CCEEFF"/>
          </w:tcPr>
          <w:p>
            <w:pPr>
              <w:spacing w:after="0"/>
              <w:rPr>
                <w:sz w:val="8"/>
                <w:szCs w:val="8"/>
                <w:color w:val="auto"/>
              </w:rPr>
            </w:pPr>
          </w:p>
        </w:tc>
        <w:tc>
          <w:tcPr>
            <w:tcW w:w="44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108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108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SHAREHOLDERS’ EQUITY</w:t>
            </w: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830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8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8300" w:type="dxa"/>
            <w:vAlign w:val="bottom"/>
          </w:tcPr>
          <w:p>
            <w:pPr>
              <w:ind w:left="180"/>
              <w:spacing w:after="0"/>
              <w:rPr>
                <w:sz w:val="20"/>
                <w:szCs w:val="20"/>
                <w:color w:val="auto"/>
              </w:rPr>
            </w:pPr>
            <w:r>
              <w:rPr>
                <w:rFonts w:ascii="Arial" w:cs="Arial" w:eastAsia="Arial" w:hAnsi="Arial"/>
                <w:sz w:val="14"/>
                <w:szCs w:val="14"/>
                <w:color w:val="auto"/>
              </w:rPr>
              <w:t>Accounts payable and other accrued liabilities</w:t>
            </w:r>
          </w:p>
        </w:tc>
        <w:tc>
          <w:tcPr>
            <w:tcW w:w="4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39"/>
        </w:trPr>
        <w:tc>
          <w:tcPr>
            <w:tcW w:w="8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Non-recourse asset-backed debt - current portion</w:t>
            </w:r>
          </w:p>
        </w:tc>
        <w:tc>
          <w:tcPr>
            <w:tcW w:w="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1,376</w:t>
            </w:r>
          </w:p>
        </w:tc>
        <w:tc>
          <w:tcPr>
            <w:tcW w:w="0" w:type="dxa"/>
            <w:vAlign w:val="bottom"/>
          </w:tcPr>
          <w:p>
            <w:pPr>
              <w:spacing w:after="0"/>
              <w:rPr>
                <w:sz w:val="1"/>
                <w:szCs w:val="1"/>
                <w:color w:val="auto"/>
              </w:rPr>
            </w:pPr>
          </w:p>
        </w:tc>
      </w:tr>
      <w:tr>
        <w:trPr>
          <w:trHeight w:val="191"/>
        </w:trPr>
        <w:tc>
          <w:tcPr>
            <w:tcW w:w="8300" w:type="dxa"/>
            <w:vAlign w:val="bottom"/>
          </w:tcPr>
          <w:p>
            <w:pPr>
              <w:ind w:left="180"/>
              <w:spacing w:after="0"/>
              <w:rPr>
                <w:sz w:val="20"/>
                <w:szCs w:val="20"/>
                <w:color w:val="auto"/>
              </w:rPr>
            </w:pPr>
            <w:r>
              <w:rPr>
                <w:rFonts w:ascii="Arial" w:cs="Arial" w:eastAsia="Arial" w:hAnsi="Arial"/>
                <w:sz w:val="14"/>
                <w:szCs w:val="14"/>
                <w:color w:val="auto"/>
              </w:rPr>
              <w:t>Interest payable</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39"/>
        </w:trPr>
        <w:tc>
          <w:tcPr>
            <w:tcW w:w="8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Lease liabilities - current portion</w:t>
            </w:r>
          </w:p>
        </w:tc>
        <w:tc>
          <w:tcPr>
            <w:tcW w:w="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4"/>
        </w:trPr>
        <w:tc>
          <w:tcPr>
            <w:tcW w:w="8300" w:type="dxa"/>
            <w:vAlign w:val="bottom"/>
          </w:tcPr>
          <w:p>
            <w:pPr>
              <w:ind w:left="360"/>
              <w:spacing w:after="0"/>
              <w:rPr>
                <w:sz w:val="20"/>
                <w:szCs w:val="20"/>
                <w:color w:val="auto"/>
              </w:rPr>
            </w:pPr>
            <w:r>
              <w:rPr>
                <w:rFonts w:ascii="Arial" w:cs="Arial" w:eastAsia="Arial" w:hAnsi="Arial"/>
                <w:sz w:val="14"/>
                <w:szCs w:val="14"/>
                <w:color w:val="auto"/>
              </w:rPr>
              <w:t>Total current liabilities</w:t>
            </w:r>
          </w:p>
        </w:tc>
        <w:tc>
          <w:tcPr>
            <w:tcW w:w="4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1,505</w:t>
            </w:r>
          </w:p>
        </w:tc>
        <w:tc>
          <w:tcPr>
            <w:tcW w:w="0" w:type="dxa"/>
            <w:vAlign w:val="bottom"/>
          </w:tcPr>
          <w:p>
            <w:pPr>
              <w:spacing w:after="0"/>
              <w:rPr>
                <w:sz w:val="1"/>
                <w:szCs w:val="1"/>
                <w:color w:val="auto"/>
              </w:rPr>
            </w:pPr>
          </w:p>
        </w:tc>
      </w:tr>
      <w:tr>
        <w:trPr>
          <w:trHeight w:val="39"/>
        </w:trPr>
        <w:tc>
          <w:tcPr>
            <w:tcW w:w="8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NON-RECOURSE ASSET-BACKED DEBT – Net of current portion</w:t>
            </w:r>
          </w:p>
        </w:tc>
        <w:tc>
          <w:tcPr>
            <w:tcW w:w="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2,330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3,020</w:t>
            </w:r>
          </w:p>
        </w:tc>
        <w:tc>
          <w:tcPr>
            <w:tcW w:w="0" w:type="dxa"/>
            <w:vAlign w:val="bottom"/>
          </w:tcPr>
          <w:p>
            <w:pPr>
              <w:spacing w:after="0"/>
              <w:rPr>
                <w:sz w:val="1"/>
                <w:szCs w:val="1"/>
                <w:color w:val="auto"/>
              </w:rPr>
            </w:pPr>
          </w:p>
        </w:tc>
      </w:tr>
      <w:tr>
        <w:trPr>
          <w:trHeight w:val="190"/>
        </w:trPr>
        <w:tc>
          <w:tcPr>
            <w:tcW w:w="8300" w:type="dxa"/>
            <w:vAlign w:val="bottom"/>
          </w:tcPr>
          <w:p>
            <w:pPr>
              <w:ind w:left="20"/>
              <w:spacing w:after="0"/>
              <w:rPr>
                <w:sz w:val="20"/>
                <w:szCs w:val="20"/>
                <w:color w:val="auto"/>
              </w:rPr>
            </w:pPr>
            <w:r>
              <w:rPr>
                <w:rFonts w:ascii="Arial" w:cs="Arial" w:eastAsia="Arial" w:hAnsi="Arial"/>
                <w:sz w:val="14"/>
                <w:szCs w:val="14"/>
                <w:color w:val="auto"/>
              </w:rPr>
              <w:t>CONVERTIBLE SENIOR NOTES</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959</w:t>
            </w:r>
          </w:p>
        </w:tc>
        <w:tc>
          <w:tcPr>
            <w:tcW w:w="0" w:type="dxa"/>
            <w:vAlign w:val="bottom"/>
          </w:tcPr>
          <w:p>
            <w:pPr>
              <w:spacing w:after="0"/>
              <w:rPr>
                <w:sz w:val="1"/>
                <w:szCs w:val="1"/>
                <w:color w:val="auto"/>
              </w:rPr>
            </w:pPr>
          </w:p>
        </w:tc>
      </w:tr>
      <w:tr>
        <w:trPr>
          <w:trHeight w:val="39"/>
        </w:trPr>
        <w:tc>
          <w:tcPr>
            <w:tcW w:w="8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LEASE LIABILITIES – Net of current portion</w:t>
            </w:r>
          </w:p>
        </w:tc>
        <w:tc>
          <w:tcPr>
            <w:tcW w:w="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91"/>
        </w:trPr>
        <w:tc>
          <w:tcPr>
            <w:tcW w:w="8300" w:type="dxa"/>
            <w:vAlign w:val="bottom"/>
          </w:tcPr>
          <w:p>
            <w:pPr>
              <w:ind w:left="20"/>
              <w:spacing w:after="0"/>
              <w:rPr>
                <w:sz w:val="20"/>
                <w:szCs w:val="20"/>
                <w:color w:val="auto"/>
              </w:rPr>
            </w:pPr>
            <w:r>
              <w:rPr>
                <w:rFonts w:ascii="Arial" w:cs="Arial" w:eastAsia="Arial" w:hAnsi="Arial"/>
                <w:sz w:val="14"/>
                <w:szCs w:val="14"/>
                <w:color w:val="auto"/>
              </w:rPr>
              <w:t>OTHER LIABILITIES</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8300" w:type="dxa"/>
            <w:vAlign w:val="bottom"/>
            <w:tcBorders>
              <w:bottom w:val="single" w:sz="8" w:color="CCEEFF"/>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83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Total liabilities</w:t>
            </w:r>
          </w:p>
        </w:tc>
        <w:tc>
          <w:tcPr>
            <w:tcW w:w="440" w:type="dxa"/>
            <w:vAlign w:val="bottom"/>
            <w:shd w:val="clear" w:color="auto" w:fill="CCEEFF"/>
          </w:tcPr>
          <w:p>
            <w:pPr>
              <w:jc w:val="right"/>
              <w:ind w:right="233"/>
              <w:spacing w:after="0"/>
              <w:rPr>
                <w:sz w:val="20"/>
                <w:szCs w:val="20"/>
                <w:color w:val="auto"/>
              </w:rPr>
            </w:pPr>
            <w:r>
              <w:rPr>
                <w:rFonts w:ascii="Arial" w:cs="Arial" w:eastAsia="Arial" w:hAnsi="Arial"/>
                <w:sz w:val="9"/>
                <w:szCs w:val="9"/>
                <w:color w:val="auto"/>
              </w:rPr>
              <w:t>(2)</w:t>
            </w:r>
          </w:p>
        </w:tc>
        <w:tc>
          <w:tcPr>
            <w:tcW w:w="12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2,927</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5,522</w:t>
            </w:r>
          </w:p>
        </w:tc>
        <w:tc>
          <w:tcPr>
            <w:tcW w:w="0" w:type="dxa"/>
            <w:vAlign w:val="bottom"/>
          </w:tcPr>
          <w:p>
            <w:pPr>
              <w:spacing w:after="0"/>
              <w:rPr>
                <w:sz w:val="1"/>
                <w:szCs w:val="1"/>
                <w:color w:val="auto"/>
              </w:rPr>
            </w:pPr>
          </w:p>
        </w:tc>
      </w:tr>
      <w:tr>
        <w:trPr>
          <w:trHeight w:val="107"/>
        </w:trPr>
        <w:tc>
          <w:tcPr>
            <w:tcW w:w="8300" w:type="dxa"/>
            <w:vAlign w:val="bottom"/>
            <w:tcBorders>
              <w:bottom w:val="single" w:sz="8" w:color="CCEEFF"/>
            </w:tcBorders>
            <w:vMerge w:val="continue"/>
            <w:shd w:val="clear" w:color="auto" w:fill="CCEEFF"/>
          </w:tcPr>
          <w:p>
            <w:pPr>
              <w:spacing w:after="0"/>
              <w:rPr>
                <w:sz w:val="9"/>
                <w:szCs w:val="9"/>
                <w:color w:val="auto"/>
              </w:rPr>
            </w:pPr>
          </w:p>
        </w:tc>
        <w:tc>
          <w:tcPr>
            <w:tcW w:w="44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108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108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8300" w:type="dxa"/>
            <w:vAlign w:val="bottom"/>
          </w:tcPr>
          <w:p>
            <w:pPr>
              <w:ind w:left="20"/>
              <w:spacing w:after="0"/>
              <w:rPr>
                <w:sz w:val="20"/>
                <w:szCs w:val="20"/>
                <w:color w:val="auto"/>
              </w:rPr>
            </w:pPr>
            <w:r>
              <w:rPr>
                <w:rFonts w:ascii="Arial" w:cs="Arial" w:eastAsia="Arial" w:hAnsi="Arial"/>
                <w:sz w:val="14"/>
                <w:szCs w:val="14"/>
                <w:color w:val="auto"/>
              </w:rPr>
              <w:t>COMMITMENTS AND CONTINGENCIES (See Note 14)</w:t>
            </w:r>
          </w:p>
        </w:tc>
        <w:tc>
          <w:tcPr>
            <w:tcW w:w="4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8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SHAREHOLDERS’ EQUITY:</w:t>
            </w:r>
          </w:p>
        </w:tc>
        <w:tc>
          <w:tcPr>
            <w:tcW w:w="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8300" w:type="dxa"/>
            <w:vAlign w:val="bottom"/>
          </w:tcPr>
          <w:p>
            <w:pPr>
              <w:ind w:left="180"/>
              <w:spacing w:after="0"/>
              <w:rPr>
                <w:sz w:val="20"/>
                <w:szCs w:val="20"/>
                <w:color w:val="auto"/>
              </w:rPr>
            </w:pPr>
            <w:r>
              <w:rPr>
                <w:rFonts w:ascii="Arial" w:cs="Arial" w:eastAsia="Arial" w:hAnsi="Arial"/>
                <w:sz w:val="14"/>
                <w:szCs w:val="14"/>
                <w:color w:val="auto"/>
                <w:w w:val="92"/>
              </w:rPr>
              <w:t>Common stock, $0.0001 par value; 3,000,000,000 shares authorized; 668,592,580 and 637,387,025 shares issued, respectively; 668,592,580</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300" w:type="dxa"/>
            <w:vAlign w:val="bottom"/>
          </w:tcPr>
          <w:p>
            <w:pPr>
              <w:ind w:left="360"/>
              <w:spacing w:after="0"/>
              <w:rPr>
                <w:sz w:val="20"/>
                <w:szCs w:val="20"/>
                <w:color w:val="auto"/>
              </w:rPr>
            </w:pPr>
            <w:r>
              <w:rPr>
                <w:rFonts w:ascii="Arial" w:cs="Arial" w:eastAsia="Arial" w:hAnsi="Arial"/>
                <w:sz w:val="14"/>
                <w:szCs w:val="14"/>
                <w:color w:val="auto"/>
              </w:rPr>
              <w:t>and 637,387,025 shares outstanding, respectively</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8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Additional paid-in capital</w:t>
            </w:r>
          </w:p>
        </w:tc>
        <w:tc>
          <w:tcPr>
            <w:tcW w:w="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4,263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4,148</w:t>
            </w:r>
          </w:p>
        </w:tc>
        <w:tc>
          <w:tcPr>
            <w:tcW w:w="0" w:type="dxa"/>
            <w:vAlign w:val="bottom"/>
          </w:tcPr>
          <w:p>
            <w:pPr>
              <w:spacing w:after="0"/>
              <w:rPr>
                <w:sz w:val="1"/>
                <w:szCs w:val="1"/>
                <w:color w:val="auto"/>
              </w:rPr>
            </w:pPr>
          </w:p>
        </w:tc>
      </w:tr>
      <w:tr>
        <w:trPr>
          <w:trHeight w:val="190"/>
        </w:trPr>
        <w:tc>
          <w:tcPr>
            <w:tcW w:w="8300" w:type="dxa"/>
            <w:vAlign w:val="bottom"/>
          </w:tcPr>
          <w:p>
            <w:pPr>
              <w:ind w:left="180"/>
              <w:spacing w:after="0"/>
              <w:rPr>
                <w:sz w:val="20"/>
                <w:szCs w:val="20"/>
                <w:color w:val="auto"/>
              </w:rPr>
            </w:pPr>
            <w:r>
              <w:rPr>
                <w:rFonts w:ascii="Arial" w:cs="Arial" w:eastAsia="Arial" w:hAnsi="Arial"/>
                <w:sz w:val="14"/>
                <w:szCs w:val="14"/>
                <w:color w:val="auto"/>
              </w:rPr>
              <w:t>Accumulated deficit</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(3,242)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(3,058)</w:t>
            </w:r>
          </w:p>
        </w:tc>
        <w:tc>
          <w:tcPr>
            <w:tcW w:w="0" w:type="dxa"/>
            <w:vAlign w:val="bottom"/>
          </w:tcPr>
          <w:p>
            <w:pPr>
              <w:spacing w:after="0"/>
              <w:rPr>
                <w:sz w:val="1"/>
                <w:szCs w:val="1"/>
                <w:color w:val="auto"/>
              </w:rPr>
            </w:pPr>
          </w:p>
        </w:tc>
      </w:tr>
      <w:tr>
        <w:trPr>
          <w:trHeight w:val="39"/>
        </w:trPr>
        <w:tc>
          <w:tcPr>
            <w:tcW w:w="8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Accumulated other comprehensive loss</w:t>
            </w:r>
          </w:p>
        </w:tc>
        <w:tc>
          <w:tcPr>
            <w:tcW w:w="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4"/>
        </w:trPr>
        <w:tc>
          <w:tcPr>
            <w:tcW w:w="8300" w:type="dxa"/>
            <w:vAlign w:val="bottom"/>
          </w:tcPr>
          <w:p>
            <w:pPr>
              <w:ind w:left="360"/>
              <w:spacing w:after="0"/>
              <w:rPr>
                <w:sz w:val="20"/>
                <w:szCs w:val="20"/>
                <w:color w:val="auto"/>
              </w:rPr>
            </w:pPr>
            <w:r>
              <w:rPr>
                <w:rFonts w:ascii="Arial" w:cs="Arial" w:eastAsia="Arial" w:hAnsi="Arial"/>
                <w:sz w:val="14"/>
                <w:szCs w:val="14"/>
                <w:color w:val="auto"/>
              </w:rPr>
              <w:t>Total shareholders’ equity</w:t>
            </w:r>
          </w:p>
        </w:tc>
        <w:tc>
          <w:tcPr>
            <w:tcW w:w="4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1,020</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1,086</w:t>
            </w:r>
          </w:p>
        </w:tc>
        <w:tc>
          <w:tcPr>
            <w:tcW w:w="0" w:type="dxa"/>
            <w:vAlign w:val="bottom"/>
          </w:tcPr>
          <w:p>
            <w:pPr>
              <w:spacing w:after="0"/>
              <w:rPr>
                <w:sz w:val="1"/>
                <w:szCs w:val="1"/>
                <w:color w:val="auto"/>
              </w:rPr>
            </w:pPr>
          </w:p>
        </w:tc>
      </w:tr>
      <w:tr>
        <w:trPr>
          <w:trHeight w:val="39"/>
        </w:trPr>
        <w:tc>
          <w:tcPr>
            <w:tcW w:w="8300" w:type="dxa"/>
            <w:vAlign w:val="bottom"/>
            <w:tcBorders>
              <w:bottom w:val="single" w:sz="8" w:color="CCEEFF"/>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8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LIABILITIES AND SHAREHOLDERS’ EQUITY</w:t>
            </w:r>
          </w:p>
        </w:tc>
        <w:tc>
          <w:tcPr>
            <w:tcW w:w="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6,608</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w:t>
            </w: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830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jc w:val="both"/>
        <w:ind w:left="340" w:right="200" w:hanging="332"/>
        <w:spacing w:after="0" w:line="230" w:lineRule="auto"/>
        <w:tabs>
          <w:tab w:leader="none" w:pos="327"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The Company’s consolidated assets at September 30, 2023 and December 31, 2022 include the following assets of certain variable interest entities (“VIEs”) that can only be used to settle the liabilities of those VIEs: Restricted cash, $1,203 and $636; Real estate inventory, net, $1,272 and $4,408; Escrow receivable, $11 and $29; Other current assets, $13 and $9; and Total assets of $2,499 and $5,082, respectively.</w:t>
      </w:r>
    </w:p>
    <w:p>
      <w:pPr>
        <w:spacing w:after="0" w:line="49" w:lineRule="exact"/>
        <w:rPr>
          <w:rFonts w:ascii="Arial" w:cs="Arial" w:eastAsia="Arial" w:hAnsi="Arial"/>
          <w:sz w:val="19"/>
          <w:szCs w:val="19"/>
          <w:color w:val="auto"/>
          <w:vertAlign w:val="superscript"/>
        </w:rPr>
      </w:pPr>
    </w:p>
    <w:p>
      <w:pPr>
        <w:ind w:left="340" w:right="220" w:hanging="332"/>
        <w:spacing w:after="0" w:line="277" w:lineRule="auto"/>
        <w:tabs>
          <w:tab w:leader="none" w:pos="327" w:val="left"/>
        </w:tabs>
        <w:numPr>
          <w:ilvl w:val="0"/>
          <w:numId w:val="5"/>
        </w:numPr>
        <w:rPr>
          <w:rFonts w:ascii="Arial" w:cs="Arial" w:eastAsia="Arial" w:hAnsi="Arial"/>
          <w:sz w:val="9"/>
          <w:szCs w:val="9"/>
          <w:color w:val="auto"/>
        </w:rPr>
      </w:pPr>
      <w:r>
        <w:rPr>
          <w:rFonts w:ascii="Arial" w:cs="Arial" w:eastAsia="Arial" w:hAnsi="Arial"/>
          <w:sz w:val="14"/>
          <w:szCs w:val="14"/>
          <w:color w:val="auto"/>
        </w:rPr>
        <w:t>The Company’s consolidated liabilities at September 30, 2023 and December 31, 2022 include the following liabilities for which the VIE creditors do not have recourse to Opendoor: Accounts payable and other accrued liabilities, $25 and $61; Interest payable, $1 and $11; Current portion of non-recourse asset-backed debt, $— and $1,376; Non-recourse asset-backed debt, net of current portion, $2,330 and $3,020; and Total liabilities, $2,356 and $4,468, respectively.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 except share amounts which are presented in thousands,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2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5"/>
                <w:szCs w:val="15"/>
                <w:color w:val="auto"/>
              </w:rPr>
            </w:pPr>
          </w:p>
        </w:tc>
        <w:tc>
          <w:tcPr>
            <w:tcW w:w="234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Nine Months Ended</w:t>
            </w:r>
          </w:p>
        </w:tc>
      </w:tr>
      <w:tr>
        <w:trPr>
          <w:trHeight w:val="186"/>
        </w:trPr>
        <w:tc>
          <w:tcPr>
            <w:tcW w:w="5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Pr>
          <w:p>
            <w:pPr>
              <w:spacing w:after="0"/>
              <w:rPr>
                <w:sz w:val="16"/>
                <w:szCs w:val="16"/>
                <w:color w:val="auto"/>
              </w:rPr>
            </w:pPr>
          </w:p>
        </w:tc>
      </w:tr>
      <w:tr>
        <w:trPr>
          <w:trHeight w:val="39"/>
        </w:trPr>
        <w:tc>
          <w:tcPr>
            <w:tcW w:w="58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84"/>
        </w:trPr>
        <w:tc>
          <w:tcPr>
            <w:tcW w:w="5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ind w:right="411"/>
              <w:spacing w:after="0"/>
              <w:rPr>
                <w:sz w:val="20"/>
                <w:szCs w:val="20"/>
                <w:color w:val="auto"/>
              </w:rPr>
            </w:pPr>
            <w:r>
              <w:rPr>
                <w:rFonts w:ascii="Arial" w:cs="Arial" w:eastAsia="Arial" w:hAnsi="Arial"/>
                <w:sz w:val="14"/>
                <w:szCs w:val="14"/>
                <w:b w:val="1"/>
                <w:bCs w:val="1"/>
                <w:color w:val="auto"/>
                <w:w w:val="96"/>
              </w:rPr>
              <w:t>2022</w:t>
            </w:r>
          </w:p>
        </w:tc>
      </w:tr>
      <w:tr>
        <w:trPr>
          <w:trHeight w:val="39"/>
        </w:trPr>
        <w:tc>
          <w:tcPr>
            <w:tcW w:w="58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43"/>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12,710</w:t>
            </w:r>
          </w:p>
        </w:tc>
      </w:tr>
      <w:tr>
        <w:trPr>
          <w:trHeight w:val="243"/>
        </w:trPr>
        <w:tc>
          <w:tcPr>
            <w:tcW w:w="588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3,786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5,661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12,114</w:t>
            </w:r>
          </w:p>
        </w:tc>
      </w:tr>
      <w:tr>
        <w:trPr>
          <w:trHeight w:val="27"/>
        </w:trPr>
        <w:tc>
          <w:tcPr>
            <w:tcW w:w="58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3"/>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 (LOSS)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w:t>
            </w:r>
          </w:p>
        </w:tc>
      </w:tr>
      <w:tr>
        <w:trPr>
          <w:trHeight w:val="223"/>
        </w:trPr>
        <w:tc>
          <w:tcPr>
            <w:tcW w:w="58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r>
      <w:tr>
        <w:trPr>
          <w:trHeight w:val="27"/>
        </w:trPr>
        <w:tc>
          <w:tcPr>
            <w:tcW w:w="5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marketing and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w:t>
            </w:r>
          </w:p>
        </w:tc>
      </w:tr>
      <w:tr>
        <w:trPr>
          <w:trHeight w:val="243"/>
        </w:trPr>
        <w:tc>
          <w:tcPr>
            <w:tcW w:w="58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323</w:t>
            </w:r>
          </w:p>
        </w:tc>
      </w:tr>
      <w:tr>
        <w:trPr>
          <w:trHeight w:val="27"/>
        </w:trPr>
        <w:tc>
          <w:tcPr>
            <w:tcW w:w="5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Technology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43"/>
        </w:trPr>
        <w:tc>
          <w:tcPr>
            <w:tcW w:w="5880" w:type="dxa"/>
            <w:vAlign w:val="bottom"/>
          </w:tcPr>
          <w:p>
            <w:pPr>
              <w:ind w:left="180"/>
              <w:spacing w:after="0"/>
              <w:rPr>
                <w:sz w:val="20"/>
                <w:szCs w:val="20"/>
                <w:color w:val="auto"/>
              </w:rPr>
            </w:pPr>
            <w:r>
              <w:rPr>
                <w:rFonts w:ascii="Arial" w:cs="Arial" w:eastAsia="Arial" w:hAnsi="Arial"/>
                <w:sz w:val="18"/>
                <w:szCs w:val="18"/>
                <w:color w:val="auto"/>
              </w:rPr>
              <w:t>Restructuring</w:t>
            </w:r>
          </w:p>
        </w:tc>
        <w:tc>
          <w:tcPr>
            <w:tcW w:w="30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8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3"/>
        </w:trPr>
        <w:tc>
          <w:tcPr>
            <w:tcW w:w="5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1,256</w:t>
            </w:r>
          </w:p>
        </w:tc>
      </w:tr>
      <w:tr>
        <w:trPr>
          <w:trHeight w:val="237"/>
        </w:trPr>
        <w:tc>
          <w:tcPr>
            <w:tcW w:w="58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w:t>
            </w:r>
          </w:p>
        </w:tc>
      </w:tr>
      <w:tr>
        <w:trPr>
          <w:trHeight w:val="27"/>
        </w:trPr>
        <w:tc>
          <w:tcPr>
            <w:tcW w:w="5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EXTINGUISHMENT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8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(272)</w:t>
            </w:r>
          </w:p>
        </w:tc>
      </w:tr>
      <w:tr>
        <w:trPr>
          <w:trHeight w:val="27"/>
        </w:trPr>
        <w:tc>
          <w:tcPr>
            <w:tcW w:w="5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(LOSS) –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7"/>
        </w:trPr>
        <w:tc>
          <w:tcPr>
            <w:tcW w:w="588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(952)</w:t>
            </w:r>
          </w:p>
        </w:tc>
      </w:tr>
      <w:tr>
        <w:trPr>
          <w:trHeight w:val="27"/>
        </w:trPr>
        <w:tc>
          <w:tcPr>
            <w:tcW w:w="5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58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(928)</w:t>
            </w:r>
          </w:p>
        </w:tc>
        <w:tc>
          <w:tcPr>
            <w:tcW w:w="8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w:t>
            </w:r>
          </w:p>
        </w:tc>
      </w:tr>
      <w:tr>
        <w:trPr>
          <w:trHeight w:val="20"/>
        </w:trPr>
        <w:tc>
          <w:tcPr>
            <w:tcW w:w="58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7"/>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common shareholders:</w:t>
            </w: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r>
      <w:tr>
        <w:trPr>
          <w:trHeight w:val="243"/>
        </w:trPr>
        <w:tc>
          <w:tcPr>
            <w:tcW w:w="5880" w:type="dxa"/>
            <w:vAlign w:val="bottom"/>
          </w:tcPr>
          <w:p>
            <w:pPr>
              <w:ind w:left="52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7"/>
        </w:trPr>
        <w:tc>
          <w:tcPr>
            <w:tcW w:w="5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43"/>
        </w:trPr>
        <w:tc>
          <w:tcPr>
            <w:tcW w:w="5880" w:type="dxa"/>
            <w:vAlign w:val="bottom"/>
          </w:tcPr>
          <w:p>
            <w:pPr>
              <w:ind w:left="20"/>
              <w:spacing w:after="0"/>
              <w:rPr>
                <w:sz w:val="20"/>
                <w:szCs w:val="20"/>
                <w:color w:val="auto"/>
              </w:rPr>
            </w:pPr>
            <w:r>
              <w:rPr>
                <w:rFonts w:ascii="Arial" w:cs="Arial" w:eastAsia="Arial" w:hAnsi="Arial"/>
                <w:sz w:val="18"/>
                <w:szCs w:val="18"/>
                <w:color w:val="auto"/>
              </w:rPr>
              <w:t>Weighted-average shares outstanding:</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5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662,149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629,535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651,939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624,581</w:t>
            </w:r>
          </w:p>
        </w:tc>
      </w:tr>
      <w:tr>
        <w:trPr>
          <w:trHeight w:val="243"/>
        </w:trPr>
        <w:tc>
          <w:tcPr>
            <w:tcW w:w="5880" w:type="dxa"/>
            <w:vAlign w:val="bottom"/>
          </w:tcPr>
          <w:p>
            <w:pPr>
              <w:ind w:left="52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662,149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629,535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651,939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624,581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60" w:type="dxa"/>
            <w:vAlign w:val="bottom"/>
          </w:tcPr>
          <w:p>
            <w:pPr>
              <w:spacing w:after="0"/>
              <w:rPr>
                <w:sz w:val="15"/>
                <w:szCs w:val="15"/>
                <w:color w:val="auto"/>
              </w:rPr>
            </w:pPr>
          </w:p>
        </w:tc>
        <w:tc>
          <w:tcPr>
            <w:tcW w:w="220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40" w:type="dxa"/>
            <w:vAlign w:val="bottom"/>
            <w:gridSpan w:val="4"/>
          </w:tcPr>
          <w:p>
            <w:pPr>
              <w:jc w:val="right"/>
              <w:ind w:right="615"/>
              <w:spacing w:after="0"/>
              <w:rPr>
                <w:sz w:val="20"/>
                <w:szCs w:val="20"/>
                <w:color w:val="auto"/>
              </w:rPr>
            </w:pPr>
            <w:r>
              <w:rPr>
                <w:rFonts w:ascii="Arial" w:cs="Arial" w:eastAsia="Arial" w:hAnsi="Arial"/>
                <w:sz w:val="14"/>
                <w:szCs w:val="14"/>
                <w:b w:val="1"/>
                <w:bCs w:val="1"/>
                <w:color w:val="auto"/>
              </w:rPr>
              <w:t>Nine Months Ended</w:t>
            </w:r>
          </w:p>
        </w:tc>
      </w:tr>
      <w:tr>
        <w:trPr>
          <w:trHeight w:val="186"/>
        </w:trPr>
        <w:tc>
          <w:tcPr>
            <w:tcW w:w="5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3"/>
          </w:tcPr>
          <w:p>
            <w:pPr>
              <w:ind w:left="580"/>
              <w:spacing w:after="0"/>
              <w:rPr>
                <w:sz w:val="20"/>
                <w:szCs w:val="20"/>
                <w:color w:val="auto"/>
              </w:rPr>
            </w:pPr>
            <w:r>
              <w:rPr>
                <w:rFonts w:ascii="Arial" w:cs="Arial" w:eastAsia="Arial" w:hAnsi="Arial"/>
                <w:sz w:val="14"/>
                <w:szCs w:val="14"/>
                <w:b w:val="1"/>
                <w:bCs w:val="1"/>
                <w:color w:val="auto"/>
                <w:w w:val="96"/>
              </w:rPr>
              <w:t>September 30,</w:t>
            </w:r>
          </w:p>
        </w:tc>
        <w:tc>
          <w:tcPr>
            <w:tcW w:w="820" w:type="dxa"/>
            <w:vAlign w:val="bottom"/>
          </w:tcPr>
          <w:p>
            <w:pPr>
              <w:spacing w:after="0"/>
              <w:rPr>
                <w:sz w:val="16"/>
                <w:szCs w:val="16"/>
                <w:color w:val="auto"/>
              </w:rPr>
            </w:pPr>
          </w:p>
        </w:tc>
      </w:tr>
      <w:tr>
        <w:trPr>
          <w:trHeight w:val="39"/>
        </w:trPr>
        <w:tc>
          <w:tcPr>
            <w:tcW w:w="586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84"/>
        </w:trPr>
        <w:tc>
          <w:tcPr>
            <w:tcW w:w="58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ind w:right="415"/>
              <w:spacing w:after="0"/>
              <w:rPr>
                <w:sz w:val="20"/>
                <w:szCs w:val="20"/>
                <w:color w:val="auto"/>
              </w:rPr>
            </w:pPr>
            <w:r>
              <w:rPr>
                <w:rFonts w:ascii="Arial" w:cs="Arial" w:eastAsia="Arial" w:hAnsi="Arial"/>
                <w:sz w:val="14"/>
                <w:szCs w:val="14"/>
                <w:b w:val="1"/>
                <w:bCs w:val="1"/>
                <w:color w:val="auto"/>
                <w:w w:val="96"/>
              </w:rPr>
              <w:t>2022</w:t>
            </w:r>
          </w:p>
        </w:tc>
      </w:tr>
      <w:tr>
        <w:trPr>
          <w:trHeight w:val="39"/>
        </w:trPr>
        <w:tc>
          <w:tcPr>
            <w:tcW w:w="586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43"/>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82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(928)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w w:val="95"/>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w:t>
            </w: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5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(loss) on marketable securities</w:t>
            </w:r>
          </w:p>
        </w:tc>
        <w:tc>
          <w:tcPr>
            <w:tcW w:w="8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63"/>
        </w:trPr>
        <w:tc>
          <w:tcPr>
            <w:tcW w:w="586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82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5"/>
              </w:rPr>
              <w:t>(105)</w:t>
            </w:r>
          </w:p>
        </w:tc>
        <w:tc>
          <w:tcPr>
            <w:tcW w:w="10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61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(928)</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w w:val="95"/>
              </w:rPr>
              <w:t>(181)</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w:t>
            </w:r>
          </w:p>
        </w:tc>
      </w:tr>
      <w:tr>
        <w:trPr>
          <w:trHeight w:val="21"/>
        </w:trPr>
        <w:tc>
          <w:tcPr>
            <w:tcW w:w="58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115570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7"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 except number of 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920" w:type="dxa"/>
            <w:vAlign w:val="bottom"/>
            <w:gridSpan w:val="5"/>
          </w:tcPr>
          <w:p>
            <w:pPr>
              <w:ind w:left="100"/>
              <w:spacing w:after="0"/>
              <w:rPr>
                <w:sz w:val="20"/>
                <w:szCs w:val="20"/>
                <w:color w:val="auto"/>
              </w:rPr>
            </w:pPr>
            <w:r>
              <w:rPr>
                <w:rFonts w:ascii="Arial" w:cs="Arial" w:eastAsia="Arial" w:hAnsi="Arial"/>
                <w:sz w:val="14"/>
                <w:szCs w:val="14"/>
                <w:b w:val="1"/>
                <w:bCs w:val="1"/>
                <w:color w:val="auto"/>
              </w:rPr>
              <w:t>Shareholders’ Equity</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50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3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500" w:type="dxa"/>
            <w:vAlign w:val="bottom"/>
          </w:tcPr>
          <w:p>
            <w:pPr>
              <w:spacing w:after="0"/>
              <w:rPr>
                <w:sz w:val="15"/>
                <w:szCs w:val="15"/>
                <w:color w:val="auto"/>
              </w:rPr>
            </w:pPr>
          </w:p>
        </w:tc>
        <w:tc>
          <w:tcPr>
            <w:tcW w:w="1900" w:type="dxa"/>
            <w:vAlign w:val="bottom"/>
            <w:gridSpan w:val="3"/>
            <w:vMerge w:val="restart"/>
          </w:tcPr>
          <w:p>
            <w:pPr>
              <w:jc w:val="right"/>
              <w:ind w:right="30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15"/>
                <w:szCs w:val="15"/>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5"/>
                <w:szCs w:val="15"/>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5"/>
                <w:szCs w:val="15"/>
                <w:color w:val="auto"/>
              </w:rPr>
            </w:pPr>
          </w:p>
        </w:tc>
        <w:tc>
          <w:tcPr>
            <w:tcW w:w="116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05"/>
        </w:trPr>
        <w:tc>
          <w:tcPr>
            <w:tcW w:w="3500" w:type="dxa"/>
            <w:vAlign w:val="bottom"/>
          </w:tcPr>
          <w:p>
            <w:pPr>
              <w:spacing w:after="0"/>
              <w:rPr>
                <w:sz w:val="9"/>
                <w:szCs w:val="9"/>
                <w:color w:val="auto"/>
              </w:rPr>
            </w:pPr>
          </w:p>
        </w:tc>
        <w:tc>
          <w:tcPr>
            <w:tcW w:w="190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vMerge w:val="restart"/>
          </w:tcPr>
          <w:p>
            <w:pPr>
              <w:jc w:val="center"/>
              <w:ind w:left="348"/>
              <w:spacing w:after="0" w:line="125" w:lineRule="exact"/>
              <w:rPr>
                <w:sz w:val="20"/>
                <w:szCs w:val="20"/>
                <w:color w:val="auto"/>
              </w:rPr>
            </w:pPr>
            <w:r>
              <w:rPr>
                <w:rFonts w:ascii="Arial" w:cs="Arial" w:eastAsia="Arial" w:hAnsi="Arial"/>
                <w:sz w:val="14"/>
                <w:szCs w:val="14"/>
                <w:b w:val="1"/>
                <w:bCs w:val="1"/>
                <w:color w:val="auto"/>
                <w:w w:val="94"/>
              </w:rPr>
              <w:t>Paid-in</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gridSpan w:val="2"/>
            <w:vMerge w:val="restart"/>
          </w:tcPr>
          <w:p>
            <w:pPr>
              <w:jc w:val="center"/>
              <w:ind w:right="220"/>
              <w:spacing w:after="0" w:line="12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9"/>
                <w:szCs w:val="9"/>
                <w:color w:val="auto"/>
              </w:rPr>
            </w:pPr>
          </w:p>
        </w:tc>
        <w:tc>
          <w:tcPr>
            <w:tcW w:w="1160" w:type="dxa"/>
            <w:vAlign w:val="bottom"/>
            <w:vMerge w:val="restart"/>
          </w:tcPr>
          <w:p>
            <w:pPr>
              <w:jc w:val="center"/>
              <w:ind w:right="68"/>
              <w:spacing w:after="0" w:line="125"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39"/>
        </w:trPr>
        <w:tc>
          <w:tcPr>
            <w:tcW w:w="350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3500" w:type="dxa"/>
            <w:vAlign w:val="bottom"/>
          </w:tcPr>
          <w:p>
            <w:pPr>
              <w:spacing w:after="0"/>
              <w:rPr>
                <w:sz w:val="17"/>
                <w:szCs w:val="17"/>
                <w:color w:val="auto"/>
              </w:rPr>
            </w:pPr>
          </w:p>
        </w:tc>
        <w:tc>
          <w:tcPr>
            <w:tcW w:w="114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center"/>
              <w:ind w:left="348"/>
              <w:spacing w:after="0"/>
              <w:rPr>
                <w:sz w:val="20"/>
                <w:szCs w:val="20"/>
                <w:color w:val="auto"/>
              </w:rPr>
            </w:pPr>
            <w:r>
              <w:rPr>
                <w:rFonts w:ascii="Arial" w:cs="Arial" w:eastAsia="Arial" w:hAnsi="Arial"/>
                <w:sz w:val="14"/>
                <w:szCs w:val="14"/>
                <w:b w:val="1"/>
                <w:bCs w:val="1"/>
                <w:color w:val="auto"/>
                <w:w w:val="94"/>
              </w:rPr>
              <w:t>Capital</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7"/>
                <w:szCs w:val="17"/>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7"/>
                <w:szCs w:val="17"/>
                <w:color w:val="auto"/>
              </w:rPr>
            </w:pPr>
          </w:p>
        </w:tc>
        <w:tc>
          <w:tcPr>
            <w:tcW w:w="1160" w:type="dxa"/>
            <w:vAlign w:val="bottom"/>
          </w:tcPr>
          <w:p>
            <w:pPr>
              <w:jc w:val="center"/>
              <w:ind w:right="6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6"/>
        </w:trPr>
        <w:tc>
          <w:tcPr>
            <w:tcW w:w="35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BALANCE-June 30, 2023</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657,337,566</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608"/>
              <w:spacing w:after="0"/>
              <w:rPr>
                <w:sz w:val="20"/>
                <w:szCs w:val="20"/>
                <w:color w:val="auto"/>
              </w:rPr>
            </w:pPr>
            <w:r>
              <w:rPr>
                <w:rFonts w:ascii="Arial" w:cs="Arial" w:eastAsia="Arial" w:hAnsi="Arial"/>
                <w:sz w:val="14"/>
                <w:szCs w:val="14"/>
                <w:color w:val="auto"/>
                <w:w w:val="76"/>
              </w:rPr>
              <w:t>$</w:t>
            </w:r>
          </w:p>
        </w:tc>
        <w:tc>
          <w:tcPr>
            <w:tcW w:w="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4,224</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(3,136)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1,086</w:t>
            </w:r>
          </w:p>
        </w:tc>
        <w:tc>
          <w:tcPr>
            <w:tcW w:w="0" w:type="dxa"/>
            <w:vAlign w:val="bottom"/>
          </w:tcPr>
          <w:p>
            <w:pPr>
              <w:spacing w:after="0"/>
              <w:rPr>
                <w:sz w:val="1"/>
                <w:szCs w:val="1"/>
                <w:color w:val="auto"/>
              </w:rPr>
            </w:pPr>
          </w:p>
        </w:tc>
      </w:tr>
      <w:tr>
        <w:trPr>
          <w:trHeight w:val="190"/>
        </w:trPr>
        <w:tc>
          <w:tcPr>
            <w:tcW w:w="3500" w:type="dxa"/>
            <w:vAlign w:val="bottom"/>
          </w:tcPr>
          <w:p>
            <w:pPr>
              <w:ind w:left="20"/>
              <w:spacing w:after="0"/>
              <w:rPr>
                <w:sz w:val="20"/>
                <w:szCs w:val="20"/>
                <w:color w:val="auto"/>
              </w:rPr>
            </w:pPr>
            <w:r>
              <w:rPr>
                <w:rFonts w:ascii="Arial" w:cs="Arial" w:eastAsia="Arial" w:hAnsi="Arial"/>
                <w:sz w:val="14"/>
                <w:szCs w:val="14"/>
                <w:color w:val="auto"/>
              </w:rPr>
              <w:t>Vesting of restricted stock units</w:t>
            </w:r>
          </w:p>
        </w:tc>
        <w:tc>
          <w:tcPr>
            <w:tcW w:w="1040" w:type="dxa"/>
            <w:vAlign w:val="bottom"/>
          </w:tcPr>
          <w:p>
            <w:pPr>
              <w:jc w:val="right"/>
              <w:spacing w:after="0"/>
              <w:rPr>
                <w:sz w:val="20"/>
                <w:szCs w:val="20"/>
                <w:color w:val="auto"/>
              </w:rPr>
            </w:pPr>
            <w:r>
              <w:rPr>
                <w:rFonts w:ascii="Arial" w:cs="Arial" w:eastAsia="Arial" w:hAnsi="Arial"/>
                <w:sz w:val="14"/>
                <w:szCs w:val="14"/>
                <w:color w:val="auto"/>
              </w:rPr>
              <w:t>9,613,088</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4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3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Exercise of stock options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134,563</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500" w:type="dxa"/>
            <w:vAlign w:val="bottom"/>
          </w:tcPr>
          <w:p>
            <w:pPr>
              <w:ind w:left="20"/>
              <w:spacing w:after="0"/>
              <w:rPr>
                <w:sz w:val="20"/>
                <w:szCs w:val="20"/>
                <w:color w:val="auto"/>
              </w:rPr>
            </w:pPr>
            <w:r>
              <w:rPr>
                <w:rFonts w:ascii="Arial" w:cs="Arial" w:eastAsia="Arial" w:hAnsi="Arial"/>
                <w:sz w:val="14"/>
                <w:szCs w:val="14"/>
                <w:color w:val="auto"/>
              </w:rPr>
              <w:t>Employee stock purchase plan</w:t>
            </w:r>
          </w:p>
        </w:tc>
        <w:tc>
          <w:tcPr>
            <w:tcW w:w="1040" w:type="dxa"/>
            <w:vAlign w:val="bottom"/>
          </w:tcPr>
          <w:p>
            <w:pPr>
              <w:jc w:val="right"/>
              <w:spacing w:after="0"/>
              <w:rPr>
                <w:sz w:val="20"/>
                <w:szCs w:val="20"/>
                <w:color w:val="auto"/>
              </w:rPr>
            </w:pPr>
            <w:r>
              <w:rPr>
                <w:rFonts w:ascii="Arial" w:cs="Arial" w:eastAsia="Arial" w:hAnsi="Arial"/>
                <w:sz w:val="14"/>
                <w:szCs w:val="14"/>
                <w:color w:val="auto"/>
              </w:rPr>
              <w:t>1,507,363</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39"/>
        </w:trPr>
        <w:tc>
          <w:tcPr>
            <w:tcW w:w="3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90"/>
        </w:trPr>
        <w:tc>
          <w:tcPr>
            <w:tcW w:w="350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4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39"/>
        </w:trPr>
        <w:tc>
          <w:tcPr>
            <w:tcW w:w="3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217"/>
        </w:trPr>
        <w:tc>
          <w:tcPr>
            <w:tcW w:w="3500" w:type="dxa"/>
            <w:vAlign w:val="bottom"/>
          </w:tcPr>
          <w:p>
            <w:pPr>
              <w:ind w:left="20"/>
              <w:spacing w:after="0"/>
              <w:rPr>
                <w:sz w:val="20"/>
                <w:szCs w:val="20"/>
                <w:color w:val="auto"/>
              </w:rPr>
            </w:pPr>
            <w:r>
              <w:rPr>
                <w:rFonts w:ascii="Arial" w:cs="Arial" w:eastAsia="Arial" w:hAnsi="Arial"/>
                <w:sz w:val="14"/>
                <w:szCs w:val="14"/>
                <w:color w:val="auto"/>
              </w:rPr>
              <w:t>BALANCE–September 30, 2023</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668,592,580</w:t>
            </w:r>
          </w:p>
        </w:tc>
        <w:tc>
          <w:tcPr>
            <w:tcW w:w="1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4,263</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(3,242)</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1,020</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9"/>
        </w:trPr>
        <w:tc>
          <w:tcPr>
            <w:tcW w:w="3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20" w:type="dxa"/>
            <w:vAlign w:val="bottom"/>
            <w:gridSpan w:val="5"/>
          </w:tcPr>
          <w:p>
            <w:pPr>
              <w:ind w:left="100"/>
              <w:spacing w:after="0"/>
              <w:rPr>
                <w:sz w:val="20"/>
                <w:szCs w:val="20"/>
                <w:color w:val="auto"/>
              </w:rPr>
            </w:pPr>
            <w:r>
              <w:rPr>
                <w:rFonts w:ascii="Arial" w:cs="Arial" w:eastAsia="Arial" w:hAnsi="Arial"/>
                <w:sz w:val="14"/>
                <w:szCs w:val="14"/>
                <w:b w:val="1"/>
                <w:bCs w:val="1"/>
                <w:color w:val="auto"/>
              </w:rPr>
              <w:t>Shareholders’ Equity</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350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3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500" w:type="dxa"/>
            <w:vAlign w:val="bottom"/>
          </w:tcPr>
          <w:p>
            <w:pPr>
              <w:spacing w:after="0"/>
              <w:rPr>
                <w:sz w:val="15"/>
                <w:szCs w:val="15"/>
                <w:color w:val="auto"/>
              </w:rPr>
            </w:pPr>
          </w:p>
        </w:tc>
        <w:tc>
          <w:tcPr>
            <w:tcW w:w="1900" w:type="dxa"/>
            <w:vAlign w:val="bottom"/>
            <w:gridSpan w:val="3"/>
            <w:vMerge w:val="restart"/>
          </w:tcPr>
          <w:p>
            <w:pPr>
              <w:jc w:val="right"/>
              <w:ind w:right="30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15"/>
                <w:szCs w:val="15"/>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5"/>
                <w:szCs w:val="15"/>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5"/>
                <w:szCs w:val="15"/>
                <w:color w:val="auto"/>
              </w:rPr>
            </w:pPr>
          </w:p>
        </w:tc>
        <w:tc>
          <w:tcPr>
            <w:tcW w:w="116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05"/>
        </w:trPr>
        <w:tc>
          <w:tcPr>
            <w:tcW w:w="3500" w:type="dxa"/>
            <w:vAlign w:val="bottom"/>
          </w:tcPr>
          <w:p>
            <w:pPr>
              <w:spacing w:after="0"/>
              <w:rPr>
                <w:sz w:val="9"/>
                <w:szCs w:val="9"/>
                <w:color w:val="auto"/>
              </w:rPr>
            </w:pPr>
          </w:p>
        </w:tc>
        <w:tc>
          <w:tcPr>
            <w:tcW w:w="190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vMerge w:val="restart"/>
          </w:tcPr>
          <w:p>
            <w:pPr>
              <w:jc w:val="center"/>
              <w:ind w:left="348"/>
              <w:spacing w:after="0" w:line="125" w:lineRule="exact"/>
              <w:rPr>
                <w:sz w:val="20"/>
                <w:szCs w:val="20"/>
                <w:color w:val="auto"/>
              </w:rPr>
            </w:pPr>
            <w:r>
              <w:rPr>
                <w:rFonts w:ascii="Arial" w:cs="Arial" w:eastAsia="Arial" w:hAnsi="Arial"/>
                <w:sz w:val="14"/>
                <w:szCs w:val="14"/>
                <w:b w:val="1"/>
                <w:bCs w:val="1"/>
                <w:color w:val="auto"/>
                <w:w w:val="94"/>
              </w:rPr>
              <w:t>Paid-in</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gridSpan w:val="2"/>
            <w:vMerge w:val="restart"/>
          </w:tcPr>
          <w:p>
            <w:pPr>
              <w:jc w:val="center"/>
              <w:ind w:right="220"/>
              <w:spacing w:after="0" w:line="12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9"/>
                <w:szCs w:val="9"/>
                <w:color w:val="auto"/>
              </w:rPr>
            </w:pPr>
          </w:p>
        </w:tc>
        <w:tc>
          <w:tcPr>
            <w:tcW w:w="1160" w:type="dxa"/>
            <w:vAlign w:val="bottom"/>
            <w:vMerge w:val="restart"/>
          </w:tcPr>
          <w:p>
            <w:pPr>
              <w:jc w:val="center"/>
              <w:ind w:right="68"/>
              <w:spacing w:after="0" w:line="125"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39"/>
        </w:trPr>
        <w:tc>
          <w:tcPr>
            <w:tcW w:w="350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3500" w:type="dxa"/>
            <w:vAlign w:val="bottom"/>
          </w:tcPr>
          <w:p>
            <w:pPr>
              <w:spacing w:after="0"/>
              <w:rPr>
                <w:sz w:val="17"/>
                <w:szCs w:val="17"/>
                <w:color w:val="auto"/>
              </w:rPr>
            </w:pPr>
          </w:p>
        </w:tc>
        <w:tc>
          <w:tcPr>
            <w:tcW w:w="114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center"/>
              <w:ind w:left="348"/>
              <w:spacing w:after="0"/>
              <w:rPr>
                <w:sz w:val="20"/>
                <w:szCs w:val="20"/>
                <w:color w:val="auto"/>
              </w:rPr>
            </w:pPr>
            <w:r>
              <w:rPr>
                <w:rFonts w:ascii="Arial" w:cs="Arial" w:eastAsia="Arial" w:hAnsi="Arial"/>
                <w:sz w:val="14"/>
                <w:szCs w:val="14"/>
                <w:b w:val="1"/>
                <w:bCs w:val="1"/>
                <w:color w:val="auto"/>
                <w:w w:val="94"/>
              </w:rPr>
              <w:t>Capital</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7"/>
                <w:szCs w:val="17"/>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7"/>
                <w:szCs w:val="17"/>
                <w:color w:val="auto"/>
              </w:rPr>
            </w:pPr>
          </w:p>
        </w:tc>
        <w:tc>
          <w:tcPr>
            <w:tcW w:w="1160" w:type="dxa"/>
            <w:vAlign w:val="bottom"/>
          </w:tcPr>
          <w:p>
            <w:pPr>
              <w:jc w:val="center"/>
              <w:ind w:right="6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6"/>
        </w:trPr>
        <w:tc>
          <w:tcPr>
            <w:tcW w:w="35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BALANCE-December 31, 2022</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637,387,025</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608"/>
              <w:spacing w:after="0"/>
              <w:rPr>
                <w:sz w:val="20"/>
                <w:szCs w:val="20"/>
                <w:color w:val="auto"/>
              </w:rPr>
            </w:pPr>
            <w:r>
              <w:rPr>
                <w:rFonts w:ascii="Arial" w:cs="Arial" w:eastAsia="Arial" w:hAnsi="Arial"/>
                <w:sz w:val="14"/>
                <w:szCs w:val="14"/>
                <w:color w:val="auto"/>
                <w:w w:val="76"/>
              </w:rPr>
              <w:t>$</w:t>
            </w:r>
          </w:p>
        </w:tc>
        <w:tc>
          <w:tcPr>
            <w:tcW w:w="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4,148</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(3,058)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1,086</w:t>
            </w:r>
          </w:p>
        </w:tc>
        <w:tc>
          <w:tcPr>
            <w:tcW w:w="0" w:type="dxa"/>
            <w:vAlign w:val="bottom"/>
          </w:tcPr>
          <w:p>
            <w:pPr>
              <w:spacing w:after="0"/>
              <w:rPr>
                <w:sz w:val="1"/>
                <w:szCs w:val="1"/>
                <w:color w:val="auto"/>
              </w:rPr>
            </w:pPr>
          </w:p>
        </w:tc>
      </w:tr>
      <w:tr>
        <w:trPr>
          <w:trHeight w:val="190"/>
        </w:trPr>
        <w:tc>
          <w:tcPr>
            <w:tcW w:w="3500" w:type="dxa"/>
            <w:vAlign w:val="bottom"/>
          </w:tcPr>
          <w:p>
            <w:pPr>
              <w:ind w:left="20"/>
              <w:spacing w:after="0"/>
              <w:rPr>
                <w:sz w:val="20"/>
                <w:szCs w:val="20"/>
                <w:color w:val="auto"/>
              </w:rPr>
            </w:pPr>
            <w:r>
              <w:rPr>
                <w:rFonts w:ascii="Arial" w:cs="Arial" w:eastAsia="Arial" w:hAnsi="Arial"/>
                <w:sz w:val="14"/>
                <w:szCs w:val="14"/>
                <w:color w:val="auto"/>
              </w:rPr>
              <w:t>Vesting of restricted stock units</w:t>
            </w:r>
          </w:p>
        </w:tc>
        <w:tc>
          <w:tcPr>
            <w:tcW w:w="1040" w:type="dxa"/>
            <w:vAlign w:val="bottom"/>
          </w:tcPr>
          <w:p>
            <w:pPr>
              <w:jc w:val="right"/>
              <w:spacing w:after="0"/>
              <w:rPr>
                <w:sz w:val="20"/>
                <w:szCs w:val="20"/>
                <w:color w:val="auto"/>
              </w:rPr>
            </w:pPr>
            <w:r>
              <w:rPr>
                <w:rFonts w:ascii="Arial" w:cs="Arial" w:eastAsia="Arial" w:hAnsi="Arial"/>
                <w:sz w:val="14"/>
                <w:szCs w:val="14"/>
                <w:color w:val="auto"/>
              </w:rPr>
              <w:t>26,749,344</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4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3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Exercise of stock options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2,304,417</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1"/>
        </w:trPr>
        <w:tc>
          <w:tcPr>
            <w:tcW w:w="3500" w:type="dxa"/>
            <w:vAlign w:val="bottom"/>
          </w:tcPr>
          <w:p>
            <w:pPr>
              <w:ind w:left="20"/>
              <w:spacing w:after="0"/>
              <w:rPr>
                <w:sz w:val="20"/>
                <w:szCs w:val="20"/>
                <w:color w:val="auto"/>
              </w:rPr>
            </w:pPr>
            <w:r>
              <w:rPr>
                <w:rFonts w:ascii="Arial" w:cs="Arial" w:eastAsia="Arial" w:hAnsi="Arial"/>
                <w:sz w:val="14"/>
                <w:szCs w:val="14"/>
                <w:color w:val="auto"/>
              </w:rPr>
              <w:t>Employee stock purchase plan</w:t>
            </w:r>
          </w:p>
        </w:tc>
        <w:tc>
          <w:tcPr>
            <w:tcW w:w="1040" w:type="dxa"/>
            <w:vAlign w:val="bottom"/>
          </w:tcPr>
          <w:p>
            <w:pPr>
              <w:jc w:val="right"/>
              <w:spacing w:after="0"/>
              <w:rPr>
                <w:sz w:val="20"/>
                <w:szCs w:val="20"/>
                <w:color w:val="auto"/>
              </w:rPr>
            </w:pPr>
            <w:r>
              <w:rPr>
                <w:rFonts w:ascii="Arial" w:cs="Arial" w:eastAsia="Arial" w:hAnsi="Arial"/>
                <w:sz w:val="14"/>
                <w:szCs w:val="14"/>
                <w:color w:val="auto"/>
              </w:rPr>
              <w:t>2,151,794</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39"/>
        </w:trPr>
        <w:tc>
          <w:tcPr>
            <w:tcW w:w="3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90"/>
        </w:trPr>
        <w:tc>
          <w:tcPr>
            <w:tcW w:w="350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4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39"/>
        </w:trPr>
        <w:tc>
          <w:tcPr>
            <w:tcW w:w="3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217"/>
        </w:trPr>
        <w:tc>
          <w:tcPr>
            <w:tcW w:w="3500" w:type="dxa"/>
            <w:vAlign w:val="bottom"/>
          </w:tcPr>
          <w:p>
            <w:pPr>
              <w:ind w:left="20"/>
              <w:spacing w:after="0"/>
              <w:rPr>
                <w:sz w:val="20"/>
                <w:szCs w:val="20"/>
                <w:color w:val="auto"/>
              </w:rPr>
            </w:pPr>
            <w:r>
              <w:rPr>
                <w:rFonts w:ascii="Arial" w:cs="Arial" w:eastAsia="Arial" w:hAnsi="Arial"/>
                <w:sz w:val="14"/>
                <w:szCs w:val="14"/>
                <w:color w:val="auto"/>
              </w:rPr>
              <w:t>BALANCE–September 30, 2023</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668,592,580</w:t>
            </w:r>
          </w:p>
        </w:tc>
        <w:tc>
          <w:tcPr>
            <w:tcW w:w="1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4,263</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(3,242)</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1,020</w:t>
            </w:r>
          </w:p>
        </w:tc>
        <w:tc>
          <w:tcPr>
            <w:tcW w:w="0" w:type="dxa"/>
            <w:vAlign w:val="bottom"/>
          </w:tcPr>
          <w:p>
            <w:pPr>
              <w:spacing w:after="0"/>
              <w:rPr>
                <w:sz w:val="1"/>
                <w:szCs w:val="1"/>
                <w:color w:val="auto"/>
              </w:rPr>
            </w:pPr>
          </w:p>
        </w:tc>
      </w:tr>
      <w:tr>
        <w:trPr>
          <w:trHeight w:val="26"/>
        </w:trPr>
        <w:tc>
          <w:tcPr>
            <w:tcW w:w="35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7"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 except number of 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920" w:type="dxa"/>
            <w:vAlign w:val="bottom"/>
            <w:gridSpan w:val="5"/>
          </w:tcPr>
          <w:p>
            <w:pPr>
              <w:ind w:left="100"/>
              <w:spacing w:after="0"/>
              <w:rPr>
                <w:sz w:val="20"/>
                <w:szCs w:val="20"/>
                <w:color w:val="auto"/>
              </w:rPr>
            </w:pPr>
            <w:r>
              <w:rPr>
                <w:rFonts w:ascii="Arial" w:cs="Arial" w:eastAsia="Arial" w:hAnsi="Arial"/>
                <w:sz w:val="14"/>
                <w:szCs w:val="14"/>
                <w:b w:val="1"/>
                <w:bCs w:val="1"/>
                <w:color w:val="auto"/>
              </w:rPr>
              <w:t>Shareholders’ Equity</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50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3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500" w:type="dxa"/>
            <w:vAlign w:val="bottom"/>
          </w:tcPr>
          <w:p>
            <w:pPr>
              <w:spacing w:after="0"/>
              <w:rPr>
                <w:sz w:val="15"/>
                <w:szCs w:val="15"/>
                <w:color w:val="auto"/>
              </w:rPr>
            </w:pPr>
          </w:p>
        </w:tc>
        <w:tc>
          <w:tcPr>
            <w:tcW w:w="1900" w:type="dxa"/>
            <w:vAlign w:val="bottom"/>
            <w:gridSpan w:val="3"/>
            <w:vMerge w:val="restart"/>
          </w:tcPr>
          <w:p>
            <w:pPr>
              <w:jc w:val="right"/>
              <w:ind w:right="30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15"/>
                <w:szCs w:val="15"/>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5"/>
                <w:szCs w:val="15"/>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5"/>
                <w:szCs w:val="15"/>
                <w:color w:val="auto"/>
              </w:rPr>
            </w:pPr>
          </w:p>
        </w:tc>
        <w:tc>
          <w:tcPr>
            <w:tcW w:w="116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05"/>
        </w:trPr>
        <w:tc>
          <w:tcPr>
            <w:tcW w:w="3500" w:type="dxa"/>
            <w:vAlign w:val="bottom"/>
          </w:tcPr>
          <w:p>
            <w:pPr>
              <w:spacing w:after="0"/>
              <w:rPr>
                <w:sz w:val="9"/>
                <w:szCs w:val="9"/>
                <w:color w:val="auto"/>
              </w:rPr>
            </w:pPr>
          </w:p>
        </w:tc>
        <w:tc>
          <w:tcPr>
            <w:tcW w:w="190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vMerge w:val="restart"/>
          </w:tcPr>
          <w:p>
            <w:pPr>
              <w:jc w:val="center"/>
              <w:ind w:left="348"/>
              <w:spacing w:after="0" w:line="125" w:lineRule="exact"/>
              <w:rPr>
                <w:sz w:val="20"/>
                <w:szCs w:val="20"/>
                <w:color w:val="auto"/>
              </w:rPr>
            </w:pPr>
            <w:r>
              <w:rPr>
                <w:rFonts w:ascii="Arial" w:cs="Arial" w:eastAsia="Arial" w:hAnsi="Arial"/>
                <w:sz w:val="14"/>
                <w:szCs w:val="14"/>
                <w:b w:val="1"/>
                <w:bCs w:val="1"/>
                <w:color w:val="auto"/>
                <w:w w:val="94"/>
              </w:rPr>
              <w:t>Paid-in</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gridSpan w:val="2"/>
            <w:vMerge w:val="restart"/>
          </w:tcPr>
          <w:p>
            <w:pPr>
              <w:jc w:val="center"/>
              <w:ind w:right="220"/>
              <w:spacing w:after="0" w:line="12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9"/>
                <w:szCs w:val="9"/>
                <w:color w:val="auto"/>
              </w:rPr>
            </w:pPr>
          </w:p>
        </w:tc>
        <w:tc>
          <w:tcPr>
            <w:tcW w:w="1160" w:type="dxa"/>
            <w:vAlign w:val="bottom"/>
            <w:vMerge w:val="restart"/>
          </w:tcPr>
          <w:p>
            <w:pPr>
              <w:jc w:val="center"/>
              <w:ind w:right="68"/>
              <w:spacing w:after="0" w:line="125"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39"/>
        </w:trPr>
        <w:tc>
          <w:tcPr>
            <w:tcW w:w="350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3500" w:type="dxa"/>
            <w:vAlign w:val="bottom"/>
          </w:tcPr>
          <w:p>
            <w:pPr>
              <w:spacing w:after="0"/>
              <w:rPr>
                <w:sz w:val="17"/>
                <w:szCs w:val="17"/>
                <w:color w:val="auto"/>
              </w:rPr>
            </w:pPr>
          </w:p>
        </w:tc>
        <w:tc>
          <w:tcPr>
            <w:tcW w:w="114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center"/>
              <w:ind w:left="348"/>
              <w:spacing w:after="0"/>
              <w:rPr>
                <w:sz w:val="20"/>
                <w:szCs w:val="20"/>
                <w:color w:val="auto"/>
              </w:rPr>
            </w:pPr>
            <w:r>
              <w:rPr>
                <w:rFonts w:ascii="Arial" w:cs="Arial" w:eastAsia="Arial" w:hAnsi="Arial"/>
                <w:sz w:val="14"/>
                <w:szCs w:val="14"/>
                <w:b w:val="1"/>
                <w:bCs w:val="1"/>
                <w:color w:val="auto"/>
                <w:w w:val="94"/>
              </w:rPr>
              <w:t>Capital</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7"/>
                <w:szCs w:val="17"/>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7"/>
                <w:szCs w:val="17"/>
                <w:color w:val="auto"/>
              </w:rPr>
            </w:pPr>
          </w:p>
        </w:tc>
        <w:tc>
          <w:tcPr>
            <w:tcW w:w="1160" w:type="dxa"/>
            <w:vAlign w:val="bottom"/>
          </w:tcPr>
          <w:p>
            <w:pPr>
              <w:jc w:val="center"/>
              <w:ind w:right="6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6"/>
        </w:trPr>
        <w:tc>
          <w:tcPr>
            <w:tcW w:w="35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BALANCE-June 30, 2022</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627,033,133</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608"/>
              <w:spacing w:after="0"/>
              <w:rPr>
                <w:sz w:val="20"/>
                <w:szCs w:val="20"/>
                <w:color w:val="auto"/>
              </w:rPr>
            </w:pPr>
            <w:r>
              <w:rPr>
                <w:rFonts w:ascii="Arial" w:cs="Arial" w:eastAsia="Arial" w:hAnsi="Arial"/>
                <w:sz w:val="14"/>
                <w:szCs w:val="14"/>
                <w:color w:val="auto"/>
                <w:w w:val="76"/>
              </w:rPr>
              <w:t>$</w:t>
            </w:r>
          </w:p>
        </w:tc>
        <w:tc>
          <w:tcPr>
            <w:tcW w:w="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4,092</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2,356</w:t>
            </w:r>
          </w:p>
        </w:tc>
        <w:tc>
          <w:tcPr>
            <w:tcW w:w="0" w:type="dxa"/>
            <w:vAlign w:val="bottom"/>
          </w:tcPr>
          <w:p>
            <w:pPr>
              <w:spacing w:after="0"/>
              <w:rPr>
                <w:sz w:val="1"/>
                <w:szCs w:val="1"/>
                <w:color w:val="auto"/>
              </w:rPr>
            </w:pPr>
          </w:p>
        </w:tc>
      </w:tr>
      <w:tr>
        <w:trPr>
          <w:trHeight w:val="190"/>
        </w:trPr>
        <w:tc>
          <w:tcPr>
            <w:tcW w:w="3500" w:type="dxa"/>
            <w:vAlign w:val="bottom"/>
          </w:tcPr>
          <w:p>
            <w:pPr>
              <w:ind w:left="20"/>
              <w:spacing w:after="0"/>
              <w:rPr>
                <w:sz w:val="20"/>
                <w:szCs w:val="20"/>
                <w:color w:val="auto"/>
              </w:rPr>
            </w:pPr>
            <w:r>
              <w:rPr>
                <w:rFonts w:ascii="Arial" w:cs="Arial" w:eastAsia="Arial" w:hAnsi="Arial"/>
                <w:sz w:val="14"/>
                <w:szCs w:val="14"/>
                <w:color w:val="auto"/>
              </w:rPr>
              <w:t>Vesting of restricted shares</w:t>
            </w:r>
          </w:p>
        </w:tc>
        <w:tc>
          <w:tcPr>
            <w:tcW w:w="1040" w:type="dxa"/>
            <w:vAlign w:val="bottom"/>
          </w:tcPr>
          <w:p>
            <w:pPr>
              <w:jc w:val="right"/>
              <w:spacing w:after="0"/>
              <w:rPr>
                <w:sz w:val="20"/>
                <w:szCs w:val="20"/>
                <w:color w:val="auto"/>
              </w:rPr>
            </w:pPr>
            <w:r>
              <w:rPr>
                <w:rFonts w:ascii="Arial" w:cs="Arial" w:eastAsia="Arial" w:hAnsi="Arial"/>
                <w:sz w:val="14"/>
                <w:szCs w:val="14"/>
                <w:color w:val="auto"/>
              </w:rPr>
              <w:t>316</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4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0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3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Vesting of restricted stock units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4,414,922</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50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1040" w:type="dxa"/>
            <w:vAlign w:val="bottom"/>
          </w:tcPr>
          <w:p>
            <w:pPr>
              <w:jc w:val="right"/>
              <w:spacing w:after="0"/>
              <w:rPr>
                <w:sz w:val="20"/>
                <w:szCs w:val="20"/>
                <w:color w:val="auto"/>
              </w:rPr>
            </w:pPr>
            <w:r>
              <w:rPr>
                <w:rFonts w:ascii="Arial" w:cs="Arial" w:eastAsia="Arial" w:hAnsi="Arial"/>
                <w:sz w:val="14"/>
                <w:szCs w:val="14"/>
                <w:color w:val="auto"/>
              </w:rPr>
              <w:t>570,974</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0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39"/>
        </w:trPr>
        <w:tc>
          <w:tcPr>
            <w:tcW w:w="3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Employee stock purchase plan</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493,790</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0"/>
        </w:trPr>
        <w:tc>
          <w:tcPr>
            <w:tcW w:w="35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57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0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39"/>
        </w:trPr>
        <w:tc>
          <w:tcPr>
            <w:tcW w:w="3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3500" w:type="dxa"/>
            <w:vAlign w:val="bottom"/>
          </w:tcPr>
          <w:p>
            <w:pPr>
              <w:ind w:left="20"/>
              <w:spacing w:after="0"/>
              <w:rPr>
                <w:sz w:val="20"/>
                <w:szCs w:val="20"/>
                <w:color w:val="auto"/>
              </w:rPr>
            </w:pPr>
            <w:r>
              <w:rPr>
                <w:rFonts w:ascii="Arial" w:cs="Arial" w:eastAsia="Arial" w:hAnsi="Arial"/>
                <w:sz w:val="14"/>
                <w:szCs w:val="14"/>
                <w:color w:val="auto"/>
              </w:rPr>
              <w:t>Net loss</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(928)</w:t>
            </w:r>
          </w:p>
        </w:tc>
        <w:tc>
          <w:tcPr>
            <w:tcW w:w="0" w:type="dxa"/>
            <w:vAlign w:val="bottom"/>
          </w:tcPr>
          <w:p>
            <w:pPr>
              <w:spacing w:after="0"/>
              <w:rPr>
                <w:sz w:val="1"/>
                <w:szCs w:val="1"/>
                <w:color w:val="auto"/>
              </w:rPr>
            </w:pPr>
          </w:p>
        </w:tc>
      </w:tr>
      <w:tr>
        <w:trPr>
          <w:trHeight w:val="39"/>
        </w:trPr>
        <w:tc>
          <w:tcPr>
            <w:tcW w:w="35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BALANCE–September 30, 2022</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632,513,135</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w w:val="76"/>
              </w:rPr>
              <w:t>$</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4,152</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1,488</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20" w:type="dxa"/>
            <w:vAlign w:val="bottom"/>
            <w:gridSpan w:val="5"/>
          </w:tcPr>
          <w:p>
            <w:pPr>
              <w:ind w:left="100"/>
              <w:spacing w:after="0"/>
              <w:rPr>
                <w:sz w:val="20"/>
                <w:szCs w:val="20"/>
                <w:color w:val="auto"/>
              </w:rPr>
            </w:pPr>
            <w:r>
              <w:rPr>
                <w:rFonts w:ascii="Arial" w:cs="Arial" w:eastAsia="Arial" w:hAnsi="Arial"/>
                <w:sz w:val="14"/>
                <w:szCs w:val="14"/>
                <w:b w:val="1"/>
                <w:bCs w:val="1"/>
                <w:color w:val="auto"/>
              </w:rPr>
              <w:t>Shareholders’ Equity</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350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3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500" w:type="dxa"/>
            <w:vAlign w:val="bottom"/>
          </w:tcPr>
          <w:p>
            <w:pPr>
              <w:spacing w:after="0"/>
              <w:rPr>
                <w:sz w:val="15"/>
                <w:szCs w:val="15"/>
                <w:color w:val="auto"/>
              </w:rPr>
            </w:pPr>
          </w:p>
        </w:tc>
        <w:tc>
          <w:tcPr>
            <w:tcW w:w="1900" w:type="dxa"/>
            <w:vAlign w:val="bottom"/>
            <w:gridSpan w:val="3"/>
            <w:vMerge w:val="restart"/>
          </w:tcPr>
          <w:p>
            <w:pPr>
              <w:jc w:val="right"/>
              <w:ind w:right="30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15"/>
                <w:szCs w:val="15"/>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5"/>
                <w:szCs w:val="15"/>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5"/>
                <w:szCs w:val="15"/>
                <w:color w:val="auto"/>
              </w:rPr>
            </w:pPr>
          </w:p>
        </w:tc>
        <w:tc>
          <w:tcPr>
            <w:tcW w:w="116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05"/>
        </w:trPr>
        <w:tc>
          <w:tcPr>
            <w:tcW w:w="3500" w:type="dxa"/>
            <w:vAlign w:val="bottom"/>
          </w:tcPr>
          <w:p>
            <w:pPr>
              <w:spacing w:after="0"/>
              <w:rPr>
                <w:sz w:val="9"/>
                <w:szCs w:val="9"/>
                <w:color w:val="auto"/>
              </w:rPr>
            </w:pPr>
          </w:p>
        </w:tc>
        <w:tc>
          <w:tcPr>
            <w:tcW w:w="190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vMerge w:val="restart"/>
          </w:tcPr>
          <w:p>
            <w:pPr>
              <w:jc w:val="center"/>
              <w:ind w:left="348"/>
              <w:spacing w:after="0" w:line="125" w:lineRule="exact"/>
              <w:rPr>
                <w:sz w:val="20"/>
                <w:szCs w:val="20"/>
                <w:color w:val="auto"/>
              </w:rPr>
            </w:pPr>
            <w:r>
              <w:rPr>
                <w:rFonts w:ascii="Arial" w:cs="Arial" w:eastAsia="Arial" w:hAnsi="Arial"/>
                <w:sz w:val="14"/>
                <w:szCs w:val="14"/>
                <w:b w:val="1"/>
                <w:bCs w:val="1"/>
                <w:color w:val="auto"/>
                <w:w w:val="94"/>
              </w:rPr>
              <w:t>Paid-in</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gridSpan w:val="2"/>
            <w:vMerge w:val="restart"/>
          </w:tcPr>
          <w:p>
            <w:pPr>
              <w:jc w:val="center"/>
              <w:ind w:right="220"/>
              <w:spacing w:after="0" w:line="12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9"/>
                <w:szCs w:val="9"/>
                <w:color w:val="auto"/>
              </w:rPr>
            </w:pPr>
          </w:p>
        </w:tc>
        <w:tc>
          <w:tcPr>
            <w:tcW w:w="1160" w:type="dxa"/>
            <w:vAlign w:val="bottom"/>
            <w:vMerge w:val="restart"/>
          </w:tcPr>
          <w:p>
            <w:pPr>
              <w:jc w:val="center"/>
              <w:ind w:right="68"/>
              <w:spacing w:after="0" w:line="125"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39"/>
        </w:trPr>
        <w:tc>
          <w:tcPr>
            <w:tcW w:w="350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3500" w:type="dxa"/>
            <w:vAlign w:val="bottom"/>
          </w:tcPr>
          <w:p>
            <w:pPr>
              <w:spacing w:after="0"/>
              <w:rPr>
                <w:sz w:val="17"/>
                <w:szCs w:val="17"/>
                <w:color w:val="auto"/>
              </w:rPr>
            </w:pPr>
          </w:p>
        </w:tc>
        <w:tc>
          <w:tcPr>
            <w:tcW w:w="114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center"/>
              <w:ind w:left="348"/>
              <w:spacing w:after="0"/>
              <w:rPr>
                <w:sz w:val="20"/>
                <w:szCs w:val="20"/>
                <w:color w:val="auto"/>
              </w:rPr>
            </w:pPr>
            <w:r>
              <w:rPr>
                <w:rFonts w:ascii="Arial" w:cs="Arial" w:eastAsia="Arial" w:hAnsi="Arial"/>
                <w:sz w:val="14"/>
                <w:szCs w:val="14"/>
                <w:b w:val="1"/>
                <w:bCs w:val="1"/>
                <w:color w:val="auto"/>
                <w:w w:val="94"/>
              </w:rPr>
              <w:t>Capital</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7"/>
                <w:szCs w:val="17"/>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7"/>
                <w:szCs w:val="17"/>
                <w:color w:val="auto"/>
              </w:rPr>
            </w:pPr>
          </w:p>
        </w:tc>
        <w:tc>
          <w:tcPr>
            <w:tcW w:w="1160" w:type="dxa"/>
            <w:vAlign w:val="bottom"/>
          </w:tcPr>
          <w:p>
            <w:pPr>
              <w:jc w:val="center"/>
              <w:ind w:right="6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6"/>
        </w:trPr>
        <w:tc>
          <w:tcPr>
            <w:tcW w:w="35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BALANCE-December 31, 2021</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616,026,565</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608"/>
              <w:spacing w:after="0"/>
              <w:rPr>
                <w:sz w:val="20"/>
                <w:szCs w:val="20"/>
                <w:color w:val="auto"/>
              </w:rPr>
            </w:pPr>
            <w:r>
              <w:rPr>
                <w:rFonts w:ascii="Arial" w:cs="Arial" w:eastAsia="Arial" w:hAnsi="Arial"/>
                <w:sz w:val="14"/>
                <w:szCs w:val="14"/>
                <w:color w:val="auto"/>
                <w:w w:val="76"/>
              </w:rPr>
              <w:t>$</w:t>
            </w:r>
          </w:p>
        </w:tc>
        <w:tc>
          <w:tcPr>
            <w:tcW w:w="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3,955</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2,248</w:t>
            </w:r>
          </w:p>
        </w:tc>
        <w:tc>
          <w:tcPr>
            <w:tcW w:w="0" w:type="dxa"/>
            <w:vAlign w:val="bottom"/>
          </w:tcPr>
          <w:p>
            <w:pPr>
              <w:spacing w:after="0"/>
              <w:rPr>
                <w:sz w:val="1"/>
                <w:szCs w:val="1"/>
                <w:color w:val="auto"/>
              </w:rPr>
            </w:pPr>
          </w:p>
        </w:tc>
      </w:tr>
      <w:tr>
        <w:trPr>
          <w:trHeight w:val="191"/>
        </w:trPr>
        <w:tc>
          <w:tcPr>
            <w:tcW w:w="3500" w:type="dxa"/>
            <w:vAlign w:val="bottom"/>
          </w:tcPr>
          <w:p>
            <w:pPr>
              <w:ind w:left="20"/>
              <w:spacing w:after="0"/>
              <w:rPr>
                <w:sz w:val="20"/>
                <w:szCs w:val="20"/>
                <w:color w:val="auto"/>
              </w:rPr>
            </w:pPr>
            <w:r>
              <w:rPr>
                <w:rFonts w:ascii="Arial" w:cs="Arial" w:eastAsia="Arial" w:hAnsi="Arial"/>
                <w:sz w:val="14"/>
                <w:szCs w:val="14"/>
                <w:color w:val="auto"/>
              </w:rPr>
              <w:t>Vesting of restricted shares</w:t>
            </w:r>
          </w:p>
        </w:tc>
        <w:tc>
          <w:tcPr>
            <w:tcW w:w="1040" w:type="dxa"/>
            <w:vAlign w:val="bottom"/>
          </w:tcPr>
          <w:p>
            <w:pPr>
              <w:jc w:val="right"/>
              <w:spacing w:after="0"/>
              <w:rPr>
                <w:sz w:val="20"/>
                <w:szCs w:val="20"/>
                <w:color w:val="auto"/>
              </w:rPr>
            </w:pPr>
            <w:r>
              <w:rPr>
                <w:rFonts w:ascii="Arial" w:cs="Arial" w:eastAsia="Arial" w:hAnsi="Arial"/>
                <w:sz w:val="14"/>
                <w:szCs w:val="14"/>
                <w:color w:val="auto"/>
              </w:rPr>
              <w:t>142,445</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4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0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3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Vesting of restricted stock units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12,957,946</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350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1040" w:type="dxa"/>
            <w:vAlign w:val="bottom"/>
          </w:tcPr>
          <w:p>
            <w:pPr>
              <w:jc w:val="right"/>
              <w:spacing w:after="0"/>
              <w:rPr>
                <w:sz w:val="20"/>
                <w:szCs w:val="20"/>
                <w:color w:val="auto"/>
              </w:rPr>
            </w:pPr>
            <w:r>
              <w:rPr>
                <w:rFonts w:ascii="Arial" w:cs="Arial" w:eastAsia="Arial" w:hAnsi="Arial"/>
                <w:sz w:val="14"/>
                <w:szCs w:val="14"/>
                <w:color w:val="auto"/>
              </w:rPr>
              <w:t>2,892,389</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0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39"/>
        </w:trPr>
        <w:tc>
          <w:tcPr>
            <w:tcW w:w="3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Employee stock purchase plan</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493,790</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0"/>
        </w:trPr>
        <w:tc>
          <w:tcPr>
            <w:tcW w:w="35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191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0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39"/>
        </w:trPr>
        <w:tc>
          <w:tcPr>
            <w:tcW w:w="3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1"/>
        </w:trPr>
        <w:tc>
          <w:tcPr>
            <w:tcW w:w="3500" w:type="dxa"/>
            <w:vAlign w:val="bottom"/>
          </w:tcPr>
          <w:p>
            <w:pPr>
              <w:ind w:left="20"/>
              <w:spacing w:after="0"/>
              <w:rPr>
                <w:sz w:val="20"/>
                <w:szCs w:val="20"/>
                <w:color w:val="auto"/>
              </w:rPr>
            </w:pPr>
            <w:r>
              <w:rPr>
                <w:rFonts w:ascii="Arial" w:cs="Arial" w:eastAsia="Arial" w:hAnsi="Arial"/>
                <w:sz w:val="14"/>
                <w:szCs w:val="14"/>
                <w:color w:val="auto"/>
              </w:rPr>
              <w:t>Net loss</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(954)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(954)</w:t>
            </w:r>
          </w:p>
        </w:tc>
        <w:tc>
          <w:tcPr>
            <w:tcW w:w="0" w:type="dxa"/>
            <w:vAlign w:val="bottom"/>
          </w:tcPr>
          <w:p>
            <w:pPr>
              <w:spacing w:after="0"/>
              <w:rPr>
                <w:sz w:val="1"/>
                <w:szCs w:val="1"/>
                <w:color w:val="auto"/>
              </w:rPr>
            </w:pPr>
          </w:p>
        </w:tc>
      </w:tr>
      <w:tr>
        <w:trPr>
          <w:trHeight w:val="39"/>
        </w:trPr>
        <w:tc>
          <w:tcPr>
            <w:tcW w:w="35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BALANCE–September 30, 2022</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632,513,135</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w w:val="76"/>
              </w:rPr>
              <w:t>$</w:t>
            </w:r>
          </w:p>
        </w:tc>
        <w:tc>
          <w:tcPr>
            <w:tcW w:w="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4,152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1,488</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115570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77"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399"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Nine Months Ended</w:t>
      </w:r>
    </w:p>
    <w:p>
      <w:pPr>
        <w:spacing w:after="0" w:line="25"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34290</wp:posOffset>
            </wp:positionV>
            <wp:extent cx="18084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68"/>
              <w:spacing w:after="0"/>
              <w:rPr>
                <w:sz w:val="20"/>
                <w:szCs w:val="20"/>
                <w:color w:val="auto"/>
              </w:rPr>
            </w:pPr>
            <w:r>
              <w:rPr>
                <w:rFonts w:ascii="Arial" w:cs="Arial" w:eastAsia="Arial" w:hAnsi="Arial"/>
                <w:sz w:val="14"/>
                <w:szCs w:val="14"/>
                <w:b w:val="1"/>
                <w:bCs w:val="1"/>
                <w:color w:val="auto"/>
              </w:rPr>
              <w:t>2022</w:t>
            </w:r>
          </w:p>
        </w:tc>
      </w:tr>
      <w:tr>
        <w:trPr>
          <w:trHeight w:val="39"/>
        </w:trPr>
        <w:tc>
          <w:tcPr>
            <w:tcW w:w="84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89"/>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8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r>
      <w:tr>
        <w:trPr>
          <w:trHeight w:val="190"/>
        </w:trPr>
        <w:tc>
          <w:tcPr>
            <w:tcW w:w="8400" w:type="dxa"/>
            <w:vAlign w:val="bottom"/>
          </w:tcPr>
          <w:p>
            <w:pPr>
              <w:ind w:left="360"/>
              <w:spacing w:after="0"/>
              <w:rPr>
                <w:sz w:val="20"/>
                <w:szCs w:val="20"/>
                <w:color w:val="auto"/>
              </w:rPr>
            </w:pPr>
            <w:r>
              <w:rPr>
                <w:rFonts w:ascii="Arial" w:cs="Arial" w:eastAsia="Arial" w:hAnsi="Arial"/>
                <w:sz w:val="14"/>
                <w:szCs w:val="14"/>
                <w:color w:val="auto"/>
              </w:rPr>
              <w:t>Net loss</w:t>
            </w:r>
          </w:p>
        </w:tc>
        <w:tc>
          <w:tcPr>
            <w:tcW w:w="860" w:type="dxa"/>
            <w:vAlign w:val="bottom"/>
          </w:tcPr>
          <w:p>
            <w:pPr>
              <w:jc w:val="right"/>
              <w:ind w:right="708"/>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(954)</w:t>
            </w:r>
          </w:p>
        </w:tc>
      </w:tr>
      <w:tr>
        <w:trPr>
          <w:trHeight w:val="39"/>
        </w:trPr>
        <w:tc>
          <w:tcPr>
            <w:tcW w:w="8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9"/>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Adjustments to reconcile net loss to cash, cash equivalents, and restricted cash provided by (used in) operating activities:</w:t>
            </w:r>
          </w:p>
        </w:tc>
        <w:tc>
          <w:tcPr>
            <w:tcW w:w="8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190"/>
        </w:trPr>
        <w:tc>
          <w:tcPr>
            <w:tcW w:w="8400" w:type="dxa"/>
            <w:vAlign w:val="bottom"/>
          </w:tcPr>
          <w:p>
            <w:pPr>
              <w:ind w:left="520"/>
              <w:spacing w:after="0"/>
              <w:rPr>
                <w:sz w:val="20"/>
                <w:szCs w:val="20"/>
                <w:color w:val="auto"/>
              </w:rPr>
            </w:pPr>
            <w:r>
              <w:rPr>
                <w:rFonts w:ascii="Arial" w:cs="Arial" w:eastAsia="Arial" w:hAnsi="Arial"/>
                <w:sz w:val="14"/>
                <w:szCs w:val="14"/>
                <w:color w:val="auto"/>
              </w:rPr>
              <w:t>Depreciation and amortization </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39"/>
        </w:trPr>
        <w:tc>
          <w:tcPr>
            <w:tcW w:w="8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0"/>
        </w:trPr>
        <w:tc>
          <w:tcPr>
            <w:tcW w:w="84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Amortization of right of use asset</w:t>
            </w:r>
          </w:p>
        </w:tc>
        <w:tc>
          <w:tcPr>
            <w:tcW w:w="8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90"/>
        </w:trPr>
        <w:tc>
          <w:tcPr>
            <w:tcW w:w="8400" w:type="dxa"/>
            <w:vAlign w:val="bottom"/>
          </w:tcPr>
          <w:p>
            <w:pPr>
              <w:ind w:left="520"/>
              <w:spacing w:after="0"/>
              <w:rPr>
                <w:sz w:val="20"/>
                <w:szCs w:val="20"/>
                <w:color w:val="auto"/>
              </w:rPr>
            </w:pPr>
            <w:r>
              <w:rPr>
                <w:rFonts w:ascii="Arial" w:cs="Arial" w:eastAsia="Arial" w:hAnsi="Arial"/>
                <w:sz w:val="14"/>
                <w:szCs w:val="14"/>
                <w:color w:val="auto"/>
              </w:rPr>
              <w:t>Stock-based compensation</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178</w:t>
            </w:r>
          </w:p>
        </w:tc>
      </w:tr>
      <w:tr>
        <w:trPr>
          <w:trHeight w:val="39"/>
        </w:trPr>
        <w:tc>
          <w:tcPr>
            <w:tcW w:w="8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9"/>
        </w:trPr>
        <w:tc>
          <w:tcPr>
            <w:tcW w:w="84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Inventory valuation adjustment</w:t>
            </w:r>
          </w:p>
        </w:tc>
        <w:tc>
          <w:tcPr>
            <w:tcW w:w="8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663</w:t>
            </w:r>
          </w:p>
        </w:tc>
      </w:tr>
      <w:tr>
        <w:trPr>
          <w:trHeight w:val="191"/>
        </w:trPr>
        <w:tc>
          <w:tcPr>
            <w:tcW w:w="8400" w:type="dxa"/>
            <w:vAlign w:val="bottom"/>
          </w:tcPr>
          <w:p>
            <w:pPr>
              <w:ind w:left="520"/>
              <w:spacing w:after="0"/>
              <w:rPr>
                <w:sz w:val="20"/>
                <w:szCs w:val="20"/>
                <w:color w:val="auto"/>
              </w:rPr>
            </w:pPr>
            <w:r>
              <w:rPr>
                <w:rFonts w:ascii="Arial" w:cs="Arial" w:eastAsia="Arial" w:hAnsi="Arial"/>
                <w:sz w:val="14"/>
                <w:szCs w:val="14"/>
                <w:color w:val="auto"/>
              </w:rPr>
              <w:t>Changes in fair value of equity securities</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39"/>
        </w:trPr>
        <w:tc>
          <w:tcPr>
            <w:tcW w:w="8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9"/>
        </w:trPr>
        <w:tc>
          <w:tcPr>
            <w:tcW w:w="84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Other</w:t>
            </w:r>
          </w:p>
        </w:tc>
        <w:tc>
          <w:tcPr>
            <w:tcW w:w="8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90"/>
        </w:trPr>
        <w:tc>
          <w:tcPr>
            <w:tcW w:w="8400" w:type="dxa"/>
            <w:vAlign w:val="bottom"/>
          </w:tcPr>
          <w:p>
            <w:pPr>
              <w:ind w:left="360"/>
              <w:spacing w:after="0"/>
              <w:rPr>
                <w:sz w:val="20"/>
                <w:szCs w:val="20"/>
                <w:color w:val="auto"/>
              </w:rPr>
            </w:pPr>
            <w:r>
              <w:rPr>
                <w:rFonts w:ascii="Arial" w:cs="Arial" w:eastAsia="Arial" w:hAnsi="Arial"/>
                <w:sz w:val="14"/>
                <w:szCs w:val="14"/>
                <w:color w:val="auto"/>
              </w:rPr>
              <w:t>Origination of mortgage loans held for sale</w:t>
            </w:r>
          </w:p>
        </w:tc>
        <w:tc>
          <w:tcPr>
            <w:tcW w:w="86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(118)</w:t>
            </w:r>
          </w:p>
        </w:tc>
      </w:tr>
      <w:tr>
        <w:trPr>
          <w:trHeight w:val="39"/>
        </w:trPr>
        <w:tc>
          <w:tcPr>
            <w:tcW w:w="8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9"/>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Proceeds from sale and principal collections of mortgage loans held for sale</w:t>
            </w:r>
          </w:p>
        </w:tc>
        <w:tc>
          <w:tcPr>
            <w:tcW w:w="8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w:t>
            </w:r>
          </w:p>
        </w:tc>
      </w:tr>
      <w:tr>
        <w:trPr>
          <w:trHeight w:val="190"/>
        </w:trPr>
        <w:tc>
          <w:tcPr>
            <w:tcW w:w="8400" w:type="dxa"/>
            <w:vAlign w:val="bottom"/>
          </w:tcPr>
          <w:p>
            <w:pPr>
              <w:ind w:left="360"/>
              <w:spacing w:after="0"/>
              <w:rPr>
                <w:sz w:val="20"/>
                <w:szCs w:val="20"/>
                <w:color w:val="auto"/>
              </w:rPr>
            </w:pPr>
            <w:r>
              <w:rPr>
                <w:rFonts w:ascii="Arial" w:cs="Arial" w:eastAsia="Arial" w:hAnsi="Arial"/>
                <w:sz w:val="14"/>
                <w:szCs w:val="14"/>
                <w:color w:val="auto"/>
              </w:rPr>
              <w:t>Gain on extinguishment of debt</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9"/>
        </w:trPr>
        <w:tc>
          <w:tcPr>
            <w:tcW w:w="8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0"/>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Changes in operating assets and liabilities:</w:t>
            </w:r>
          </w:p>
        </w:tc>
        <w:tc>
          <w:tcPr>
            <w:tcW w:w="8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190"/>
        </w:trPr>
        <w:tc>
          <w:tcPr>
            <w:tcW w:w="8400" w:type="dxa"/>
            <w:vAlign w:val="bottom"/>
          </w:tcPr>
          <w:p>
            <w:pPr>
              <w:ind w:left="520"/>
              <w:spacing w:after="0"/>
              <w:rPr>
                <w:sz w:val="20"/>
                <w:szCs w:val="20"/>
                <w:color w:val="auto"/>
              </w:rPr>
            </w:pPr>
            <w:r>
              <w:rPr>
                <w:rFonts w:ascii="Arial" w:cs="Arial" w:eastAsia="Arial" w:hAnsi="Arial"/>
                <w:sz w:val="14"/>
                <w:szCs w:val="14"/>
                <w:color w:val="auto"/>
              </w:rPr>
              <w:t>Escrow receivable</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39"/>
        </w:trPr>
        <w:tc>
          <w:tcPr>
            <w:tcW w:w="8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9"/>
        </w:trPr>
        <w:tc>
          <w:tcPr>
            <w:tcW w:w="84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Real estate inventory</w:t>
            </w:r>
          </w:p>
        </w:tc>
        <w:tc>
          <w:tcPr>
            <w:tcW w:w="8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3,082</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(663)</w:t>
            </w:r>
          </w:p>
        </w:tc>
      </w:tr>
      <w:tr>
        <w:trPr>
          <w:trHeight w:val="191"/>
        </w:trPr>
        <w:tc>
          <w:tcPr>
            <w:tcW w:w="8400" w:type="dxa"/>
            <w:vAlign w:val="bottom"/>
          </w:tcPr>
          <w:p>
            <w:pPr>
              <w:ind w:left="520"/>
              <w:spacing w:after="0"/>
              <w:rPr>
                <w:sz w:val="20"/>
                <w:szCs w:val="20"/>
                <w:color w:val="auto"/>
              </w:rPr>
            </w:pPr>
            <w:r>
              <w:rPr>
                <w:rFonts w:ascii="Arial" w:cs="Arial" w:eastAsia="Arial" w:hAnsi="Arial"/>
                <w:sz w:val="14"/>
                <w:szCs w:val="14"/>
                <w:color w:val="auto"/>
              </w:rPr>
              <w:t>Other assets</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9"/>
        </w:trPr>
        <w:tc>
          <w:tcPr>
            <w:tcW w:w="8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9"/>
        </w:trPr>
        <w:tc>
          <w:tcPr>
            <w:tcW w:w="84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Accounts payable and other accrued liabilities</w:t>
            </w:r>
          </w:p>
        </w:tc>
        <w:tc>
          <w:tcPr>
            <w:tcW w:w="8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w:t>
            </w:r>
          </w:p>
        </w:tc>
      </w:tr>
      <w:tr>
        <w:trPr>
          <w:trHeight w:val="190"/>
        </w:trPr>
        <w:tc>
          <w:tcPr>
            <w:tcW w:w="8400" w:type="dxa"/>
            <w:vAlign w:val="bottom"/>
          </w:tcPr>
          <w:p>
            <w:pPr>
              <w:ind w:left="520"/>
              <w:spacing w:after="0"/>
              <w:rPr>
                <w:sz w:val="20"/>
                <w:szCs w:val="20"/>
                <w:color w:val="auto"/>
              </w:rPr>
            </w:pPr>
            <w:r>
              <w:rPr>
                <w:rFonts w:ascii="Arial" w:cs="Arial" w:eastAsia="Arial" w:hAnsi="Arial"/>
                <w:sz w:val="14"/>
                <w:szCs w:val="14"/>
                <w:color w:val="auto"/>
              </w:rPr>
              <w:t>Interest payable</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39"/>
        </w:trPr>
        <w:tc>
          <w:tcPr>
            <w:tcW w:w="8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30"/>
        </w:trPr>
        <w:tc>
          <w:tcPr>
            <w:tcW w:w="84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Lease liabilities</w:t>
            </w:r>
          </w:p>
        </w:tc>
        <w:tc>
          <w:tcPr>
            <w:tcW w:w="8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84"/>
        </w:trPr>
        <w:tc>
          <w:tcPr>
            <w:tcW w:w="8400" w:type="dxa"/>
            <w:vAlign w:val="bottom"/>
          </w:tcPr>
          <w:p>
            <w:pPr>
              <w:ind w:left="680"/>
              <w:spacing w:after="0"/>
              <w:rPr>
                <w:sz w:val="20"/>
                <w:szCs w:val="20"/>
                <w:color w:val="auto"/>
              </w:rPr>
            </w:pPr>
            <w:r>
              <w:rPr>
                <w:rFonts w:ascii="Arial" w:cs="Arial" w:eastAsia="Arial" w:hAnsi="Arial"/>
                <w:sz w:val="14"/>
                <w:szCs w:val="14"/>
                <w:color w:val="auto"/>
              </w:rPr>
              <w:t>Net cash provided by (used in) operating activities</w:t>
            </w:r>
          </w:p>
        </w:tc>
        <w:tc>
          <w:tcPr>
            <w:tcW w:w="8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2,886</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(665)</w:t>
            </w:r>
          </w:p>
        </w:tc>
      </w:tr>
      <w:tr>
        <w:trPr>
          <w:trHeight w:val="39"/>
        </w:trPr>
        <w:tc>
          <w:tcPr>
            <w:tcW w:w="84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9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8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r>
      <w:tr>
        <w:trPr>
          <w:trHeight w:val="190"/>
        </w:trPr>
        <w:tc>
          <w:tcPr>
            <w:tcW w:w="8400" w:type="dxa"/>
            <w:vAlign w:val="bottom"/>
          </w:tcPr>
          <w:p>
            <w:pPr>
              <w:ind w:left="360"/>
              <w:spacing w:after="0"/>
              <w:rPr>
                <w:sz w:val="20"/>
                <w:szCs w:val="20"/>
                <w:color w:val="auto"/>
              </w:rPr>
            </w:pPr>
            <w:r>
              <w:rPr>
                <w:rFonts w:ascii="Arial" w:cs="Arial" w:eastAsia="Arial" w:hAnsi="Arial"/>
                <w:sz w:val="14"/>
                <w:szCs w:val="14"/>
                <w:color w:val="auto"/>
              </w:rPr>
              <w:t>Purchase of property and equipment</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39"/>
        </w:trPr>
        <w:tc>
          <w:tcPr>
            <w:tcW w:w="8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9"/>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Purchase of marketable securities</w:t>
            </w:r>
          </w:p>
        </w:tc>
        <w:tc>
          <w:tcPr>
            <w:tcW w:w="8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191"/>
        </w:trPr>
        <w:tc>
          <w:tcPr>
            <w:tcW w:w="8400" w:type="dxa"/>
            <w:vAlign w:val="bottom"/>
          </w:tcPr>
          <w:p>
            <w:pPr>
              <w:ind w:left="360"/>
              <w:spacing w:after="0"/>
              <w:rPr>
                <w:sz w:val="20"/>
                <w:szCs w:val="20"/>
                <w:color w:val="auto"/>
              </w:rPr>
            </w:pPr>
            <w:r>
              <w:rPr>
                <w:rFonts w:ascii="Arial" w:cs="Arial" w:eastAsia="Arial" w:hAnsi="Arial"/>
                <w:sz w:val="14"/>
                <w:szCs w:val="14"/>
                <w:color w:val="auto"/>
              </w:rPr>
              <w:t>Proceeds from sales, maturities, redemptions and paydowns of marketable securities</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293</w:t>
            </w:r>
          </w:p>
        </w:tc>
      </w:tr>
      <w:tr>
        <w:trPr>
          <w:trHeight w:val="39"/>
        </w:trPr>
        <w:tc>
          <w:tcPr>
            <w:tcW w:w="8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0"/>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Purchase of non-marketable equity securities</w:t>
            </w:r>
          </w:p>
        </w:tc>
        <w:tc>
          <w:tcPr>
            <w:tcW w:w="8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190"/>
        </w:trPr>
        <w:tc>
          <w:tcPr>
            <w:tcW w:w="8400" w:type="dxa"/>
            <w:vAlign w:val="bottom"/>
          </w:tcPr>
          <w:p>
            <w:pPr>
              <w:ind w:left="360"/>
              <w:spacing w:after="0"/>
              <w:rPr>
                <w:sz w:val="20"/>
                <w:szCs w:val="20"/>
                <w:color w:val="auto"/>
              </w:rPr>
            </w:pPr>
            <w:r>
              <w:rPr>
                <w:rFonts w:ascii="Arial" w:cs="Arial" w:eastAsia="Arial" w:hAnsi="Arial"/>
                <w:sz w:val="14"/>
                <w:szCs w:val="14"/>
                <w:color w:val="auto"/>
              </w:rPr>
              <w:t>Proceeds from sale of non-marketable equity securities</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39"/>
        </w:trPr>
        <w:tc>
          <w:tcPr>
            <w:tcW w:w="8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9"/>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Capital returns from non-marketable equity securities</w:t>
            </w:r>
          </w:p>
        </w:tc>
        <w:tc>
          <w:tcPr>
            <w:tcW w:w="8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91"/>
        </w:trPr>
        <w:tc>
          <w:tcPr>
            <w:tcW w:w="8400" w:type="dxa"/>
            <w:vAlign w:val="bottom"/>
          </w:tcPr>
          <w:p>
            <w:pPr>
              <w:ind w:left="360"/>
              <w:spacing w:after="0"/>
              <w:rPr>
                <w:sz w:val="20"/>
                <w:szCs w:val="20"/>
                <w:color w:val="auto"/>
              </w:rPr>
            </w:pPr>
            <w:r>
              <w:rPr>
                <w:rFonts w:ascii="Arial" w:cs="Arial" w:eastAsia="Arial" w:hAnsi="Arial"/>
                <w:sz w:val="14"/>
                <w:szCs w:val="14"/>
                <w:color w:val="auto"/>
              </w:rPr>
              <w:t>Acquisitions, net of cash acquired</w:t>
            </w:r>
          </w:p>
        </w:tc>
        <w:tc>
          <w:tcPr>
            <w:tcW w:w="86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39"/>
        </w:trPr>
        <w:tc>
          <w:tcPr>
            <w:tcW w:w="84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23"/>
        </w:trPr>
        <w:tc>
          <w:tcPr>
            <w:tcW w:w="84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Net cash provided by investing activities</w:t>
            </w:r>
          </w:p>
        </w:tc>
        <w:tc>
          <w:tcPr>
            <w:tcW w:w="8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w:t>
            </w:r>
          </w:p>
        </w:tc>
      </w:tr>
      <w:tr>
        <w:trPr>
          <w:trHeight w:val="171"/>
        </w:trPr>
        <w:tc>
          <w:tcPr>
            <w:tcW w:w="840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8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r>
      <w:tr>
        <w:trPr>
          <w:trHeight w:val="39"/>
        </w:trPr>
        <w:tc>
          <w:tcPr>
            <w:tcW w:w="8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0"/>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Repurchase of convertible senior notes</w:t>
            </w:r>
          </w:p>
        </w:tc>
        <w:tc>
          <w:tcPr>
            <w:tcW w:w="8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8400" w:type="dxa"/>
            <w:vAlign w:val="bottom"/>
          </w:tcPr>
          <w:p>
            <w:pPr>
              <w:ind w:left="360"/>
              <w:spacing w:after="0"/>
              <w:rPr>
                <w:sz w:val="20"/>
                <w:szCs w:val="20"/>
                <w:color w:val="auto"/>
              </w:rPr>
            </w:pPr>
            <w:r>
              <w:rPr>
                <w:rFonts w:ascii="Arial" w:cs="Arial" w:eastAsia="Arial" w:hAnsi="Arial"/>
                <w:sz w:val="14"/>
                <w:szCs w:val="14"/>
                <w:color w:val="auto"/>
              </w:rPr>
              <w:t>Proceeds from exercise of stock options</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39"/>
        </w:trPr>
        <w:tc>
          <w:tcPr>
            <w:tcW w:w="8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9"/>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Proceeds from issuance of common stock for ESPP</w:t>
            </w:r>
          </w:p>
        </w:tc>
        <w:tc>
          <w:tcPr>
            <w:tcW w:w="8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91"/>
        </w:trPr>
        <w:tc>
          <w:tcPr>
            <w:tcW w:w="8400" w:type="dxa"/>
            <w:vAlign w:val="bottom"/>
          </w:tcPr>
          <w:p>
            <w:pPr>
              <w:ind w:left="360"/>
              <w:spacing w:after="0"/>
              <w:rPr>
                <w:sz w:val="20"/>
                <w:szCs w:val="20"/>
                <w:color w:val="auto"/>
              </w:rPr>
            </w:pPr>
            <w:r>
              <w:rPr>
                <w:rFonts w:ascii="Arial" w:cs="Arial" w:eastAsia="Arial" w:hAnsi="Arial"/>
                <w:sz w:val="14"/>
                <w:szCs w:val="14"/>
                <w:color w:val="auto"/>
              </w:rPr>
              <w:t>Proceeds from non-recourse asset-backed debt</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238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9,160</w:t>
            </w:r>
          </w:p>
        </w:tc>
      </w:tr>
      <w:tr>
        <w:trPr>
          <w:trHeight w:val="39"/>
        </w:trPr>
        <w:tc>
          <w:tcPr>
            <w:tcW w:w="8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0"/>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Principal payments on non-recourse asset-backed debt</w:t>
            </w:r>
          </w:p>
        </w:tc>
        <w:tc>
          <w:tcPr>
            <w:tcW w:w="8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(2,315)</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(8,179)</w:t>
            </w:r>
          </w:p>
        </w:tc>
      </w:tr>
      <w:tr>
        <w:trPr>
          <w:trHeight w:val="190"/>
        </w:trPr>
        <w:tc>
          <w:tcPr>
            <w:tcW w:w="8400" w:type="dxa"/>
            <w:vAlign w:val="bottom"/>
          </w:tcPr>
          <w:p>
            <w:pPr>
              <w:ind w:left="360"/>
              <w:spacing w:after="0"/>
              <w:rPr>
                <w:sz w:val="20"/>
                <w:szCs w:val="20"/>
                <w:color w:val="auto"/>
              </w:rPr>
            </w:pPr>
            <w:r>
              <w:rPr>
                <w:rFonts w:ascii="Arial" w:cs="Arial" w:eastAsia="Arial" w:hAnsi="Arial"/>
                <w:sz w:val="14"/>
                <w:szCs w:val="14"/>
                <w:color w:val="auto"/>
              </w:rPr>
              <w:t>Proceeds from other secured borrowings</w:t>
            </w:r>
          </w:p>
        </w:tc>
        <w:tc>
          <w:tcPr>
            <w:tcW w:w="86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114</w:t>
            </w:r>
          </w:p>
        </w:tc>
      </w:tr>
      <w:tr>
        <w:trPr>
          <w:trHeight w:val="39"/>
        </w:trPr>
        <w:tc>
          <w:tcPr>
            <w:tcW w:w="8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9"/>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Principal payments on other secured borrowings</w:t>
            </w:r>
          </w:p>
        </w:tc>
        <w:tc>
          <w:tcPr>
            <w:tcW w:w="8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w:t>
            </w:r>
          </w:p>
        </w:tc>
      </w:tr>
      <w:tr>
        <w:trPr>
          <w:trHeight w:val="191"/>
        </w:trPr>
        <w:tc>
          <w:tcPr>
            <w:tcW w:w="8400" w:type="dxa"/>
            <w:vAlign w:val="bottom"/>
          </w:tcPr>
          <w:p>
            <w:pPr>
              <w:ind w:left="360"/>
              <w:spacing w:after="0"/>
              <w:rPr>
                <w:sz w:val="20"/>
                <w:szCs w:val="20"/>
                <w:color w:val="auto"/>
              </w:rPr>
            </w:pPr>
            <w:r>
              <w:rPr>
                <w:rFonts w:ascii="Arial" w:cs="Arial" w:eastAsia="Arial" w:hAnsi="Arial"/>
                <w:sz w:val="14"/>
                <w:szCs w:val="14"/>
                <w:color w:val="auto"/>
              </w:rPr>
              <w:t>Payment of loan origination fees and debt issuance costs</w:t>
            </w:r>
          </w:p>
        </w:tc>
        <w:tc>
          <w:tcPr>
            <w:tcW w:w="86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39"/>
        </w:trPr>
        <w:tc>
          <w:tcPr>
            <w:tcW w:w="8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30"/>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Payment for early extinguishment of debt</w:t>
            </w:r>
          </w:p>
        </w:tc>
        <w:tc>
          <w:tcPr>
            <w:tcW w:w="8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8400" w:type="dxa"/>
            <w:vAlign w:val="bottom"/>
          </w:tcPr>
          <w:p>
            <w:pPr>
              <w:ind w:left="680"/>
              <w:spacing w:after="0"/>
              <w:rPr>
                <w:sz w:val="20"/>
                <w:szCs w:val="20"/>
                <w:color w:val="auto"/>
              </w:rPr>
            </w:pPr>
            <w:r>
              <w:rPr>
                <w:rFonts w:ascii="Arial" w:cs="Arial" w:eastAsia="Arial" w:hAnsi="Arial"/>
                <w:sz w:val="14"/>
                <w:szCs w:val="14"/>
                <w:color w:val="auto"/>
              </w:rPr>
              <w:t>Net cash (used in) provided by financing activities</w:t>
            </w:r>
          </w:p>
        </w:tc>
        <w:tc>
          <w:tcPr>
            <w:tcW w:w="8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(2,347)</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956</w:t>
            </w:r>
          </w:p>
        </w:tc>
      </w:tr>
      <w:tr>
        <w:trPr>
          <w:trHeight w:val="39"/>
        </w:trPr>
        <w:tc>
          <w:tcPr>
            <w:tcW w:w="84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03"/>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INCREASE IN CASH, CASH EQUIVALENTS, AND RESTRICTED CASH</w:t>
            </w:r>
          </w:p>
        </w:tc>
        <w:tc>
          <w:tcPr>
            <w:tcW w:w="8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587</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501</w:t>
            </w:r>
          </w:p>
        </w:tc>
      </w:tr>
      <w:tr>
        <w:trPr>
          <w:trHeight w:val="191"/>
        </w:trPr>
        <w:tc>
          <w:tcPr>
            <w:tcW w:w="8400" w:type="dxa"/>
            <w:vAlign w:val="bottom"/>
          </w:tcPr>
          <w:p>
            <w:pPr>
              <w:ind w:left="180"/>
              <w:spacing w:after="0"/>
              <w:rPr>
                <w:sz w:val="20"/>
                <w:szCs w:val="20"/>
                <w:color w:val="auto"/>
              </w:rPr>
            </w:pPr>
            <w:r>
              <w:rPr>
                <w:rFonts w:ascii="Arial" w:cs="Arial" w:eastAsia="Arial" w:hAnsi="Arial"/>
                <w:sz w:val="14"/>
                <w:szCs w:val="14"/>
                <w:color w:val="auto"/>
              </w:rPr>
              <w:t>CASH, CASH EQUIVALENTS, AND RESTRICTED CASH – Beginning of period</w:t>
            </w:r>
          </w:p>
        </w:tc>
        <w:tc>
          <w:tcPr>
            <w:tcW w:w="8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1,791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2,578</w:t>
            </w:r>
          </w:p>
        </w:tc>
      </w:tr>
      <w:tr>
        <w:trPr>
          <w:trHeight w:val="39"/>
        </w:trPr>
        <w:tc>
          <w:tcPr>
            <w:tcW w:w="84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42"/>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CASH, CASH EQUIVALENTS, AND RESTRICTED CASH – End of period</w:t>
            </w:r>
          </w:p>
        </w:tc>
        <w:tc>
          <w:tcPr>
            <w:tcW w:w="86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3,079</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70"/>
        </w:trPr>
        <w:tc>
          <w:tcPr>
            <w:tcW w:w="8400" w:type="dxa"/>
            <w:vAlign w:val="bottom"/>
          </w:tcPr>
          <w:p>
            <w:pPr>
              <w:ind w:left="180"/>
              <w:spacing w:after="0"/>
              <w:rPr>
                <w:sz w:val="20"/>
                <w:szCs w:val="20"/>
                <w:color w:val="auto"/>
              </w:rPr>
            </w:pPr>
            <w:r>
              <w:rPr>
                <w:rFonts w:ascii="Arial" w:cs="Arial" w:eastAsia="Arial" w:hAnsi="Arial"/>
                <w:sz w:val="14"/>
                <w:szCs w:val="14"/>
                <w:color w:val="auto"/>
              </w:rPr>
              <w:t>SUPPLEMENTAL DISCLOSURE OF CASH FLOW INFORMATION – Cash paid during the period for interest</w:t>
            </w:r>
          </w:p>
        </w:tc>
        <w:tc>
          <w:tcPr>
            <w:tcW w:w="860" w:type="dxa"/>
            <w:vAlign w:val="bottom"/>
          </w:tcPr>
          <w:p>
            <w:pPr>
              <w:jc w:val="right"/>
              <w:ind w:right="708"/>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169</w:t>
            </w:r>
          </w:p>
        </w:tc>
        <w:tc>
          <w:tcPr>
            <w:tcW w:w="120" w:type="dxa"/>
            <w:vAlign w:val="bottom"/>
          </w:tcPr>
          <w:p>
            <w:pPr>
              <w:spacing w:after="0"/>
              <w:rPr>
                <w:sz w:val="14"/>
                <w:szCs w:val="14"/>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248</w:t>
            </w:r>
          </w:p>
        </w:tc>
      </w:tr>
      <w:tr>
        <w:trPr>
          <w:trHeight w:val="39"/>
        </w:trPr>
        <w:tc>
          <w:tcPr>
            <w:tcW w:w="8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9"/>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DISCLOSURES OF NONCASH ACTIVITIES:</w:t>
            </w:r>
          </w:p>
        </w:tc>
        <w:tc>
          <w:tcPr>
            <w:tcW w:w="8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191"/>
        </w:trPr>
        <w:tc>
          <w:tcPr>
            <w:tcW w:w="8400" w:type="dxa"/>
            <w:vAlign w:val="bottom"/>
          </w:tcPr>
          <w:p>
            <w:pPr>
              <w:ind w:left="360"/>
              <w:spacing w:after="0"/>
              <w:rPr>
                <w:sz w:val="20"/>
                <w:szCs w:val="20"/>
                <w:color w:val="auto"/>
              </w:rPr>
            </w:pPr>
            <w:r>
              <w:rPr>
                <w:rFonts w:ascii="Arial" w:cs="Arial" w:eastAsia="Arial" w:hAnsi="Arial"/>
                <w:sz w:val="14"/>
                <w:szCs w:val="14"/>
                <w:color w:val="auto"/>
              </w:rPr>
              <w:t>Stock-based compensation expense capitalized for internally developed software</w:t>
            </w:r>
          </w:p>
        </w:tc>
        <w:tc>
          <w:tcPr>
            <w:tcW w:w="860" w:type="dxa"/>
            <w:vAlign w:val="bottom"/>
          </w:tcPr>
          <w:p>
            <w:pPr>
              <w:jc w:val="right"/>
              <w:ind w:right="708"/>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39"/>
        </w:trPr>
        <w:tc>
          <w:tcPr>
            <w:tcW w:w="8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9"/>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RECONCILIATION TO CONDENSED CONSOLIDATED BALANCE SHEETS:</w:t>
            </w:r>
          </w:p>
        </w:tc>
        <w:tc>
          <w:tcPr>
            <w:tcW w:w="8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191"/>
        </w:trPr>
        <w:tc>
          <w:tcPr>
            <w:tcW w:w="8400" w:type="dxa"/>
            <w:vAlign w:val="bottom"/>
          </w:tcPr>
          <w:p>
            <w:pPr>
              <w:ind w:left="360"/>
              <w:spacing w:after="0"/>
              <w:rPr>
                <w:sz w:val="20"/>
                <w:szCs w:val="20"/>
                <w:color w:val="auto"/>
              </w:rPr>
            </w:pPr>
            <w:r>
              <w:rPr>
                <w:rFonts w:ascii="Arial" w:cs="Arial" w:eastAsia="Arial" w:hAnsi="Arial"/>
                <w:sz w:val="14"/>
                <w:szCs w:val="14"/>
                <w:color w:val="auto"/>
              </w:rPr>
              <w:t>Cash and cash equivalents</w:t>
            </w:r>
          </w:p>
        </w:tc>
        <w:tc>
          <w:tcPr>
            <w:tcW w:w="860" w:type="dxa"/>
            <w:vAlign w:val="bottom"/>
          </w:tcPr>
          <w:p>
            <w:pPr>
              <w:jc w:val="right"/>
              <w:ind w:right="708"/>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1,154</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1,327</w:t>
            </w:r>
          </w:p>
        </w:tc>
      </w:tr>
      <w:tr>
        <w:trPr>
          <w:trHeight w:val="39"/>
        </w:trPr>
        <w:tc>
          <w:tcPr>
            <w:tcW w:w="8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29"/>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Restricted cash</w:t>
            </w:r>
          </w:p>
        </w:tc>
        <w:tc>
          <w:tcPr>
            <w:tcW w:w="8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1,752</w:t>
            </w:r>
          </w:p>
        </w:tc>
      </w:tr>
      <w:tr>
        <w:trPr>
          <w:trHeight w:val="217"/>
        </w:trPr>
        <w:tc>
          <w:tcPr>
            <w:tcW w:w="8400" w:type="dxa"/>
            <w:vAlign w:val="bottom"/>
          </w:tcPr>
          <w:p>
            <w:pPr>
              <w:ind w:left="360"/>
              <w:spacing w:after="0"/>
              <w:rPr>
                <w:sz w:val="20"/>
                <w:szCs w:val="20"/>
                <w:color w:val="auto"/>
              </w:rPr>
            </w:pPr>
            <w:r>
              <w:rPr>
                <w:rFonts w:ascii="Arial" w:cs="Arial" w:eastAsia="Arial" w:hAnsi="Arial"/>
                <w:sz w:val="14"/>
                <w:szCs w:val="14"/>
                <w:color w:val="auto"/>
              </w:rPr>
              <w:t>Cash, cash equivalents, and restricted cash</w:t>
            </w:r>
          </w:p>
        </w:tc>
        <w:tc>
          <w:tcPr>
            <w:tcW w:w="860" w:type="dxa"/>
            <w:vAlign w:val="bottom"/>
            <w:tcBorders>
              <w:top w:val="single" w:sz="8" w:color="auto"/>
              <w:bottom w:val="single" w:sz="8" w:color="auto"/>
            </w:tcBorders>
          </w:tcPr>
          <w:p>
            <w:pPr>
              <w:jc w:val="right"/>
              <w:ind w:right="708"/>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2,378</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3,079</w:t>
            </w:r>
          </w:p>
        </w:tc>
      </w:tr>
      <w:tr>
        <w:trPr>
          <w:trHeight w:val="26"/>
        </w:trPr>
        <w:tc>
          <w:tcPr>
            <w:tcW w:w="84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240"/>
          </w:cols>
          <w:pgMar w:left="320" w:top="139" w:right="339" w:bottom="1068"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068"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OPENDOOR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20" w:hanging="412"/>
        <w:spacing w:after="0"/>
        <w:tabs>
          <w:tab w:leader="none" w:pos="4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jc w:val="both"/>
        <w:ind w:right="40" w:firstLine="405"/>
        <w:spacing w:after="0" w:line="259" w:lineRule="auto"/>
        <w:rPr>
          <w:sz w:val="20"/>
          <w:szCs w:val="20"/>
          <w:color w:val="auto"/>
        </w:rPr>
      </w:pPr>
      <w:r>
        <w:rPr>
          <w:rFonts w:ascii="Arial" w:cs="Arial" w:eastAsia="Arial" w:hAnsi="Arial"/>
          <w:sz w:val="18"/>
          <w:szCs w:val="18"/>
          <w:color w:val="auto"/>
        </w:rPr>
        <w:t>Opendoor Technologies Inc. (the “Company” and “Opendoor”) including its consolidated subsidiaries and certain variable interest entities (“VIEs”), is a managed marketplace for residential real estate. By leveraging our centralized platform, Opendoor is working towards a future that enables sellers and buyers of residential real estate to experience a simple and certain transaction that is dramatically improved from the traditional process. The Company was incorporated in Delaware on December 30,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25"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pursuant to generally accepted accounting principles in the United States of America (“GAAP”). The condensed consolidated financial statements as of September 30, 2023 and December 31, 2022 and for the three and nine month periods ended September 30, 2023 and 2022 include the accounts of Opendoor, its wholly owned subsidiaries and VIEs where the Company is the primary beneficiary. The accompanying unaudited condensed consolidated financial statements reflect all adjustments which are, in the opinion of management, necessary to a fair statement of the results for the interim periods presented. All significant intercompany accounts and transactions have been eliminated in the condensed consolidated financial statements herein. Certain prior period amounts in the condensed consolidated financial statements and accompanying notes have been reclassified to conform to the current period’s presentation.</w:t>
      </w:r>
    </w:p>
    <w:p>
      <w:pPr>
        <w:spacing w:after="0" w:line="166" w:lineRule="exact"/>
        <w:rPr>
          <w:sz w:val="20"/>
          <w:szCs w:val="20"/>
          <w:color w:val="auto"/>
        </w:rPr>
      </w:pPr>
    </w:p>
    <w:p>
      <w:pPr>
        <w:ind w:right="140" w:firstLine="405"/>
        <w:spacing w:after="0" w:line="275" w:lineRule="auto"/>
        <w:rPr>
          <w:sz w:val="20"/>
          <w:szCs w:val="20"/>
          <w:color w:val="auto"/>
        </w:rPr>
      </w:pPr>
      <w:r>
        <w:rPr>
          <w:rFonts w:ascii="Arial" w:cs="Arial" w:eastAsia="Arial" w:hAnsi="Arial"/>
          <w:sz w:val="17"/>
          <w:szCs w:val="17"/>
          <w:color w:val="auto"/>
        </w:rPr>
        <w:t>The Company was formed through a business combination with Social Capital Hedosophia Holdings Corp. II (“SCH”), a Cayman Islands exempted company formed for the purpose of effecting a merger, share exchange, asset acquisition, share purchase, reorganization or similar business combination with one or more businesses (the “Business Combination”). The Business Combination, pursuant to which Opendoor Labs Inc. became a wholly owned subsidiary of SCH and SCH changed its name from “Social Capital Hedosophia Holdings Corp. II” to “Opendoor Technologies Inc.”, was completed on December 18, 2020, and was accounted for as a reverse recapitalization, in accordance with GAAP.</w:t>
      </w:r>
    </w:p>
    <w:p>
      <w:pPr>
        <w:spacing w:after="0" w:line="176" w:lineRule="exact"/>
        <w:rPr>
          <w:sz w:val="20"/>
          <w:szCs w:val="20"/>
          <w:color w:val="auto"/>
        </w:rPr>
      </w:pPr>
    </w:p>
    <w:p>
      <w:pPr>
        <w:jc w:val="both"/>
        <w:ind w:right="180" w:firstLine="405"/>
        <w:spacing w:after="0" w:line="263" w:lineRule="auto"/>
        <w:rPr>
          <w:sz w:val="20"/>
          <w:szCs w:val="20"/>
          <w:color w:val="auto"/>
        </w:rPr>
      </w:pPr>
      <w:r>
        <w:rPr>
          <w:rFonts w:ascii="Arial" w:cs="Arial" w:eastAsia="Arial" w:hAnsi="Arial"/>
          <w:sz w:val="18"/>
          <w:szCs w:val="18"/>
          <w:color w:val="auto"/>
        </w:rPr>
        <w:t>The accompanying interim condensed consolidated financial statements and these related notes should be read in conjunction with the consolidated financial statements and related notes included in the Company’s Annual Report on Form 10-K for the year ended December 31, 2022 (“Annual Report”) filed on February 23,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have a material impact on the amounts reported in the financial statements and accompanying notes. Significant estimates, assumptions and judgments made by management include, among others, the determination of the fair value of common stock, share-based awards, and inventory valuation adjustment. Management believes that the estimates and judgments upon which management relies are reasonable based upon information available to management at the time that these estimates and judgments are made. To the extent there are material differences between these estimates, assumptions and judgments and actual results, the carrying values of the Company's assets and liabilities and the results of operations will be affected. The health of the residential housing market and interest rate environment have introduced additional uncertainty with respect to judgments, estimates and assumptions, which may materially impact the estimates previously listed, among others.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225"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The Company operates in a dynamic industry and, accordingly, can be affected by a variety of factors. For example, the Company believes that changes in any of the following areas could have a significant negative effect on the Company in terms of its future financial position, results of operations or cash flows: public health crises, like the COVID-19 pandemic; its rate of revenue growth; its ability to manage inventory; engagement and usage of its products; the effectiveness of its investment of resources to pursue strategies; competition in its market; the stability of the residential real estate market; the impact of interest rate changes on demand for and pricing of its products and on the cost of capital; changes in technology, products, markets or services by the Company or its competitors; its ability to maintain or establish relationships with listings and data providers; its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ability to obtain or maintain licenses and permits to support its current and future businesses; actual or anticipated changes to its products and services; changes in government regulation affecting its business; the outcomes of legal proceedings; natural disasters and catastrophic events; scaling and adaptation of existing technology and network infrastructure; its management of its growth; its ability to attract and retain qualified employees and key personnel; its ability to successfully integrate and realize the benefits of its past or future strategic acquisitions or investments; the protection of customers’ information and other privacy concerns; the protection of its brand and intellectual property; and intellectual property infringement and other claims, among other things.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25"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Financial instruments, which potentially subject the Company to concentrations of credit risk, consist primarily of cash and cash equivalents, restricted cash, and investments in marketable securities. The Company places cash and cash equivalents and investments with major financial institutions, which management assesses to be of high credit quality, in order to limit exposure of the Company’s investments.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ind w:right="160" w:firstLine="405"/>
        <w:spacing w:after="0" w:line="263" w:lineRule="auto"/>
        <w:rPr>
          <w:sz w:val="20"/>
          <w:szCs w:val="20"/>
          <w:color w:val="auto"/>
        </w:rPr>
      </w:pPr>
      <w:r>
        <w:rPr>
          <w:rFonts w:ascii="Arial" w:cs="Arial" w:eastAsia="Arial" w:hAnsi="Arial"/>
          <w:sz w:val="18"/>
          <w:szCs w:val="18"/>
          <w:color w:val="auto"/>
        </w:rPr>
        <w:t xml:space="preserve">The Company’s significant accounting policies are discussed in </w:t>
      </w:r>
      <w:r>
        <w:rPr>
          <w:rFonts w:ascii="Arial" w:cs="Arial" w:eastAsia="Arial" w:hAnsi="Arial"/>
          <w:sz w:val="18"/>
          <w:szCs w:val="18"/>
          <w:i w:val="1"/>
          <w:iCs w:val="1"/>
          <w:color w:val="auto"/>
        </w:rPr>
        <w:t>“Part II – Item 8 – Financial Statements and Supplementary Data – Note 1.</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Description of Business and Accounting Policies” </w:t>
      </w:r>
      <w:r>
        <w:rPr>
          <w:rFonts w:ascii="Arial" w:cs="Arial" w:eastAsia="Arial" w:hAnsi="Arial"/>
          <w:sz w:val="18"/>
          <w:szCs w:val="18"/>
          <w:color w:val="auto"/>
        </w:rPr>
        <w:t>in the Annual Report. There have been no changes to these significant accounting policies for the nine-month period ended September 30, 2023, except as noted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225"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 xml:space="preserve">The 0.25% convertible senior notes due in 2026 (the “2026 Notes”) issued by the Company in August 2021 are accounted for wholly as debt. The 2026 Notes have an initial carrying value equal to the net proceeds from issuance. Issuance costs associated with the 2026 Notes are amortized over the term using the effective interest method. Conversions are settled through payment of cash or a combination of cash and stock, at the Company’s option. Upon conversion, the carrying amount of the 2026 Notes, including any unamortized debt issuance costs, is reduced by cash paid, with any difference being reflected as a change in equity. There will not be any gains or losses recognized upon a conversion. Upon extinguishment of any portion of the 2026 Notes, the difference between the repurchase price of the extinguished notes and the respective net carrying amount is recorded as a gain or loss in Gain on extinguishment of debt in the condensed consolidated statements of operations. See </w:t>
      </w:r>
      <w:r>
        <w:rPr>
          <w:rFonts w:ascii="Arial" w:cs="Arial" w:eastAsia="Arial" w:hAnsi="Arial"/>
          <w:sz w:val="17"/>
          <w:szCs w:val="17"/>
          <w:i w:val="1"/>
          <w:iCs w:val="1"/>
          <w:color w:val="auto"/>
        </w:rPr>
        <w:t>“Note 5 — Credit Facilities and Long-Term Debt”</w:t>
      </w:r>
      <w:r>
        <w:rPr>
          <w:rFonts w:ascii="Arial" w:cs="Arial" w:eastAsia="Arial" w:hAnsi="Arial"/>
          <w:sz w:val="17"/>
          <w:szCs w:val="17"/>
          <w:color w:val="auto"/>
        </w:rPr>
        <w:t xml:space="preserve"> for details on the partial repurchase of the Company's convertible notes that occurred in the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225"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Long-lived assets, such as property and equipment and definite-lived intangible assets, among other long-lived assets, are reviewed for impairment whenever events or changes in circumstances indicate that the carrying amount of an asset may not be recoverable. If circumstances require a long-lived asset or asset group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loss is recognized to the extent the carrying amount of the underlying asset exceeds its fair value. The impairment loss recognized for the three and nine months ended September 30, 2023 is primarily related to impairment of certain internally developed software projects. The impairment loss recognized during the periods presented is as follows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340" w:type="dxa"/>
            <w:vAlign w:val="bottom"/>
            <w:gridSpan w:val="4"/>
          </w:tcPr>
          <w:p>
            <w:pPr>
              <w:jc w:val="right"/>
              <w:ind w:right="235"/>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20" w:type="dxa"/>
            <w:vAlign w:val="bottom"/>
            <w:gridSpan w:val="4"/>
          </w:tcPr>
          <w:p>
            <w:pPr>
              <w:jc w:val="right"/>
              <w:ind w:right="655"/>
              <w:spacing w:after="0"/>
              <w:rPr>
                <w:sz w:val="20"/>
                <w:szCs w:val="20"/>
                <w:color w:val="auto"/>
              </w:rPr>
            </w:pPr>
            <w:r>
              <w:rPr>
                <w:rFonts w:ascii="Arial" w:cs="Arial" w:eastAsia="Arial" w:hAnsi="Arial"/>
                <w:sz w:val="14"/>
                <w:szCs w:val="14"/>
                <w:b w:val="1"/>
                <w:bCs w:val="1"/>
                <w:color w:val="auto"/>
              </w:rPr>
              <w:t>Nine Months Ended</w:t>
            </w:r>
          </w:p>
        </w:tc>
      </w:tr>
      <w:tr>
        <w:trPr>
          <w:trHeight w:val="186"/>
        </w:trPr>
        <w:tc>
          <w:tcPr>
            <w:tcW w:w="38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80" w:type="dxa"/>
            <w:vAlign w:val="bottom"/>
            <w:gridSpan w:val="3"/>
          </w:tcPr>
          <w:p>
            <w:pPr>
              <w:jc w:val="right"/>
              <w:ind w:right="455"/>
              <w:spacing w:after="0"/>
              <w:rPr>
                <w:sz w:val="20"/>
                <w:szCs w:val="20"/>
                <w:color w:val="auto"/>
              </w:rPr>
            </w:pPr>
            <w:r>
              <w:rPr>
                <w:rFonts w:ascii="Arial" w:cs="Arial" w:eastAsia="Arial" w:hAnsi="Arial"/>
                <w:sz w:val="14"/>
                <w:szCs w:val="14"/>
                <w:b w:val="1"/>
                <w:bCs w:val="1"/>
                <w:color w:val="auto"/>
                <w:w w:val="96"/>
              </w:rPr>
              <w:t>September 30,</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16"/>
                <w:szCs w:val="16"/>
                <w:color w:val="auto"/>
              </w:rPr>
            </w:pPr>
          </w:p>
        </w:tc>
      </w:tr>
      <w:tr>
        <w:trPr>
          <w:trHeight w:val="39"/>
        </w:trPr>
        <w:tc>
          <w:tcPr>
            <w:tcW w:w="3840" w:type="dxa"/>
            <w:vAlign w:val="bottom"/>
          </w:tcPr>
          <w:p>
            <w:pPr>
              <w:spacing w:after="0"/>
              <w:rPr>
                <w:sz w:val="3"/>
                <w:szCs w:val="3"/>
                <w:color w:val="auto"/>
              </w:rPr>
            </w:pPr>
          </w:p>
        </w:tc>
        <w:tc>
          <w:tcPr>
            <w:tcW w:w="186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84"/>
        </w:trPr>
        <w:tc>
          <w:tcPr>
            <w:tcW w:w="3840" w:type="dxa"/>
            <w:vAlign w:val="bottom"/>
          </w:tcPr>
          <w:p>
            <w:pPr>
              <w:spacing w:after="0"/>
              <w:rPr>
                <w:sz w:val="16"/>
                <w:szCs w:val="16"/>
                <w:color w:val="auto"/>
              </w:rPr>
            </w:pPr>
          </w:p>
        </w:tc>
        <w:tc>
          <w:tcPr>
            <w:tcW w:w="2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55"/>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5"/>
              <w:spacing w:after="0"/>
              <w:rPr>
                <w:sz w:val="20"/>
                <w:szCs w:val="20"/>
                <w:color w:val="auto"/>
              </w:rPr>
            </w:pPr>
            <w:r>
              <w:rPr>
                <w:rFonts w:ascii="Arial" w:cs="Arial" w:eastAsia="Arial" w:hAnsi="Arial"/>
                <w:sz w:val="14"/>
                <w:szCs w:val="14"/>
                <w:b w:val="1"/>
                <w:bCs w:val="1"/>
                <w:color w:val="auto"/>
              </w:rPr>
              <w:t>2022</w:t>
            </w:r>
          </w:p>
        </w:tc>
      </w:tr>
      <w:tr>
        <w:trPr>
          <w:trHeight w:val="39"/>
        </w:trPr>
        <w:tc>
          <w:tcPr>
            <w:tcW w:w="3840" w:type="dxa"/>
            <w:vAlign w:val="bottom"/>
            <w:tcBorders>
              <w:bottom w:val="single" w:sz="8" w:color="CCEEFF"/>
            </w:tcBorders>
          </w:tcPr>
          <w:p>
            <w:pPr>
              <w:spacing w:after="0"/>
              <w:rPr>
                <w:sz w:val="3"/>
                <w:szCs w:val="3"/>
                <w:color w:val="auto"/>
              </w:rPr>
            </w:pPr>
          </w:p>
        </w:tc>
        <w:tc>
          <w:tcPr>
            <w:tcW w:w="186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44"/>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720" w:type="dxa"/>
            <w:vAlign w:val="bottom"/>
            <w:tcBorders>
              <w:bottom w:val="single" w:sz="8" w:color="CCEEFF"/>
            </w:tcBorders>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5"/>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color w:val="auto"/>
              </w:rPr>
              <w:t>Technology and development</w:t>
            </w:r>
          </w:p>
        </w:tc>
        <w:tc>
          <w:tcPr>
            <w:tcW w:w="2720" w:type="dxa"/>
            <w:vAlign w:val="bottom"/>
            <w:gridSpan w:val="2"/>
          </w:tcPr>
          <w:p>
            <w:pPr>
              <w:jc w:val="right"/>
              <w:ind w:right="668"/>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940" w:type="dxa"/>
            <w:vAlign w:val="bottom"/>
          </w:tcPr>
          <w:p>
            <w:pPr>
              <w:jc w:val="right"/>
              <w:ind w:right="735"/>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384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83"/>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impairment loss</w:t>
            </w:r>
          </w:p>
        </w:tc>
        <w:tc>
          <w:tcPr>
            <w:tcW w:w="272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735"/>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851"/>
        </w:trPr>
        <w:tc>
          <w:tcPr>
            <w:tcW w:w="3840" w:type="dxa"/>
            <w:vAlign w:val="bottom"/>
          </w:tcPr>
          <w:p>
            <w:pPr>
              <w:spacing w:after="0"/>
              <w:rPr>
                <w:sz w:val="24"/>
                <w:szCs w:val="24"/>
                <w:color w:val="auto"/>
              </w:rPr>
            </w:pPr>
          </w:p>
        </w:tc>
        <w:tc>
          <w:tcPr>
            <w:tcW w:w="2720" w:type="dxa"/>
            <w:vAlign w:val="bottom"/>
            <w:gridSpan w:val="2"/>
          </w:tcPr>
          <w:p>
            <w:pPr>
              <w:jc w:val="right"/>
              <w:ind w:right="768"/>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42"/>
        </w:trPr>
        <w:tc>
          <w:tcPr>
            <w:tcW w:w="3840" w:type="dxa"/>
            <w:vAlign w:val="bottom"/>
            <w:tcBorders>
              <w:bottom w:val="single" w:sz="8" w:color="9A9A9A"/>
            </w:tcBorders>
          </w:tcPr>
          <w:p>
            <w:pPr>
              <w:spacing w:after="0"/>
              <w:rPr>
                <w:sz w:val="12"/>
                <w:szCs w:val="12"/>
                <w:color w:val="auto"/>
              </w:rPr>
            </w:pPr>
          </w:p>
        </w:tc>
        <w:tc>
          <w:tcPr>
            <w:tcW w:w="18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225"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In July 2023, the FASB issued ASU 2023-03 which amends various paragraphs in the Accounting Standards Codification pursuant to the issuance of Commission Staff Bulletin No. 120. These updates were effective immediately and did not have a material impact on the Company’s condensed consolidated financial statements.</w:t>
      </w:r>
    </w:p>
    <w:p>
      <w:pPr>
        <w:spacing w:after="0" w:line="180" w:lineRule="exact"/>
        <w:rPr>
          <w:sz w:val="20"/>
          <w:szCs w:val="20"/>
          <w:color w:val="auto"/>
        </w:rPr>
      </w:pPr>
    </w:p>
    <w:p>
      <w:pPr>
        <w:ind w:left="420" w:hanging="412"/>
        <w:spacing w:after="0"/>
        <w:tabs>
          <w:tab w:leader="none" w:pos="4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REAL ESTATE INVENTORY</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presents the components of inventory, net of applicable inventory valuation adjustments of $33 million and $459 million,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and December 31, 2022, respectively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176"/>
              <w:spacing w:after="0"/>
              <w:rPr>
                <w:sz w:val="20"/>
                <w:szCs w:val="20"/>
                <w:color w:val="auto"/>
              </w:rPr>
            </w:pPr>
            <w:r>
              <w:rPr>
                <w:rFonts w:ascii="Arial" w:cs="Arial" w:eastAsia="Arial" w:hAnsi="Arial"/>
                <w:sz w:val="14"/>
                <w:szCs w:val="14"/>
                <w:b w:val="1"/>
                <w:bCs w:val="1"/>
                <w:color w:val="auto"/>
                <w:w w:val="98"/>
              </w:rPr>
              <w:t>September 30,</w:t>
            </w:r>
          </w:p>
        </w:tc>
        <w:tc>
          <w:tcPr>
            <w:tcW w:w="220" w:type="dxa"/>
            <w:vAlign w:val="bottom"/>
          </w:tcPr>
          <w:p>
            <w:pPr>
              <w:spacing w:after="0"/>
              <w:rPr>
                <w:sz w:val="15"/>
                <w:szCs w:val="15"/>
                <w:color w:val="auto"/>
              </w:rPr>
            </w:pPr>
          </w:p>
        </w:tc>
        <w:tc>
          <w:tcPr>
            <w:tcW w:w="1240" w:type="dxa"/>
            <w:vAlign w:val="bottom"/>
          </w:tcPr>
          <w:p>
            <w:pPr>
              <w:jc w:val="right"/>
              <w:ind w:right="216"/>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8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476"/>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6"/>
                <w:szCs w:val="16"/>
                <w:color w:val="auto"/>
              </w:rPr>
            </w:pPr>
          </w:p>
        </w:tc>
        <w:tc>
          <w:tcPr>
            <w:tcW w:w="1240" w:type="dxa"/>
            <w:vAlign w:val="bottom"/>
          </w:tcPr>
          <w:p>
            <w:pPr>
              <w:jc w:val="right"/>
              <w:ind w:right="496"/>
              <w:spacing w:after="0"/>
              <w:rPr>
                <w:sz w:val="20"/>
                <w:szCs w:val="20"/>
                <w:color w:val="auto"/>
              </w:rPr>
            </w:pPr>
            <w:r>
              <w:rPr>
                <w:rFonts w:ascii="Arial" w:cs="Arial" w:eastAsia="Arial" w:hAnsi="Arial"/>
                <w:sz w:val="14"/>
                <w:szCs w:val="14"/>
                <w:b w:val="1"/>
                <w:bCs w:val="1"/>
                <w:color w:val="auto"/>
              </w:rPr>
              <w:t>2022</w:t>
            </w:r>
          </w:p>
        </w:tc>
      </w:tr>
      <w:tr>
        <w:trPr>
          <w:trHeight w:val="39"/>
        </w:trPr>
        <w:tc>
          <w:tcPr>
            <w:tcW w:w="83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43"/>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 in progress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Finished goods:</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Listed for sale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2,788</w:t>
            </w:r>
          </w:p>
        </w:tc>
      </w:tr>
      <w:tr>
        <w:trPr>
          <w:trHeight w:val="243"/>
        </w:trPr>
        <w:tc>
          <w:tcPr>
            <w:tcW w:w="8320" w:type="dxa"/>
            <w:vAlign w:val="bottom"/>
          </w:tcPr>
          <w:p>
            <w:pPr>
              <w:ind w:left="240"/>
              <w:spacing w:after="0"/>
              <w:rPr>
                <w:sz w:val="20"/>
                <w:szCs w:val="20"/>
                <w:color w:val="auto"/>
              </w:rPr>
            </w:pPr>
            <w:r>
              <w:rPr>
                <w:rFonts w:ascii="Arial" w:cs="Arial" w:eastAsia="Arial" w:hAnsi="Arial"/>
                <w:sz w:val="18"/>
                <w:szCs w:val="18"/>
                <w:color w:val="auto"/>
              </w:rPr>
              <w:t>Under contract for sale</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308</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781</w:t>
            </w:r>
          </w:p>
        </w:tc>
      </w:tr>
      <w:tr>
        <w:trPr>
          <w:trHeight w:val="27"/>
        </w:trPr>
        <w:tc>
          <w:tcPr>
            <w:tcW w:w="8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8"/>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real estate inventory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4,460</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-385445</wp:posOffset>
            </wp:positionV>
            <wp:extent cx="5271770"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7177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-908050</wp:posOffset>
            </wp:positionV>
            <wp:extent cx="52717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71770" cy="8255"/>
                    </a:xfrm>
                    <a:prstGeom prst="rect">
                      <a:avLst/>
                    </a:prstGeom>
                    <a:noFill/>
                  </pic:spPr>
                </pic:pic>
              </a:graphicData>
            </a:graphic>
          </wp:anchor>
        </w:drawing>
      </w:r>
    </w:p>
    <w:p>
      <w:pPr>
        <w:spacing w:after="0" w:line="2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2023, the Company was in contract to purchase 1,661 homes for an aggregate purchase price of $578 million.</w:t>
      </w:r>
    </w:p>
    <w:p>
      <w:pPr>
        <w:spacing w:after="0" w:line="225"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During the three and nine months ended September 30, 2023, the Company recorded inventory valuation adjustments for real estate inventory of $17 million and $54 million, respectively, in Cost of revenue in the condensed consolidated statements of operations. During the three and nine months ended September 30, 2022, the Company recorded inventory valuation adjustments for real estate inventory of $573 million and $663 million, respectively, in Cost of revenue in the condensed consolidated statements of operations.</w:t>
      </w:r>
    </w:p>
    <w:p>
      <w:pPr>
        <w:spacing w:after="0" w:line="183"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CASH, CASH EQUIVALENTS, AND INVESTMENTS</w:t>
      </w:r>
    </w:p>
    <w:p>
      <w:pPr>
        <w:spacing w:after="0" w:line="229"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amortized cost, gross unrealized gains and losses, and fair value of cash, cash equivalents, and marketable securities as of September 30, 2023 and December 31, 2022, are as follows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5"/>
          </w:tcPr>
          <w:p>
            <w:pPr>
              <w:ind w:left="560"/>
              <w:spacing w:after="0"/>
              <w:rPr>
                <w:sz w:val="20"/>
                <w:szCs w:val="20"/>
                <w:color w:val="auto"/>
              </w:rPr>
            </w:pPr>
            <w:r>
              <w:rPr>
                <w:rFonts w:ascii="Arial" w:cs="Arial" w:eastAsia="Arial" w:hAnsi="Arial"/>
                <w:sz w:val="14"/>
                <w:szCs w:val="14"/>
                <w:b w:val="1"/>
                <w:bCs w:val="1"/>
                <w:color w:val="auto"/>
              </w:rPr>
              <w:t>September 30, 2023</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9"/>
        </w:trPr>
        <w:tc>
          <w:tcPr>
            <w:tcW w:w="284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1"/>
        </w:trPr>
        <w:tc>
          <w:tcPr>
            <w:tcW w:w="28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Cost</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ind w:left="120"/>
              <w:spacing w:after="0"/>
              <w:rPr>
                <w:sz w:val="20"/>
                <w:szCs w:val="20"/>
                <w:color w:val="auto"/>
              </w:rPr>
            </w:pPr>
            <w:r>
              <w:rPr>
                <w:rFonts w:ascii="Arial" w:cs="Arial" w:eastAsia="Arial" w:hAnsi="Arial"/>
                <w:sz w:val="14"/>
                <w:szCs w:val="14"/>
                <w:b w:val="1"/>
                <w:bCs w:val="1"/>
                <w:color w:val="auto"/>
              </w:rPr>
              <w:t>Unrealized</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Cash and Cash</w:t>
            </w:r>
          </w:p>
        </w:tc>
        <w:tc>
          <w:tcPr>
            <w:tcW w:w="200" w:type="dxa"/>
            <w:vAlign w:val="bottom"/>
          </w:tcPr>
          <w:p>
            <w:pPr>
              <w:spacing w:after="0"/>
              <w:rPr>
                <w:sz w:val="20"/>
                <w:szCs w:val="20"/>
                <w:color w:val="auto"/>
              </w:rPr>
            </w:pPr>
          </w:p>
        </w:tc>
        <w:tc>
          <w:tcPr>
            <w:tcW w:w="1120" w:type="dxa"/>
            <w:vAlign w:val="bottom"/>
          </w:tcPr>
          <w:p>
            <w:pPr>
              <w:ind w:left="100"/>
              <w:spacing w:after="0"/>
              <w:rPr>
                <w:sz w:val="20"/>
                <w:szCs w:val="20"/>
                <w:color w:val="auto"/>
              </w:rPr>
            </w:pPr>
            <w:r>
              <w:rPr>
                <w:rFonts w:ascii="Arial" w:cs="Arial" w:eastAsia="Arial" w:hAnsi="Arial"/>
                <w:sz w:val="14"/>
                <w:szCs w:val="14"/>
                <w:b w:val="1"/>
                <w:bCs w:val="1"/>
                <w:color w:val="auto"/>
              </w:rPr>
              <w:t>Marketable</w:t>
            </w:r>
          </w:p>
        </w:tc>
      </w:tr>
      <w:tr>
        <w:trPr>
          <w:trHeight w:val="227"/>
        </w:trPr>
        <w:tc>
          <w:tcPr>
            <w:tcW w:w="28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Basis</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ind w:left="260"/>
              <w:spacing w:after="0"/>
              <w:rPr>
                <w:sz w:val="20"/>
                <w:szCs w:val="20"/>
                <w:color w:val="auto"/>
              </w:rPr>
            </w:pPr>
            <w:r>
              <w:rPr>
                <w:rFonts w:ascii="Arial" w:cs="Arial" w:eastAsia="Arial" w:hAnsi="Arial"/>
                <w:sz w:val="14"/>
                <w:szCs w:val="14"/>
                <w:b w:val="1"/>
                <w:bCs w:val="1"/>
                <w:color w:val="auto"/>
              </w:rPr>
              <w:t>Gains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Losses</w:t>
            </w:r>
          </w:p>
        </w:tc>
        <w:tc>
          <w:tcPr>
            <w:tcW w:w="220" w:type="dxa"/>
            <w:vAlign w:val="bottom"/>
          </w:tcPr>
          <w:p>
            <w:pPr>
              <w:spacing w:after="0"/>
              <w:rPr>
                <w:sz w:val="19"/>
                <w:szCs w:val="19"/>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9"/>
                <w:szCs w:val="19"/>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Equivalents</w:t>
            </w:r>
          </w:p>
        </w:tc>
        <w:tc>
          <w:tcPr>
            <w:tcW w:w="200" w:type="dxa"/>
            <w:vAlign w:val="bottom"/>
          </w:tcPr>
          <w:p>
            <w:pPr>
              <w:spacing w:after="0"/>
              <w:rPr>
                <w:sz w:val="19"/>
                <w:szCs w:val="19"/>
                <w:color w:val="auto"/>
              </w:rPr>
            </w:pPr>
          </w:p>
        </w:tc>
        <w:tc>
          <w:tcPr>
            <w:tcW w:w="1120" w:type="dxa"/>
            <w:vAlign w:val="bottom"/>
          </w:tcPr>
          <w:p>
            <w:pPr>
              <w:ind w:left="160"/>
              <w:spacing w:after="0"/>
              <w:rPr>
                <w:sz w:val="20"/>
                <w:szCs w:val="20"/>
                <w:color w:val="auto"/>
              </w:rPr>
            </w:pPr>
            <w:r>
              <w:rPr>
                <w:rFonts w:ascii="Arial" w:cs="Arial" w:eastAsia="Arial" w:hAnsi="Arial"/>
                <w:sz w:val="14"/>
                <w:szCs w:val="14"/>
                <w:b w:val="1"/>
                <w:bCs w:val="1"/>
                <w:color w:val="auto"/>
              </w:rPr>
              <w:t>Securities</w:t>
            </w:r>
          </w:p>
        </w:tc>
      </w:tr>
      <w:tr>
        <w:trPr>
          <w:trHeight w:val="39"/>
        </w:trPr>
        <w:tc>
          <w:tcPr>
            <w:tcW w:w="284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3"/>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82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43"/>
        </w:trPr>
        <w:tc>
          <w:tcPr>
            <w:tcW w:w="284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1,085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ind w:left="86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r>
      <w:tr>
        <w:trPr>
          <w:trHeight w:val="27"/>
        </w:trPr>
        <w:tc>
          <w:tcPr>
            <w:tcW w:w="2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w w:val="90"/>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60</w:t>
            </w:r>
          </w:p>
        </w:tc>
      </w:tr>
      <w:tr>
        <w:trPr>
          <w:trHeight w:val="243"/>
        </w:trPr>
        <w:tc>
          <w:tcPr>
            <w:tcW w:w="284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ind w:left="86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tcPr>
          <w:p>
            <w:pPr>
              <w:ind w:left="860"/>
              <w:spacing w:after="0"/>
              <w:rPr>
                <w:sz w:val="20"/>
                <w:szCs w:val="20"/>
                <w:color w:val="auto"/>
              </w:rPr>
            </w:pPr>
            <w:r>
              <w:rPr>
                <w:rFonts w:ascii="Arial" w:cs="Arial" w:eastAsia="Arial" w:hAnsi="Arial"/>
                <w:sz w:val="18"/>
                <w:szCs w:val="18"/>
                <w:color w:val="auto"/>
              </w:rPr>
              <w:t>12</w:t>
            </w:r>
          </w:p>
        </w:tc>
      </w:tr>
      <w:tr>
        <w:trPr>
          <w:trHeight w:val="27"/>
        </w:trPr>
        <w:tc>
          <w:tcPr>
            <w:tcW w:w="28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4"/>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1,227</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9"/>
              </w:rPr>
              <w:t>—</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0"/>
              </w:rPr>
              <w:t>(1)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72</w:t>
            </w: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851"/>
        </w:trPr>
        <w:tc>
          <w:tcPr>
            <w:tcW w:w="2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gridSpan w:val="3"/>
          </w:tcPr>
          <w:p>
            <w:pPr>
              <w:jc w:val="right"/>
              <w:ind w:right="160"/>
              <w:spacing w:after="0"/>
              <w:rPr>
                <w:sz w:val="20"/>
                <w:szCs w:val="20"/>
                <w:color w:val="auto"/>
              </w:rPr>
            </w:pPr>
            <w:r>
              <w:rPr>
                <w:rFonts w:ascii="Arial" w:cs="Arial" w:eastAsia="Arial" w:hAnsi="Arial"/>
                <w:sz w:val="18"/>
                <w:szCs w:val="18"/>
                <w:color w:val="auto"/>
                <w:w w:val="89"/>
              </w:rPr>
              <w:t>11</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29"/>
        </w:trPr>
        <w:tc>
          <w:tcPr>
            <w:tcW w:w="284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-1559560</wp:posOffset>
            </wp:positionV>
            <wp:extent cx="18002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5"/>
          </w:tcPr>
          <w:p>
            <w:pPr>
              <w:ind w:left="580"/>
              <w:spacing w:after="0"/>
              <w:rPr>
                <w:sz w:val="20"/>
                <w:szCs w:val="20"/>
                <w:color w:val="auto"/>
              </w:rPr>
            </w:pPr>
            <w:r>
              <w:rPr>
                <w:rFonts w:ascii="Arial" w:cs="Arial" w:eastAsia="Arial" w:hAnsi="Arial"/>
                <w:sz w:val="14"/>
                <w:szCs w:val="14"/>
                <w:b w:val="1"/>
                <w:bCs w:val="1"/>
                <w:color w:val="auto"/>
              </w:rPr>
              <w:t>December 31, 2022</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9"/>
        </w:trPr>
        <w:tc>
          <w:tcPr>
            <w:tcW w:w="284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1"/>
        </w:trPr>
        <w:tc>
          <w:tcPr>
            <w:tcW w:w="28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Cost</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Cash and Cash</w:t>
            </w:r>
          </w:p>
        </w:tc>
        <w:tc>
          <w:tcPr>
            <w:tcW w:w="200" w:type="dxa"/>
            <w:vAlign w:val="bottom"/>
          </w:tcPr>
          <w:p>
            <w:pPr>
              <w:spacing w:after="0"/>
              <w:rPr>
                <w:sz w:val="20"/>
                <w:szCs w:val="20"/>
                <w:color w:val="auto"/>
              </w:rPr>
            </w:pPr>
          </w:p>
        </w:tc>
        <w:tc>
          <w:tcPr>
            <w:tcW w:w="1120" w:type="dxa"/>
            <w:vAlign w:val="bottom"/>
          </w:tcPr>
          <w:p>
            <w:pPr>
              <w:jc w:val="right"/>
              <w:ind w:right="214"/>
              <w:spacing w:after="0"/>
              <w:rPr>
                <w:sz w:val="20"/>
                <w:szCs w:val="20"/>
                <w:color w:val="auto"/>
              </w:rPr>
            </w:pPr>
            <w:r>
              <w:rPr>
                <w:rFonts w:ascii="Arial" w:cs="Arial" w:eastAsia="Arial" w:hAnsi="Arial"/>
                <w:sz w:val="14"/>
                <w:szCs w:val="14"/>
                <w:b w:val="1"/>
                <w:bCs w:val="1"/>
                <w:color w:val="auto"/>
              </w:rPr>
              <w:t>Marketable</w:t>
            </w:r>
          </w:p>
        </w:tc>
      </w:tr>
      <w:tr>
        <w:trPr>
          <w:trHeight w:val="227"/>
        </w:trPr>
        <w:tc>
          <w:tcPr>
            <w:tcW w:w="28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Basis</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260"/>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9"/>
                <w:szCs w:val="19"/>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Losses</w:t>
            </w:r>
          </w:p>
        </w:tc>
        <w:tc>
          <w:tcPr>
            <w:tcW w:w="220" w:type="dxa"/>
            <w:vAlign w:val="bottom"/>
          </w:tcPr>
          <w:p>
            <w:pPr>
              <w:spacing w:after="0"/>
              <w:rPr>
                <w:sz w:val="19"/>
                <w:szCs w:val="19"/>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9"/>
                <w:szCs w:val="19"/>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Equivalents</w:t>
            </w:r>
          </w:p>
        </w:tc>
        <w:tc>
          <w:tcPr>
            <w:tcW w:w="200" w:type="dxa"/>
            <w:vAlign w:val="bottom"/>
          </w:tcPr>
          <w:p>
            <w:pPr>
              <w:spacing w:after="0"/>
              <w:rPr>
                <w:sz w:val="19"/>
                <w:szCs w:val="19"/>
                <w:color w:val="auto"/>
              </w:rPr>
            </w:pPr>
          </w:p>
        </w:tc>
        <w:tc>
          <w:tcPr>
            <w:tcW w:w="1120" w:type="dxa"/>
            <w:vAlign w:val="bottom"/>
          </w:tcPr>
          <w:p>
            <w:pPr>
              <w:jc w:val="right"/>
              <w:ind w:right="274"/>
              <w:spacing w:after="0"/>
              <w:rPr>
                <w:sz w:val="20"/>
                <w:szCs w:val="20"/>
                <w:color w:val="auto"/>
              </w:rPr>
            </w:pPr>
            <w:r>
              <w:rPr>
                <w:rFonts w:ascii="Arial" w:cs="Arial" w:eastAsia="Arial" w:hAnsi="Arial"/>
                <w:sz w:val="14"/>
                <w:szCs w:val="14"/>
                <w:b w:val="1"/>
                <w:bCs w:val="1"/>
                <w:color w:val="auto"/>
              </w:rPr>
              <w:t>Securities</w:t>
            </w:r>
          </w:p>
        </w:tc>
      </w:tr>
      <w:tr>
        <w:trPr>
          <w:trHeight w:val="39"/>
        </w:trPr>
        <w:tc>
          <w:tcPr>
            <w:tcW w:w="284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3"/>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82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84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w w:val="90"/>
              </w:rPr>
              <w:t>(4)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43"/>
        </w:trPr>
        <w:tc>
          <w:tcPr>
            <w:tcW w:w="284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2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284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28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3"/>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1,285</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0"/>
              </w:rPr>
              <w:t>(4)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-1250950</wp:posOffset>
            </wp:positionV>
            <wp:extent cx="18002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76"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During the three and nine months ended September 30, 2023, the Company recognized $(6) million and $1 million of net unrealized (losses) gains, respectively, in the condensed consolidated statements of operations related to marketable equity securities held as of September 30, 2023. During the three and nine months ended September 30, 2022, the Company recognized $11 million and $36 million of net unrealized losses, respectively, in the condensed consolidated statements of operations related to marketable equity securities held as of September 30, 2022.</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debt securities with unrealized losses aggregated by period of continuous unrealized loss is as follows (in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80" w:type="dxa"/>
            <w:vAlign w:val="bottom"/>
            <w:gridSpan w:val="5"/>
          </w:tcPr>
          <w:p>
            <w:pPr>
              <w:jc w:val="right"/>
              <w:ind w:right="304"/>
              <w:spacing w:after="0"/>
              <w:rPr>
                <w:sz w:val="20"/>
                <w:szCs w:val="20"/>
                <w:color w:val="auto"/>
              </w:rPr>
            </w:pPr>
            <w:r>
              <w:rPr>
                <w:rFonts w:ascii="Arial" w:cs="Arial" w:eastAsia="Arial" w:hAnsi="Arial"/>
                <w:sz w:val="14"/>
                <w:szCs w:val="14"/>
                <w:b w:val="1"/>
                <w:bCs w:val="1"/>
                <w:color w:val="auto"/>
              </w:rPr>
              <w:t>Less than 12 Months</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20" w:type="dxa"/>
            <w:vAlign w:val="bottom"/>
            <w:gridSpan w:val="4"/>
          </w:tcPr>
          <w:p>
            <w:pPr>
              <w:jc w:val="right"/>
              <w:ind w:right="284"/>
              <w:spacing w:after="0"/>
              <w:rPr>
                <w:sz w:val="20"/>
                <w:szCs w:val="20"/>
                <w:color w:val="auto"/>
              </w:rPr>
            </w:pPr>
            <w:r>
              <w:rPr>
                <w:rFonts w:ascii="Arial" w:cs="Arial" w:eastAsia="Arial" w:hAnsi="Arial"/>
                <w:sz w:val="14"/>
                <w:szCs w:val="14"/>
                <w:b w:val="1"/>
                <w:bCs w:val="1"/>
                <w:color w:val="auto"/>
              </w:rPr>
              <w:t>12 Months or Greater</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Total</w:t>
            </w:r>
          </w:p>
        </w:tc>
        <w:tc>
          <w:tcPr>
            <w:tcW w:w="1040" w:type="dxa"/>
            <w:vAlign w:val="bottom"/>
          </w:tcPr>
          <w:p>
            <w:pPr>
              <w:spacing w:after="0"/>
              <w:rPr>
                <w:sz w:val="16"/>
                <w:szCs w:val="16"/>
                <w:color w:val="auto"/>
              </w:rPr>
            </w:pPr>
          </w:p>
        </w:tc>
      </w:tr>
      <w:tr>
        <w:trPr>
          <w:trHeight w:val="39"/>
        </w:trPr>
        <w:tc>
          <w:tcPr>
            <w:tcW w:w="32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24"/>
        </w:trPr>
        <w:tc>
          <w:tcPr>
            <w:tcW w:w="3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jc w:val="center"/>
              <w:ind w:left="184"/>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jc w:val="center"/>
              <w:ind w:left="164"/>
              <w:spacing w:after="0"/>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center"/>
              <w:ind w:right="117"/>
              <w:spacing w:after="0"/>
              <w:rPr>
                <w:sz w:val="20"/>
                <w:szCs w:val="20"/>
                <w:color w:val="auto"/>
              </w:rPr>
            </w:pPr>
            <w:r>
              <w:rPr>
                <w:rFonts w:ascii="Arial" w:cs="Arial" w:eastAsia="Arial" w:hAnsi="Arial"/>
                <w:sz w:val="14"/>
                <w:szCs w:val="14"/>
                <w:b w:val="1"/>
                <w:bCs w:val="1"/>
                <w:color w:val="auto"/>
                <w:w w:val="95"/>
              </w:rPr>
              <w:t>Unrealized</w:t>
            </w:r>
          </w:p>
        </w:tc>
      </w:tr>
      <w:tr>
        <w:trPr>
          <w:trHeight w:val="243"/>
        </w:trPr>
        <w:tc>
          <w:tcPr>
            <w:tcW w:w="334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2023</w:t>
            </w:r>
          </w:p>
        </w:tc>
        <w:tc>
          <w:tcPr>
            <w:tcW w:w="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jc w:val="center"/>
              <w:ind w:left="164"/>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21"/>
                <w:szCs w:val="21"/>
                <w:color w:val="auto"/>
              </w:rPr>
            </w:pPr>
          </w:p>
        </w:tc>
        <w:tc>
          <w:tcPr>
            <w:tcW w:w="980" w:type="dxa"/>
            <w:vAlign w:val="bottom"/>
          </w:tcPr>
          <w:p>
            <w:pPr>
              <w:jc w:val="center"/>
              <w:ind w:left="144"/>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21"/>
                <w:szCs w:val="21"/>
                <w:color w:val="auto"/>
              </w:rPr>
            </w:pPr>
          </w:p>
        </w:tc>
        <w:tc>
          <w:tcPr>
            <w:tcW w:w="1040" w:type="dxa"/>
            <w:vAlign w:val="bottom"/>
          </w:tcPr>
          <w:p>
            <w:pPr>
              <w:jc w:val="center"/>
              <w:ind w:right="117"/>
              <w:spacing w:after="0"/>
              <w:rPr>
                <w:sz w:val="20"/>
                <w:szCs w:val="20"/>
                <w:color w:val="auto"/>
              </w:rPr>
            </w:pPr>
            <w:r>
              <w:rPr>
                <w:rFonts w:ascii="Arial" w:cs="Arial" w:eastAsia="Arial" w:hAnsi="Arial"/>
                <w:sz w:val="14"/>
                <w:szCs w:val="14"/>
                <w:b w:val="1"/>
                <w:bCs w:val="1"/>
                <w:color w:val="auto"/>
                <w:w w:val="82"/>
              </w:rPr>
              <w:t>Losses</w:t>
            </w:r>
          </w:p>
        </w:tc>
      </w:tr>
      <w:tr>
        <w:trPr>
          <w:trHeight w:val="39"/>
        </w:trPr>
        <w:tc>
          <w:tcPr>
            <w:tcW w:w="324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63"/>
        </w:trPr>
        <w:tc>
          <w:tcPr>
            <w:tcW w:w="33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960" w:type="dxa"/>
            <w:vAlign w:val="bottom"/>
            <w:tcBorders>
              <w:bottom w:val="single" w:sz="8" w:color="CCEEFF"/>
            </w:tcBorders>
            <w:gridSpan w:val="2"/>
            <w:shd w:val="clear" w:color="auto" w:fill="CCEEFF"/>
          </w:tcPr>
          <w:p>
            <w:pPr>
              <w:jc w:val="right"/>
              <w:ind w:right="764"/>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784"/>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4"/>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w w:val="99"/>
              </w:rPr>
              <w:t>(1)</w:t>
            </w:r>
          </w:p>
        </w:tc>
      </w:tr>
      <w:tr>
        <w:trPr>
          <w:trHeight w:val="264"/>
        </w:trPr>
        <w:tc>
          <w:tcPr>
            <w:tcW w:w="334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gridSpan w:val="2"/>
          </w:tcPr>
          <w:p>
            <w:pPr>
              <w:jc w:val="right"/>
              <w:ind w:right="764"/>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980" w:type="dxa"/>
            <w:vAlign w:val="bottom"/>
            <w:tcBorders>
              <w:top w:val="single" w:sz="8" w:color="auto"/>
              <w:bottom w:val="single" w:sz="8" w:color="auto"/>
            </w:tcBorders>
            <w:gridSpan w:val="2"/>
          </w:tcPr>
          <w:p>
            <w:pPr>
              <w:jc w:val="right"/>
              <w:ind w:right="784"/>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2"/>
                <w:szCs w:val="22"/>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22"/>
                <w:szCs w:val="22"/>
                <w:color w:val="auto"/>
              </w:rPr>
            </w:pPr>
          </w:p>
        </w:tc>
        <w:tc>
          <w:tcPr>
            <w:tcW w:w="1000" w:type="dxa"/>
            <w:vAlign w:val="bottom"/>
            <w:tcBorders>
              <w:top w:val="single" w:sz="8" w:color="auto"/>
              <w:bottom w:val="single" w:sz="8" w:color="auto"/>
            </w:tcBorders>
            <w:gridSpan w:val="2"/>
          </w:tcPr>
          <w:p>
            <w:pPr>
              <w:jc w:val="right"/>
              <w:ind w:right="804"/>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0"/>
              </w:rPr>
              <w:t>(1)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w w:val="99"/>
              </w:rPr>
              <w:t>(1)</w:t>
            </w:r>
          </w:p>
        </w:tc>
      </w:tr>
      <w:tr>
        <w:trPr>
          <w:trHeight w:val="20"/>
        </w:trPr>
        <w:tc>
          <w:tcPr>
            <w:tcW w:w="3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508"/>
        </w:trPr>
        <w:tc>
          <w:tcPr>
            <w:tcW w:w="3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5"/>
          </w:tcPr>
          <w:p>
            <w:pPr>
              <w:jc w:val="right"/>
              <w:ind w:right="284"/>
              <w:spacing w:after="0"/>
              <w:rPr>
                <w:sz w:val="20"/>
                <w:szCs w:val="20"/>
                <w:color w:val="auto"/>
              </w:rPr>
            </w:pPr>
            <w:r>
              <w:rPr>
                <w:rFonts w:ascii="Arial" w:cs="Arial" w:eastAsia="Arial" w:hAnsi="Arial"/>
                <w:sz w:val="14"/>
                <w:szCs w:val="14"/>
                <w:b w:val="1"/>
                <w:bCs w:val="1"/>
                <w:color w:val="auto"/>
              </w:rPr>
              <w:t>Less than 12 Months</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gridSpan w:val="4"/>
          </w:tcPr>
          <w:p>
            <w:pPr>
              <w:jc w:val="right"/>
              <w:ind w:right="264"/>
              <w:spacing w:after="0"/>
              <w:rPr>
                <w:sz w:val="20"/>
                <w:szCs w:val="20"/>
                <w:color w:val="auto"/>
              </w:rPr>
            </w:pPr>
            <w:r>
              <w:rPr>
                <w:rFonts w:ascii="Arial" w:cs="Arial" w:eastAsia="Arial" w:hAnsi="Arial"/>
                <w:sz w:val="14"/>
                <w:szCs w:val="14"/>
                <w:b w:val="1"/>
                <w:bCs w:val="1"/>
                <w:color w:val="auto"/>
              </w:rPr>
              <w:t>12 Months or Greater</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1040" w:type="dxa"/>
            <w:vAlign w:val="bottom"/>
          </w:tcPr>
          <w:p>
            <w:pPr>
              <w:spacing w:after="0"/>
              <w:rPr>
                <w:sz w:val="24"/>
                <w:szCs w:val="24"/>
                <w:color w:val="auto"/>
              </w:rPr>
            </w:pPr>
          </w:p>
        </w:tc>
      </w:tr>
      <w:tr>
        <w:trPr>
          <w:trHeight w:val="39"/>
        </w:trPr>
        <w:tc>
          <w:tcPr>
            <w:tcW w:w="32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38"/>
        </w:trPr>
        <w:tc>
          <w:tcPr>
            <w:tcW w:w="3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jc w:val="center"/>
              <w:ind w:left="204"/>
              <w:spacing w:after="0"/>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jc w:val="center"/>
              <w:ind w:left="184"/>
              <w:spacing w:after="0"/>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center"/>
              <w:ind w:right="117"/>
              <w:spacing w:after="0"/>
              <w:rPr>
                <w:sz w:val="20"/>
                <w:szCs w:val="20"/>
                <w:color w:val="auto"/>
              </w:rPr>
            </w:pPr>
            <w:r>
              <w:rPr>
                <w:rFonts w:ascii="Arial" w:cs="Arial" w:eastAsia="Arial" w:hAnsi="Arial"/>
                <w:sz w:val="14"/>
                <w:szCs w:val="14"/>
                <w:b w:val="1"/>
                <w:bCs w:val="1"/>
                <w:color w:val="auto"/>
                <w:w w:val="95"/>
              </w:rPr>
              <w:t>Unrealized</w:t>
            </w:r>
          </w:p>
        </w:tc>
      </w:tr>
      <w:tr>
        <w:trPr>
          <w:trHeight w:val="230"/>
        </w:trPr>
        <w:tc>
          <w:tcPr>
            <w:tcW w:w="33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2022</w:t>
            </w:r>
          </w:p>
        </w:tc>
        <w:tc>
          <w:tcPr>
            <w:tcW w:w="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jc w:val="center"/>
              <w:ind w:left="204"/>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9"/>
                <w:szCs w:val="19"/>
                <w:color w:val="auto"/>
              </w:rPr>
            </w:pPr>
          </w:p>
        </w:tc>
        <w:tc>
          <w:tcPr>
            <w:tcW w:w="980" w:type="dxa"/>
            <w:vAlign w:val="bottom"/>
          </w:tcPr>
          <w:p>
            <w:pPr>
              <w:jc w:val="center"/>
              <w:ind w:left="184"/>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9"/>
                <w:szCs w:val="19"/>
                <w:color w:val="auto"/>
              </w:rPr>
            </w:pPr>
          </w:p>
        </w:tc>
        <w:tc>
          <w:tcPr>
            <w:tcW w:w="1040" w:type="dxa"/>
            <w:vAlign w:val="bottom"/>
          </w:tcPr>
          <w:p>
            <w:pPr>
              <w:jc w:val="center"/>
              <w:ind w:right="117"/>
              <w:spacing w:after="0"/>
              <w:rPr>
                <w:sz w:val="20"/>
                <w:szCs w:val="20"/>
                <w:color w:val="auto"/>
              </w:rPr>
            </w:pPr>
            <w:r>
              <w:rPr>
                <w:rFonts w:ascii="Arial" w:cs="Arial" w:eastAsia="Arial" w:hAnsi="Arial"/>
                <w:sz w:val="14"/>
                <w:szCs w:val="14"/>
                <w:b w:val="1"/>
                <w:bCs w:val="1"/>
                <w:color w:val="auto"/>
                <w:w w:val="82"/>
              </w:rPr>
              <w:t>Losses</w:t>
            </w:r>
          </w:p>
        </w:tc>
      </w:tr>
      <w:tr>
        <w:trPr>
          <w:trHeight w:val="39"/>
        </w:trPr>
        <w:tc>
          <w:tcPr>
            <w:tcW w:w="326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43"/>
        </w:trPr>
        <w:tc>
          <w:tcPr>
            <w:tcW w:w="33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960" w:type="dxa"/>
            <w:vAlign w:val="bottom"/>
            <w:tcBorders>
              <w:bottom w:val="single" w:sz="8" w:color="CCEEFF"/>
            </w:tcBorders>
            <w:gridSpan w:val="2"/>
            <w:shd w:val="clear" w:color="auto" w:fill="CCEEFF"/>
          </w:tcPr>
          <w:p>
            <w:pPr>
              <w:jc w:val="right"/>
              <w:ind w:right="764"/>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784"/>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804"/>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w w:val="99"/>
              </w:rPr>
              <w:t>(4)</w:t>
            </w:r>
          </w:p>
        </w:tc>
      </w:tr>
      <w:tr>
        <w:trPr>
          <w:trHeight w:val="243"/>
        </w:trPr>
        <w:tc>
          <w:tcPr>
            <w:tcW w:w="3340" w:type="dxa"/>
            <w:vAlign w:val="bottom"/>
            <w:gridSpan w:val="3"/>
          </w:tcPr>
          <w:p>
            <w:pPr>
              <w:ind w:left="20"/>
              <w:spacing w:after="0"/>
              <w:rPr>
                <w:sz w:val="20"/>
                <w:szCs w:val="20"/>
                <w:color w:val="auto"/>
              </w:rPr>
            </w:pPr>
            <w:r>
              <w:rPr>
                <w:rFonts w:ascii="Arial" w:cs="Arial" w:eastAsia="Arial" w:hAnsi="Arial"/>
                <w:sz w:val="18"/>
                <w:szCs w:val="18"/>
                <w:color w:val="auto"/>
              </w:rPr>
              <w:t>Certificates of deposit</w:t>
            </w: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gridSpan w:val="3"/>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r>
      <w:tr>
        <w:trPr>
          <w:trHeight w:val="27"/>
        </w:trPr>
        <w:tc>
          <w:tcPr>
            <w:tcW w:w="32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3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64"/>
        </w:trPr>
        <w:tc>
          <w:tcPr>
            <w:tcW w:w="334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64"/>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84"/>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804"/>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0"/>
              </w:rPr>
              <w:t>(4)</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w w:val="99"/>
              </w:rPr>
              <w:t>(4)</w:t>
            </w:r>
          </w:p>
        </w:tc>
      </w:tr>
      <w:tr>
        <w:trPr>
          <w:trHeight w:val="20"/>
        </w:trPr>
        <w:tc>
          <w:tcPr>
            <w:tcW w:w="3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Net unrealized losses of the Company's available-for-sale debt securities as of September 30, 2023 and December 31, 2022 were $1 million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 million, respectively. These unrealized losses are associated with the Company’s investments in corporate debt securities and were due to interest 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increases, and not credit-related events. The Company does not expect to be required to sell the investments before recovery of the amortized cost bases.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such, no allowance for credit losses is required as of September 30, 2023 or December 31, 2022.</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scheduled contractual maturities of debt securities as of September 30, 2023 are as follows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center"/>
              <w:ind w:right="162"/>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89"/>
        </w:trPr>
        <w:tc>
          <w:tcPr>
            <w:tcW w:w="7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center"/>
              <w:ind w:right="142"/>
              <w:spacing w:after="0"/>
              <w:rPr>
                <w:sz w:val="20"/>
                <w:szCs w:val="20"/>
                <w:color w:val="auto"/>
              </w:rPr>
            </w:pPr>
            <w:r>
              <w:rPr>
                <w:rFonts w:ascii="Arial" w:cs="Arial" w:eastAsia="Arial" w:hAnsi="Arial"/>
                <w:sz w:val="14"/>
                <w:szCs w:val="14"/>
                <w:b w:val="1"/>
                <w:bCs w:val="1"/>
                <w:color w:val="auto"/>
                <w:w w:val="95"/>
              </w:rPr>
              <w:t>1 Year</w:t>
            </w:r>
          </w:p>
        </w:tc>
        <w:tc>
          <w:tcPr>
            <w:tcW w:w="0" w:type="dxa"/>
            <w:vAlign w:val="bottom"/>
          </w:tcPr>
          <w:p>
            <w:pPr>
              <w:spacing w:after="0"/>
              <w:rPr>
                <w:sz w:val="1"/>
                <w:szCs w:val="1"/>
                <w:color w:val="auto"/>
              </w:rPr>
            </w:pPr>
          </w:p>
        </w:tc>
      </w:tr>
      <w:tr>
        <w:trPr>
          <w:trHeight w:val="203"/>
        </w:trPr>
        <w:tc>
          <w:tcPr>
            <w:tcW w:w="7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Within</w:t>
            </w:r>
          </w:p>
        </w:tc>
        <w:tc>
          <w:tcPr>
            <w:tcW w:w="240" w:type="dxa"/>
            <w:vAlign w:val="bottom"/>
          </w:tcPr>
          <w:p>
            <w:pPr>
              <w:spacing w:after="0"/>
              <w:rPr>
                <w:sz w:val="17"/>
                <w:szCs w:val="17"/>
                <w:color w:val="auto"/>
              </w:rPr>
            </w:pPr>
          </w:p>
        </w:tc>
        <w:tc>
          <w:tcPr>
            <w:tcW w:w="1020" w:type="dxa"/>
            <w:vAlign w:val="bottom"/>
          </w:tcPr>
          <w:p>
            <w:pPr>
              <w:jc w:val="center"/>
              <w:ind w:right="162"/>
              <w:spacing w:after="0"/>
              <w:rPr>
                <w:sz w:val="20"/>
                <w:szCs w:val="20"/>
                <w:color w:val="auto"/>
              </w:rPr>
            </w:pPr>
            <w:r>
              <w:rPr>
                <w:rFonts w:ascii="Arial" w:cs="Arial" w:eastAsia="Arial" w:hAnsi="Arial"/>
                <w:sz w:val="14"/>
                <w:szCs w:val="14"/>
                <w:b w:val="1"/>
                <w:bCs w:val="1"/>
                <w:color w:val="auto"/>
                <w:w w:val="94"/>
              </w:rPr>
              <w:t>through</w:t>
            </w:r>
          </w:p>
        </w:tc>
        <w:tc>
          <w:tcPr>
            <w:tcW w:w="0" w:type="dxa"/>
            <w:vAlign w:val="bottom"/>
          </w:tcPr>
          <w:p>
            <w:pPr>
              <w:spacing w:after="0"/>
              <w:rPr>
                <w:sz w:val="1"/>
                <w:szCs w:val="1"/>
                <w:color w:val="auto"/>
              </w:rPr>
            </w:pPr>
          </w:p>
        </w:tc>
      </w:tr>
      <w:tr>
        <w:trPr>
          <w:trHeight w:val="54"/>
        </w:trPr>
        <w:tc>
          <w:tcPr>
            <w:tcW w:w="7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vMerge w:val="restart"/>
          </w:tcPr>
          <w:p>
            <w:pPr>
              <w:jc w:val="center"/>
              <w:ind w:right="162"/>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89"/>
        </w:trPr>
        <w:tc>
          <w:tcPr>
            <w:tcW w:w="72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2023</w:t>
            </w:r>
          </w:p>
        </w:tc>
        <w:tc>
          <w:tcPr>
            <w:tcW w:w="220" w:type="dxa"/>
            <w:vAlign w:val="bottom"/>
          </w:tcPr>
          <w:p>
            <w:pPr>
              <w:spacing w:after="0"/>
              <w:rPr>
                <w:sz w:val="16"/>
                <w:szCs w:val="16"/>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6"/>
                <w:szCs w:val="16"/>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7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72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00" w:firstLine="405"/>
        <w:spacing w:after="0" w:line="276" w:lineRule="auto"/>
        <w:rPr>
          <w:sz w:val="20"/>
          <w:szCs w:val="20"/>
          <w:color w:val="auto"/>
        </w:rPr>
      </w:pPr>
      <w:r>
        <w:rPr>
          <w:rFonts w:ascii="Arial" w:cs="Arial" w:eastAsia="Arial" w:hAnsi="Arial"/>
          <w:sz w:val="18"/>
          <w:szCs w:val="18"/>
          <w:color w:val="auto"/>
        </w:rPr>
        <w:t>A summary of non-marketable equity securities and equity method investment balances as of September 30, 2023 and December 31, 2022 are as follows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ind w:right="217"/>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8320" w:type="dxa"/>
            <w:vAlign w:val="bottom"/>
          </w:tcPr>
          <w:p>
            <w:pPr>
              <w:spacing w:after="0"/>
              <w:rPr>
                <w:sz w:val="16"/>
                <w:szCs w:val="16"/>
                <w:color w:val="auto"/>
              </w:rPr>
            </w:pPr>
          </w:p>
        </w:tc>
        <w:tc>
          <w:tcPr>
            <w:tcW w:w="1160" w:type="dxa"/>
            <w:vAlign w:val="bottom"/>
          </w:tcPr>
          <w:p>
            <w:pPr>
              <w:jc w:val="right"/>
              <w:ind w:right="239"/>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497"/>
              <w:spacing w:after="0"/>
              <w:rPr>
                <w:sz w:val="20"/>
                <w:szCs w:val="20"/>
                <w:color w:val="auto"/>
              </w:rPr>
            </w:pPr>
            <w:r>
              <w:rPr>
                <w:rFonts w:ascii="Arial" w:cs="Arial" w:eastAsia="Arial" w:hAnsi="Arial"/>
                <w:sz w:val="14"/>
                <w:szCs w:val="14"/>
                <w:b w:val="1"/>
                <w:bCs w:val="1"/>
                <w:color w:val="auto"/>
              </w:rPr>
              <w:t>2022</w:t>
            </w:r>
          </w:p>
        </w:tc>
      </w:tr>
      <w:tr>
        <w:trPr>
          <w:trHeight w:val="39"/>
        </w:trPr>
        <w:tc>
          <w:tcPr>
            <w:tcW w:w="832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43"/>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method investments</w:t>
            </w:r>
          </w:p>
        </w:tc>
        <w:tc>
          <w:tcPr>
            <w:tcW w:w="116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20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Non-marketable equity securities</w:t>
            </w:r>
          </w:p>
        </w:tc>
        <w:tc>
          <w:tcPr>
            <w:tcW w:w="116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83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8"/>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20</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-565150</wp:posOffset>
            </wp:positionV>
            <wp:extent cx="52717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71770" cy="8255"/>
                    </a:xfrm>
                    <a:prstGeom prst="rect">
                      <a:avLst/>
                    </a:prstGeom>
                    <a:noFill/>
                  </pic:spPr>
                </pic:pic>
              </a:graphicData>
            </a:graphic>
          </wp:anchor>
        </w:drawing>
      </w:r>
    </w:p>
    <w:p>
      <w:pPr>
        <w:spacing w:after="0" w:line="276" w:lineRule="exact"/>
        <w:rPr>
          <w:sz w:val="20"/>
          <w:szCs w:val="20"/>
          <w:color w:val="auto"/>
        </w:rPr>
      </w:pPr>
    </w:p>
    <w:p>
      <w:pPr>
        <w:ind w:right="380" w:firstLine="405"/>
        <w:spacing w:after="0" w:line="259" w:lineRule="auto"/>
        <w:rPr>
          <w:sz w:val="20"/>
          <w:szCs w:val="20"/>
          <w:color w:val="auto"/>
        </w:rPr>
      </w:pPr>
      <w:r>
        <w:rPr>
          <w:rFonts w:ascii="Arial" w:cs="Arial" w:eastAsia="Arial" w:hAnsi="Arial"/>
          <w:sz w:val="18"/>
          <w:szCs w:val="18"/>
          <w:color w:val="auto"/>
        </w:rPr>
        <w:t>During both the three and nine months ended September 30, 2023, the Company recognized $5 million of net unrealized losses in the condensed consolidated statements of operations related to non-marketable equity securities held as of September 30, 2023. No unrealized losses were recognized during the three and nine months ended September 30, 2022 in the condensed consolidated statements of operations related to non-marketable equity securities held as of September 30, 2022.</w:t>
      </w:r>
    </w:p>
    <w:p>
      <w:pPr>
        <w:spacing w:after="0" w:line="183"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w:t>
      </w:r>
    </w:p>
    <w:p>
      <w:pPr>
        <w:spacing w:after="0" w:line="229" w:lineRule="exact"/>
        <w:rPr>
          <w:sz w:val="20"/>
          <w:szCs w:val="20"/>
          <w:color w:val="auto"/>
        </w:rPr>
      </w:pPr>
    </w:p>
    <w:p>
      <w:pPr>
        <w:ind w:right="540" w:firstLine="405"/>
        <w:spacing w:after="0" w:line="342" w:lineRule="auto"/>
        <w:rPr>
          <w:sz w:val="20"/>
          <w:szCs w:val="20"/>
          <w:color w:val="auto"/>
        </w:rPr>
      </w:pPr>
      <w:r>
        <w:rPr>
          <w:rFonts w:ascii="Arial" w:cs="Arial" w:eastAsia="Arial" w:hAnsi="Arial"/>
          <w:sz w:val="16"/>
          <w:szCs w:val="16"/>
          <w:color w:val="auto"/>
        </w:rPr>
        <w:t>The Company utilizes VIEs in the normal course of business to support the Company’s financing needs. The Company determines whether the Company is the primary beneficiary of a VIE at the time it becomes involved with the VIE and reconsiders that conclusion on an on-going basis.</w:t>
      </w:r>
    </w:p>
    <w:p>
      <w:pPr>
        <w:spacing w:after="0" w:line="124" w:lineRule="exact"/>
        <w:rPr>
          <w:sz w:val="20"/>
          <w:szCs w:val="20"/>
          <w:color w:val="auto"/>
        </w:rPr>
      </w:pPr>
    </w:p>
    <w:p>
      <w:pPr>
        <w:ind w:right="20" w:firstLine="405"/>
        <w:spacing w:after="0" w:line="275" w:lineRule="auto"/>
        <w:rPr>
          <w:sz w:val="20"/>
          <w:szCs w:val="20"/>
          <w:color w:val="auto"/>
        </w:rPr>
      </w:pPr>
      <w:r>
        <w:rPr>
          <w:rFonts w:ascii="Arial" w:cs="Arial" w:eastAsia="Arial" w:hAnsi="Arial"/>
          <w:sz w:val="17"/>
          <w:szCs w:val="17"/>
          <w:color w:val="auto"/>
        </w:rPr>
        <w:t>The Company established certain special purpose entities (“SPEs”) for the purpose of financing the Company’s purchase and renovation of real estate inventory through the issuance of asset-backed debt. The Company is the primary beneficiary of the various VIEs within these financing structures and consolidates these VIEs. The Company is determined to be the primary beneficiary based on its power to direct the activities that most significantly impact the economic outcomes of the SPEs through its role in designing the SPEs and managing the real estate inventory they purchase and sell. The Company has a potentially significant variable interest in the entities based upon the equity interest the Company holds in the VIEs.</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assets and liabilities related to the VIEs consolidated by the Company as of September 30, 2023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(in millions):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20" w:type="dxa"/>
            <w:vAlign w:val="bottom"/>
          </w:tcPr>
          <w:p>
            <w:pPr>
              <w:jc w:val="right"/>
              <w:ind w:right="214"/>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47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53"/>
        </w:trPr>
        <w:tc>
          <w:tcPr>
            <w:tcW w:w="2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74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824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74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240" w:type="dxa"/>
            <w:vAlign w:val="bottom"/>
            <w:gridSpan w:val="3"/>
          </w:tcPr>
          <w:p>
            <w:pPr>
              <w:spacing w:after="0"/>
              <w:rPr>
                <w:sz w:val="20"/>
                <w:szCs w:val="20"/>
                <w:color w:val="auto"/>
              </w:rPr>
            </w:pPr>
            <w:r>
              <w:rPr>
                <w:rFonts w:ascii="Arial" w:cs="Arial" w:eastAsia="Arial" w:hAnsi="Arial"/>
                <w:sz w:val="18"/>
                <w:szCs w:val="18"/>
                <w:color w:val="auto"/>
              </w:rPr>
              <w:t>Restricted cash</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1,203</w:t>
            </w:r>
          </w:p>
        </w:tc>
        <w:tc>
          <w:tcPr>
            <w:tcW w:w="12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Real estate inventory, net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4,408</w:t>
            </w:r>
          </w:p>
        </w:tc>
        <w:tc>
          <w:tcPr>
            <w:tcW w:w="0" w:type="dxa"/>
            <w:vAlign w:val="bottom"/>
          </w:tcPr>
          <w:p>
            <w:pPr>
              <w:spacing w:after="0"/>
              <w:rPr>
                <w:sz w:val="1"/>
                <w:szCs w:val="1"/>
                <w:color w:val="auto"/>
              </w:rPr>
            </w:pPr>
          </w:p>
        </w:tc>
      </w:tr>
      <w:tr>
        <w:trPr>
          <w:trHeight w:val="351"/>
        </w:trPr>
        <w:tc>
          <w:tcPr>
            <w:tcW w:w="20" w:type="dxa"/>
            <w:vAlign w:val="bottom"/>
            <w:tcBorders>
              <w:bottom w:val="single" w:sz="8" w:color="CCEEFF"/>
            </w:tcBorders>
          </w:tcPr>
          <w:p>
            <w:pPr>
              <w:spacing w:after="0"/>
              <w:rPr>
                <w:sz w:val="24"/>
                <w:szCs w:val="24"/>
                <w:color w:val="auto"/>
              </w:rPr>
            </w:pPr>
          </w:p>
        </w:tc>
        <w:tc>
          <w:tcPr>
            <w:tcW w:w="82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(1)</w:t>
            </w: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82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2,499</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240" w:type="dxa"/>
            <w:vAlign w:val="bottom"/>
            <w:tcBorders>
              <w:top w:val="single" w:sz="8" w:color="CCEEFF"/>
              <w:bottom w:val="single" w:sz="8" w:color="CCEEFF"/>
            </w:tcBorders>
            <w:gridSpan w:val="3"/>
            <w:vMerge w:val="restart"/>
          </w:tcPr>
          <w:p>
            <w:pPr>
              <w:spacing w:after="0" w:line="189" w:lineRule="exact"/>
              <w:rPr>
                <w:sz w:val="20"/>
                <w:szCs w:val="20"/>
                <w:color w:val="auto"/>
              </w:rPr>
            </w:pPr>
            <w:r>
              <w:rPr>
                <w:rFonts w:ascii="Arial" w:cs="Arial" w:eastAsia="Arial" w:hAnsi="Arial"/>
                <w:sz w:val="18"/>
                <w:szCs w:val="18"/>
                <w:b w:val="1"/>
                <w:bCs w:val="1"/>
                <w:color w:val="auto"/>
              </w:rPr>
              <w:t>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3"/>
                <w:szCs w:val="13"/>
                <w:color w:val="auto"/>
              </w:rPr>
            </w:pPr>
          </w:p>
        </w:tc>
        <w:tc>
          <w:tcPr>
            <w:tcW w:w="82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7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2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Non-recourse asset-backed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4,396</w:t>
            </w:r>
          </w:p>
        </w:tc>
        <w:tc>
          <w:tcPr>
            <w:tcW w:w="0" w:type="dxa"/>
            <w:vAlign w:val="bottom"/>
          </w:tcPr>
          <w:p>
            <w:pPr>
              <w:spacing w:after="0"/>
              <w:rPr>
                <w:sz w:val="1"/>
                <w:szCs w:val="1"/>
                <w:color w:val="auto"/>
              </w:rPr>
            </w:pPr>
          </w:p>
        </w:tc>
      </w:tr>
      <w:tr>
        <w:trPr>
          <w:trHeight w:val="351"/>
        </w:trPr>
        <w:tc>
          <w:tcPr>
            <w:tcW w:w="20" w:type="dxa"/>
            <w:vAlign w:val="bottom"/>
            <w:tcBorders>
              <w:bottom w:val="single" w:sz="8" w:color="CCEEFF"/>
            </w:tcBorders>
          </w:tcPr>
          <w:p>
            <w:pPr>
              <w:spacing w:after="0"/>
              <w:rPr>
                <w:sz w:val="24"/>
                <w:szCs w:val="24"/>
                <w:color w:val="auto"/>
              </w:rPr>
            </w:pPr>
          </w:p>
        </w:tc>
        <w:tc>
          <w:tcPr>
            <w:tcW w:w="82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(2)</w:t>
            </w: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82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w:t>
      </w:r>
    </w:p>
    <w:p>
      <w:pPr>
        <w:spacing w:after="0" w:line="86"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Includes escrow receivable and other current assets.</w:t>
      </w:r>
    </w:p>
    <w:p>
      <w:pPr>
        <w:spacing w:after="0" w:line="68" w:lineRule="exact"/>
        <w:rPr>
          <w:rFonts w:ascii="Arial" w:cs="Arial" w:eastAsia="Arial" w:hAnsi="Arial"/>
          <w:sz w:val="23"/>
          <w:szCs w:val="23"/>
          <w:color w:val="auto"/>
          <w:vertAlign w:val="superscript"/>
        </w:rPr>
      </w:pPr>
    </w:p>
    <w:p>
      <w:pPr>
        <w:ind w:left="320" w:hanging="312"/>
        <w:spacing w:after="0" w:line="231" w:lineRule="auto"/>
        <w:tabs>
          <w:tab w:leader="none" w:pos="32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Includes accounts payable and other accrued liabilities and interest payable.</w:t>
      </w:r>
    </w:p>
    <w:p>
      <w:pPr>
        <w:spacing w:after="0" w:line="202" w:lineRule="exact"/>
        <w:rPr>
          <w:sz w:val="20"/>
          <w:szCs w:val="20"/>
          <w:color w:val="auto"/>
        </w:rPr>
      </w:pPr>
    </w:p>
    <w:p>
      <w:pPr>
        <w:ind w:right="260" w:firstLine="405"/>
        <w:spacing w:after="0" w:line="257" w:lineRule="auto"/>
        <w:rPr>
          <w:sz w:val="20"/>
          <w:szCs w:val="20"/>
          <w:color w:val="auto"/>
        </w:rPr>
      </w:pPr>
      <w:r>
        <w:rPr>
          <w:rFonts w:ascii="Arial" w:cs="Arial" w:eastAsia="Arial" w:hAnsi="Arial"/>
          <w:sz w:val="18"/>
          <w:szCs w:val="18"/>
          <w:color w:val="auto"/>
        </w:rPr>
        <w:t xml:space="preserve">The creditors of the VIEs generally do not have recourse to the Company’s general credit solely by virtue of being creditors of the VIEs. However, certain of the financial covenants included in the inventory financing facilities to which the VIEs are party are calculated by reference to Opendoor Labs Inc. and its consolidated subsidiaries' assets and liabilities. As a result, under certain circumstances, this may limit the Company's flexibility to transfer assets from Opendoor subsidiaries to the Parent Company. See </w:t>
      </w:r>
      <w:r>
        <w:rPr>
          <w:rFonts w:ascii="Arial" w:cs="Arial" w:eastAsia="Arial" w:hAnsi="Arial"/>
          <w:sz w:val="18"/>
          <w:szCs w:val="18"/>
          <w:i w:val="1"/>
          <w:iCs w:val="1"/>
          <w:color w:val="auto"/>
        </w:rPr>
        <w:t>“Note 5 — Credit Facilities and Long-Term Debt”</w:t>
      </w:r>
      <w:r>
        <w:rPr>
          <w:rFonts w:ascii="Arial" w:cs="Arial" w:eastAsia="Arial" w:hAnsi="Arial"/>
          <w:sz w:val="18"/>
          <w:szCs w:val="18"/>
          <w:color w:val="auto"/>
        </w:rPr>
        <w:t xml:space="preserve"> for further discussion of the recourse obligations with respect to the VIEs.</w:t>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CREDIT FACILITIES AND LONG-TERM DEBT</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tables summarize certain details related to the Company's credit facilities and long-term debt as of September 30, 2023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(in millions, except interest rates):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rPr>
              <w:t>Outstanding Amount</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3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1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Borrowing</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c>
          <w:tcPr>
            <w:tcW w:w="1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End of Revolving /</w:t>
            </w:r>
          </w:p>
        </w:tc>
        <w:tc>
          <w:tcPr>
            <w:tcW w:w="184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Final Maturity</w:t>
            </w:r>
          </w:p>
        </w:tc>
        <w:tc>
          <w:tcPr>
            <w:tcW w:w="0" w:type="dxa"/>
            <w:vAlign w:val="bottom"/>
          </w:tcPr>
          <w:p>
            <w:pPr>
              <w:spacing w:after="0"/>
              <w:rPr>
                <w:sz w:val="1"/>
                <w:szCs w:val="1"/>
                <w:color w:val="auto"/>
              </w:rPr>
            </w:pPr>
          </w:p>
        </w:tc>
      </w:tr>
      <w:tr>
        <w:trPr>
          <w:trHeight w:val="43"/>
        </w:trPr>
        <w:tc>
          <w:tcPr>
            <w:tcW w:w="13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Capacity</w:t>
            </w:r>
          </w:p>
        </w:tc>
        <w:tc>
          <w:tcPr>
            <w:tcW w:w="140" w:type="dxa"/>
            <w:vAlign w:val="bottom"/>
          </w:tcPr>
          <w:p>
            <w:pPr>
              <w:spacing w:after="0"/>
              <w:rPr>
                <w:sz w:val="3"/>
                <w:szCs w:val="3"/>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Current</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Non-Current</w:t>
            </w:r>
          </w:p>
        </w:tc>
        <w:tc>
          <w:tcPr>
            <w:tcW w:w="80" w:type="dxa"/>
            <w:vAlign w:val="bottom"/>
          </w:tcPr>
          <w:p>
            <w:pPr>
              <w:spacing w:after="0"/>
              <w:rPr>
                <w:sz w:val="3"/>
                <w:szCs w:val="3"/>
                <w:color w:val="auto"/>
              </w:rPr>
            </w:pPr>
          </w:p>
        </w:tc>
        <w:tc>
          <w:tcPr>
            <w:tcW w:w="14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Interest Rate</w:t>
            </w:r>
          </w:p>
        </w:tc>
        <w:tc>
          <w:tcPr>
            <w:tcW w:w="1900" w:type="dxa"/>
            <w:vAlign w:val="bottom"/>
            <w:gridSpan w:val="2"/>
            <w:vMerge w:val="continue"/>
          </w:tcPr>
          <w:p>
            <w:pPr>
              <w:spacing w:after="0"/>
              <w:rPr>
                <w:sz w:val="3"/>
                <w:szCs w:val="3"/>
                <w:color w:val="auto"/>
              </w:rPr>
            </w:pPr>
          </w:p>
        </w:tc>
        <w:tc>
          <w:tcPr>
            <w:tcW w:w="18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360" w:type="dxa"/>
            <w:vAlign w:val="bottom"/>
          </w:tcPr>
          <w:p>
            <w:pPr>
              <w:ind w:left="20"/>
              <w:spacing w:after="0"/>
              <w:rPr>
                <w:sz w:val="20"/>
                <w:szCs w:val="20"/>
                <w:color w:val="auto"/>
              </w:rPr>
            </w:pPr>
            <w:r>
              <w:rPr>
                <w:rFonts w:ascii="Arial" w:cs="Arial" w:eastAsia="Arial" w:hAnsi="Arial"/>
                <w:sz w:val="14"/>
                <w:szCs w:val="14"/>
                <w:b w:val="1"/>
                <w:bCs w:val="1"/>
                <w:color w:val="auto"/>
              </w:rPr>
              <w:t>September 30, 2023</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Withdrawal Period</w:t>
            </w:r>
          </w:p>
        </w:tc>
        <w:tc>
          <w:tcPr>
            <w:tcW w:w="1840" w:type="dxa"/>
            <w:vAlign w:val="bottom"/>
          </w:tcPr>
          <w:p>
            <w:pPr>
              <w:jc w:val="right"/>
              <w:ind w:right="708"/>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9"/>
        </w:trPr>
        <w:tc>
          <w:tcPr>
            <w:tcW w:w="276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8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Non-Recourse Asset-backed Debt:</w:t>
            </w: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860" w:type="dxa"/>
            <w:vAlign w:val="bottom"/>
            <w:gridSpan w:val="3"/>
          </w:tcPr>
          <w:p>
            <w:pPr>
              <w:ind w:left="140"/>
              <w:spacing w:after="0"/>
              <w:rPr>
                <w:sz w:val="20"/>
                <w:szCs w:val="20"/>
                <w:color w:val="auto"/>
              </w:rPr>
            </w:pPr>
            <w:r>
              <w:rPr>
                <w:rFonts w:ascii="Arial" w:cs="Arial" w:eastAsia="Arial" w:hAnsi="Arial"/>
                <w:sz w:val="14"/>
                <w:szCs w:val="14"/>
                <w:color w:val="auto"/>
              </w:rPr>
              <w:t>Asset-backed Senior Revolving Credit</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360" w:type="dxa"/>
            <w:vAlign w:val="bottom"/>
          </w:tcPr>
          <w:p>
            <w:pPr>
              <w:ind w:left="140"/>
              <w:spacing w:after="0"/>
              <w:rPr>
                <w:sz w:val="20"/>
                <w:szCs w:val="20"/>
                <w:color w:val="auto"/>
              </w:rPr>
            </w:pPr>
            <w:r>
              <w:rPr>
                <w:rFonts w:ascii="Arial" w:cs="Arial" w:eastAsia="Arial" w:hAnsi="Arial"/>
                <w:sz w:val="14"/>
                <w:szCs w:val="14"/>
                <w:color w:val="auto"/>
              </w:rPr>
              <w:t>Facilities</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7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8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4"/>
                <w:szCs w:val="14"/>
                <w:color w:val="auto"/>
              </w:rPr>
              <w:t>Revolving Facility 2018-2</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7.49 %</w:t>
            </w:r>
          </w:p>
        </w:tc>
        <w:tc>
          <w:tcPr>
            <w:tcW w:w="10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June 30, 2025</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June 30, 2025</w:t>
            </w:r>
          </w:p>
        </w:tc>
        <w:tc>
          <w:tcPr>
            <w:tcW w:w="0" w:type="dxa"/>
            <w:vAlign w:val="bottom"/>
          </w:tcPr>
          <w:p>
            <w:pPr>
              <w:spacing w:after="0"/>
              <w:rPr>
                <w:sz w:val="1"/>
                <w:szCs w:val="1"/>
                <w:color w:val="auto"/>
              </w:rPr>
            </w:pPr>
          </w:p>
        </w:tc>
      </w:tr>
      <w:tr>
        <w:trPr>
          <w:trHeight w:val="190"/>
        </w:trPr>
        <w:tc>
          <w:tcPr>
            <w:tcW w:w="2860" w:type="dxa"/>
            <w:vAlign w:val="bottom"/>
            <w:gridSpan w:val="3"/>
          </w:tcPr>
          <w:p>
            <w:pPr>
              <w:ind w:left="240"/>
              <w:spacing w:after="0"/>
              <w:rPr>
                <w:sz w:val="20"/>
                <w:szCs w:val="20"/>
                <w:color w:val="auto"/>
              </w:rPr>
            </w:pPr>
            <w:r>
              <w:rPr>
                <w:rFonts w:ascii="Arial" w:cs="Arial" w:eastAsia="Arial" w:hAnsi="Arial"/>
                <w:sz w:val="14"/>
                <w:szCs w:val="14"/>
                <w:color w:val="auto"/>
              </w:rPr>
              <w:t>Revolving Facility 2018-3</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6.82 %</w:t>
            </w:r>
          </w:p>
        </w:tc>
        <w:tc>
          <w:tcPr>
            <w:tcW w:w="100" w:type="dxa"/>
            <w:vAlign w:val="bottom"/>
          </w:tcPr>
          <w:p>
            <w:pPr>
              <w:spacing w:after="0"/>
              <w:rPr>
                <w:sz w:val="16"/>
                <w:szCs w:val="16"/>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4"/>
                <w:szCs w:val="14"/>
                <w:color w:val="auto"/>
              </w:rPr>
              <w:t>September 29, 2026</w:t>
            </w:r>
          </w:p>
        </w:tc>
        <w:tc>
          <w:tcPr>
            <w:tcW w:w="1840" w:type="dxa"/>
            <w:vAlign w:val="bottom"/>
          </w:tcPr>
          <w:p>
            <w:pPr>
              <w:jc w:val="right"/>
              <w:spacing w:after="0"/>
              <w:rPr>
                <w:sz w:val="20"/>
                <w:szCs w:val="20"/>
                <w:color w:val="auto"/>
              </w:rPr>
            </w:pPr>
            <w:r>
              <w:rPr>
                <w:rFonts w:ascii="Arial" w:cs="Arial" w:eastAsia="Arial" w:hAnsi="Arial"/>
                <w:sz w:val="14"/>
                <w:szCs w:val="14"/>
                <w:color w:val="auto"/>
              </w:rPr>
              <w:t>September 29, 2026</w:t>
            </w:r>
          </w:p>
        </w:tc>
        <w:tc>
          <w:tcPr>
            <w:tcW w:w="0" w:type="dxa"/>
            <w:vAlign w:val="bottom"/>
          </w:tcPr>
          <w:p>
            <w:pPr>
              <w:spacing w:after="0"/>
              <w:rPr>
                <w:sz w:val="1"/>
                <w:szCs w:val="1"/>
                <w:color w:val="auto"/>
              </w:rPr>
            </w:pPr>
          </w:p>
        </w:tc>
      </w:tr>
      <w:tr>
        <w:trPr>
          <w:trHeight w:val="39"/>
        </w:trPr>
        <w:tc>
          <w:tcPr>
            <w:tcW w:w="27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8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4"/>
                <w:szCs w:val="14"/>
                <w:color w:val="auto"/>
              </w:rPr>
              <w:t>Revolving Facility 2019-1</w:t>
            </w: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7.34 %</w:t>
            </w:r>
          </w:p>
        </w:tc>
        <w:tc>
          <w:tcPr>
            <w:tcW w:w="10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August 15, 2025</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August 15, 2025</w:t>
            </w:r>
          </w:p>
        </w:tc>
        <w:tc>
          <w:tcPr>
            <w:tcW w:w="0" w:type="dxa"/>
            <w:vAlign w:val="bottom"/>
          </w:tcPr>
          <w:p>
            <w:pPr>
              <w:spacing w:after="0"/>
              <w:rPr>
                <w:sz w:val="1"/>
                <w:szCs w:val="1"/>
                <w:color w:val="auto"/>
              </w:rPr>
            </w:pPr>
          </w:p>
        </w:tc>
      </w:tr>
      <w:tr>
        <w:trPr>
          <w:trHeight w:val="190"/>
        </w:trPr>
        <w:tc>
          <w:tcPr>
            <w:tcW w:w="2860" w:type="dxa"/>
            <w:vAlign w:val="bottom"/>
            <w:gridSpan w:val="3"/>
          </w:tcPr>
          <w:p>
            <w:pPr>
              <w:ind w:left="240"/>
              <w:spacing w:after="0"/>
              <w:rPr>
                <w:sz w:val="20"/>
                <w:szCs w:val="20"/>
                <w:color w:val="auto"/>
              </w:rPr>
            </w:pPr>
            <w:r>
              <w:rPr>
                <w:rFonts w:ascii="Arial" w:cs="Arial" w:eastAsia="Arial" w:hAnsi="Arial"/>
                <w:sz w:val="14"/>
                <w:szCs w:val="14"/>
                <w:color w:val="auto"/>
              </w:rPr>
              <w:t>Revolving Facility 2019-2</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6.83 %</w:t>
            </w:r>
          </w:p>
        </w:tc>
        <w:tc>
          <w:tcPr>
            <w:tcW w:w="100" w:type="dxa"/>
            <w:vAlign w:val="bottom"/>
          </w:tcPr>
          <w:p>
            <w:pPr>
              <w:spacing w:after="0"/>
              <w:rPr>
                <w:sz w:val="16"/>
                <w:szCs w:val="16"/>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4"/>
                <w:szCs w:val="14"/>
                <w:color w:val="auto"/>
              </w:rPr>
              <w:t>October 6, 2023</w:t>
            </w:r>
          </w:p>
        </w:tc>
        <w:tc>
          <w:tcPr>
            <w:tcW w:w="1840" w:type="dxa"/>
            <w:vAlign w:val="bottom"/>
          </w:tcPr>
          <w:p>
            <w:pPr>
              <w:jc w:val="right"/>
              <w:spacing w:after="0"/>
              <w:rPr>
                <w:sz w:val="20"/>
                <w:szCs w:val="20"/>
                <w:color w:val="auto"/>
              </w:rPr>
            </w:pPr>
            <w:r>
              <w:rPr>
                <w:rFonts w:ascii="Arial" w:cs="Arial" w:eastAsia="Arial" w:hAnsi="Arial"/>
                <w:sz w:val="14"/>
                <w:szCs w:val="14"/>
                <w:color w:val="auto"/>
              </w:rPr>
              <w:t>October 6, 2023</w:t>
            </w:r>
          </w:p>
        </w:tc>
        <w:tc>
          <w:tcPr>
            <w:tcW w:w="0" w:type="dxa"/>
            <w:vAlign w:val="bottom"/>
          </w:tcPr>
          <w:p>
            <w:pPr>
              <w:spacing w:after="0"/>
              <w:rPr>
                <w:sz w:val="1"/>
                <w:szCs w:val="1"/>
                <w:color w:val="auto"/>
              </w:rPr>
            </w:pPr>
          </w:p>
        </w:tc>
      </w:tr>
      <w:tr>
        <w:trPr>
          <w:trHeight w:val="39"/>
        </w:trPr>
        <w:tc>
          <w:tcPr>
            <w:tcW w:w="27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8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4"/>
                <w:szCs w:val="14"/>
                <w:color w:val="auto"/>
              </w:rPr>
              <w:t>Revolving Facility 2019-3</w:t>
            </w: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April 5, 2024</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April 4, 2025</w:t>
            </w:r>
          </w:p>
        </w:tc>
        <w:tc>
          <w:tcPr>
            <w:tcW w:w="0" w:type="dxa"/>
            <w:vAlign w:val="bottom"/>
          </w:tcPr>
          <w:p>
            <w:pPr>
              <w:spacing w:after="0"/>
              <w:rPr>
                <w:sz w:val="1"/>
                <w:szCs w:val="1"/>
                <w:color w:val="auto"/>
              </w:rPr>
            </w:pPr>
          </w:p>
        </w:tc>
      </w:tr>
      <w:tr>
        <w:trPr>
          <w:trHeight w:val="190"/>
        </w:trPr>
        <w:tc>
          <w:tcPr>
            <w:tcW w:w="2860" w:type="dxa"/>
            <w:vAlign w:val="bottom"/>
            <w:gridSpan w:val="3"/>
          </w:tcPr>
          <w:p>
            <w:pPr>
              <w:ind w:left="140"/>
              <w:spacing w:after="0"/>
              <w:rPr>
                <w:sz w:val="20"/>
                <w:szCs w:val="20"/>
                <w:color w:val="auto"/>
              </w:rPr>
            </w:pPr>
            <w:r>
              <w:rPr>
                <w:rFonts w:ascii="Arial" w:cs="Arial" w:eastAsia="Arial" w:hAnsi="Arial"/>
                <w:sz w:val="14"/>
                <w:szCs w:val="14"/>
                <w:color w:val="auto"/>
              </w:rPr>
              <w:t>Asset-backed Senior Term Debt Facilities</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3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w w:val="96"/>
              </w:rPr>
              <w:t>Term Debt Facility</w:t>
            </w:r>
          </w:p>
        </w:tc>
        <w:tc>
          <w:tcPr>
            <w:tcW w:w="1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2021-S1</w:t>
            </w: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3.48 %</w:t>
            </w:r>
          </w:p>
        </w:tc>
        <w:tc>
          <w:tcPr>
            <w:tcW w:w="10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January 2, 2025</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April 1, 2025</w:t>
            </w:r>
          </w:p>
        </w:tc>
        <w:tc>
          <w:tcPr>
            <w:tcW w:w="0" w:type="dxa"/>
            <w:vAlign w:val="bottom"/>
          </w:tcPr>
          <w:p>
            <w:pPr>
              <w:spacing w:after="0"/>
              <w:rPr>
                <w:sz w:val="1"/>
                <w:szCs w:val="1"/>
                <w:color w:val="auto"/>
              </w:rPr>
            </w:pPr>
          </w:p>
        </w:tc>
      </w:tr>
      <w:tr>
        <w:trPr>
          <w:trHeight w:val="190"/>
        </w:trPr>
        <w:tc>
          <w:tcPr>
            <w:tcW w:w="1360" w:type="dxa"/>
            <w:vAlign w:val="bottom"/>
          </w:tcPr>
          <w:p>
            <w:pPr>
              <w:ind w:left="240"/>
              <w:spacing w:after="0"/>
              <w:rPr>
                <w:sz w:val="20"/>
                <w:szCs w:val="20"/>
                <w:color w:val="auto"/>
              </w:rPr>
            </w:pPr>
            <w:r>
              <w:rPr>
                <w:rFonts w:ascii="Arial" w:cs="Arial" w:eastAsia="Arial" w:hAnsi="Arial"/>
                <w:sz w:val="14"/>
                <w:szCs w:val="14"/>
                <w:color w:val="auto"/>
                <w:w w:val="96"/>
              </w:rPr>
              <w:t>Term Debt Facility</w:t>
            </w:r>
          </w:p>
        </w:tc>
        <w:tc>
          <w:tcPr>
            <w:tcW w:w="1500" w:type="dxa"/>
            <w:vAlign w:val="bottom"/>
            <w:gridSpan w:val="2"/>
          </w:tcPr>
          <w:p>
            <w:pPr>
              <w:ind w:left="20"/>
              <w:spacing w:after="0"/>
              <w:rPr>
                <w:sz w:val="20"/>
                <w:szCs w:val="20"/>
                <w:color w:val="auto"/>
              </w:rPr>
            </w:pPr>
            <w:r>
              <w:rPr>
                <w:rFonts w:ascii="Arial" w:cs="Arial" w:eastAsia="Arial" w:hAnsi="Arial"/>
                <w:sz w:val="14"/>
                <w:szCs w:val="14"/>
                <w:color w:val="auto"/>
              </w:rPr>
              <w:t>2021-S2</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300</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3.20 %</w:t>
            </w:r>
          </w:p>
        </w:tc>
        <w:tc>
          <w:tcPr>
            <w:tcW w:w="100" w:type="dxa"/>
            <w:vAlign w:val="bottom"/>
          </w:tcPr>
          <w:p>
            <w:pPr>
              <w:spacing w:after="0"/>
              <w:rPr>
                <w:sz w:val="16"/>
                <w:szCs w:val="16"/>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4"/>
                <w:szCs w:val="14"/>
                <w:color w:val="auto"/>
              </w:rPr>
              <w:t>September 10, 2025</w:t>
            </w:r>
          </w:p>
        </w:tc>
        <w:tc>
          <w:tcPr>
            <w:tcW w:w="1840" w:type="dxa"/>
            <w:vAlign w:val="bottom"/>
          </w:tcPr>
          <w:p>
            <w:pPr>
              <w:jc w:val="right"/>
              <w:spacing w:after="0"/>
              <w:rPr>
                <w:sz w:val="20"/>
                <w:szCs w:val="20"/>
                <w:color w:val="auto"/>
              </w:rPr>
            </w:pPr>
            <w:r>
              <w:rPr>
                <w:rFonts w:ascii="Arial" w:cs="Arial" w:eastAsia="Arial" w:hAnsi="Arial"/>
                <w:sz w:val="14"/>
                <w:szCs w:val="14"/>
                <w:color w:val="auto"/>
              </w:rPr>
              <w:t>March 10, 2026</w:t>
            </w:r>
          </w:p>
        </w:tc>
        <w:tc>
          <w:tcPr>
            <w:tcW w:w="0" w:type="dxa"/>
            <w:vAlign w:val="bottom"/>
          </w:tcPr>
          <w:p>
            <w:pPr>
              <w:spacing w:after="0"/>
              <w:rPr>
                <w:sz w:val="1"/>
                <w:szCs w:val="1"/>
                <w:color w:val="auto"/>
              </w:rPr>
            </w:pPr>
          </w:p>
        </w:tc>
      </w:tr>
      <w:tr>
        <w:trPr>
          <w:trHeight w:val="39"/>
        </w:trPr>
        <w:tc>
          <w:tcPr>
            <w:tcW w:w="13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w w:val="96"/>
              </w:rPr>
              <w:t>Term Debt Facility</w:t>
            </w:r>
          </w:p>
        </w:tc>
        <w:tc>
          <w:tcPr>
            <w:tcW w:w="1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2021-S3</w:t>
            </w: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3.75 %</w:t>
            </w:r>
          </w:p>
        </w:tc>
        <w:tc>
          <w:tcPr>
            <w:tcW w:w="10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January 31, 2027</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July 31, 2027</w:t>
            </w:r>
          </w:p>
        </w:tc>
        <w:tc>
          <w:tcPr>
            <w:tcW w:w="0" w:type="dxa"/>
            <w:vAlign w:val="bottom"/>
          </w:tcPr>
          <w:p>
            <w:pPr>
              <w:spacing w:after="0"/>
              <w:rPr>
                <w:sz w:val="1"/>
                <w:szCs w:val="1"/>
                <w:color w:val="auto"/>
              </w:rPr>
            </w:pPr>
          </w:p>
        </w:tc>
      </w:tr>
      <w:tr>
        <w:trPr>
          <w:trHeight w:val="190"/>
        </w:trPr>
        <w:tc>
          <w:tcPr>
            <w:tcW w:w="1360" w:type="dxa"/>
            <w:vAlign w:val="bottom"/>
          </w:tcPr>
          <w:p>
            <w:pPr>
              <w:ind w:left="240"/>
              <w:spacing w:after="0"/>
              <w:rPr>
                <w:sz w:val="20"/>
                <w:szCs w:val="20"/>
                <w:color w:val="auto"/>
              </w:rPr>
            </w:pPr>
            <w:r>
              <w:rPr>
                <w:rFonts w:ascii="Arial" w:cs="Arial" w:eastAsia="Arial" w:hAnsi="Arial"/>
                <w:sz w:val="14"/>
                <w:szCs w:val="14"/>
                <w:color w:val="auto"/>
                <w:w w:val="96"/>
              </w:rPr>
              <w:t>Term Debt Facility</w:t>
            </w:r>
          </w:p>
        </w:tc>
        <w:tc>
          <w:tcPr>
            <w:tcW w:w="1500" w:type="dxa"/>
            <w:vAlign w:val="bottom"/>
            <w:gridSpan w:val="2"/>
          </w:tcPr>
          <w:p>
            <w:pPr>
              <w:ind w:left="20"/>
              <w:spacing w:after="0"/>
              <w:rPr>
                <w:sz w:val="20"/>
                <w:szCs w:val="20"/>
                <w:color w:val="auto"/>
              </w:rPr>
            </w:pPr>
            <w:r>
              <w:rPr>
                <w:rFonts w:ascii="Arial" w:cs="Arial" w:eastAsia="Arial" w:hAnsi="Arial"/>
                <w:sz w:val="14"/>
                <w:szCs w:val="14"/>
                <w:color w:val="auto"/>
              </w:rPr>
              <w:t>2022-S1</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250</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4.07 %</w:t>
            </w:r>
          </w:p>
        </w:tc>
        <w:tc>
          <w:tcPr>
            <w:tcW w:w="100" w:type="dxa"/>
            <w:vAlign w:val="bottom"/>
          </w:tcPr>
          <w:p>
            <w:pPr>
              <w:spacing w:after="0"/>
              <w:rPr>
                <w:sz w:val="16"/>
                <w:szCs w:val="16"/>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4"/>
                <w:szCs w:val="14"/>
                <w:color w:val="auto"/>
              </w:rPr>
              <w:t>March 1, 2025</w:t>
            </w:r>
          </w:p>
        </w:tc>
        <w:tc>
          <w:tcPr>
            <w:tcW w:w="1840" w:type="dxa"/>
            <w:vAlign w:val="bottom"/>
          </w:tcPr>
          <w:p>
            <w:pPr>
              <w:jc w:val="right"/>
              <w:spacing w:after="0"/>
              <w:rPr>
                <w:sz w:val="20"/>
                <w:szCs w:val="20"/>
                <w:color w:val="auto"/>
              </w:rPr>
            </w:pPr>
            <w:r>
              <w:rPr>
                <w:rFonts w:ascii="Arial" w:cs="Arial" w:eastAsia="Arial" w:hAnsi="Arial"/>
                <w:sz w:val="14"/>
                <w:szCs w:val="14"/>
                <w:color w:val="auto"/>
              </w:rPr>
              <w:t>September 1, 2025</w:t>
            </w:r>
          </w:p>
        </w:tc>
        <w:tc>
          <w:tcPr>
            <w:tcW w:w="0" w:type="dxa"/>
            <w:vAlign w:val="bottom"/>
          </w:tcPr>
          <w:p>
            <w:pPr>
              <w:spacing w:after="0"/>
              <w:rPr>
                <w:sz w:val="1"/>
                <w:szCs w:val="1"/>
                <w:color w:val="auto"/>
              </w:rPr>
            </w:pPr>
          </w:p>
        </w:tc>
      </w:tr>
      <w:tr>
        <w:trPr>
          <w:trHeight w:val="39"/>
        </w:trPr>
        <w:tc>
          <w:tcPr>
            <w:tcW w:w="1360" w:type="dxa"/>
            <w:vAlign w:val="bottom"/>
            <w:tcBorders>
              <w:bottom w:val="single" w:sz="8" w:color="CCEEFF"/>
            </w:tcBorders>
          </w:tcPr>
          <w:p>
            <w:pPr>
              <w:spacing w:after="0"/>
              <w:rPr>
                <w:sz w:val="3"/>
                <w:szCs w:val="3"/>
                <w:color w:val="auto"/>
              </w:rPr>
            </w:pPr>
          </w:p>
        </w:tc>
        <w:tc>
          <w:tcPr>
            <w:tcW w:w="14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4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5,625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1,400</w:t>
            </w:r>
          </w:p>
        </w:tc>
        <w:tc>
          <w:tcPr>
            <w:tcW w:w="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360" w:type="dxa"/>
            <w:vAlign w:val="bottom"/>
          </w:tcPr>
          <w:p>
            <w:pPr>
              <w:ind w:left="460"/>
              <w:spacing w:after="0"/>
              <w:rPr>
                <w:sz w:val="20"/>
                <w:szCs w:val="20"/>
                <w:color w:val="auto"/>
              </w:rPr>
            </w:pPr>
            <w:r>
              <w:rPr>
                <w:rFonts w:ascii="Arial" w:cs="Arial" w:eastAsia="Arial" w:hAnsi="Arial"/>
                <w:sz w:val="14"/>
                <w:szCs w:val="14"/>
                <w:color w:val="auto"/>
                <w:w w:val="91"/>
              </w:rPr>
              <w:t>Issuance Costs</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ind w:left="5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360" w:type="dxa"/>
            <w:vAlign w:val="bottom"/>
            <w:tcBorders>
              <w:bottom w:val="single" w:sz="8" w:color="CCEEFF"/>
            </w:tcBorders>
          </w:tcPr>
          <w:p>
            <w:pPr>
              <w:spacing w:after="0"/>
              <w:rPr>
                <w:sz w:val="3"/>
                <w:szCs w:val="3"/>
                <w:color w:val="auto"/>
              </w:rPr>
            </w:pPr>
          </w:p>
        </w:tc>
        <w:tc>
          <w:tcPr>
            <w:tcW w:w="14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4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3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w w:val="94"/>
              </w:rPr>
              <w:t>Carrying Value</w:t>
            </w:r>
          </w:p>
        </w:tc>
        <w:tc>
          <w:tcPr>
            <w:tcW w:w="1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1,387</w:t>
            </w:r>
          </w:p>
        </w:tc>
        <w:tc>
          <w:tcPr>
            <w:tcW w:w="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8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Asset-backed Mezzanine Term Debt</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Facilities</w:t>
            </w:r>
          </w:p>
        </w:tc>
        <w:tc>
          <w:tcPr>
            <w:tcW w:w="1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360" w:type="dxa"/>
            <w:vAlign w:val="bottom"/>
          </w:tcPr>
          <w:p>
            <w:pPr>
              <w:ind w:left="240"/>
              <w:spacing w:after="0"/>
              <w:rPr>
                <w:sz w:val="20"/>
                <w:szCs w:val="20"/>
                <w:color w:val="auto"/>
              </w:rPr>
            </w:pPr>
            <w:r>
              <w:rPr>
                <w:rFonts w:ascii="Arial" w:cs="Arial" w:eastAsia="Arial" w:hAnsi="Arial"/>
                <w:sz w:val="14"/>
                <w:szCs w:val="14"/>
                <w:color w:val="auto"/>
                <w:w w:val="96"/>
              </w:rPr>
              <w:t>Term Debt Facility</w:t>
            </w:r>
          </w:p>
        </w:tc>
        <w:tc>
          <w:tcPr>
            <w:tcW w:w="1500" w:type="dxa"/>
            <w:vAlign w:val="bottom"/>
            <w:gridSpan w:val="2"/>
          </w:tcPr>
          <w:p>
            <w:pPr>
              <w:ind w:left="20"/>
              <w:spacing w:after="0"/>
              <w:rPr>
                <w:sz w:val="20"/>
                <w:szCs w:val="20"/>
                <w:color w:val="auto"/>
              </w:rPr>
            </w:pPr>
            <w:r>
              <w:rPr>
                <w:rFonts w:ascii="Arial" w:cs="Arial" w:eastAsia="Arial" w:hAnsi="Arial"/>
                <w:sz w:val="14"/>
                <w:szCs w:val="14"/>
                <w:color w:val="auto"/>
              </w:rPr>
              <w:t>2020-M1</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800</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6"/>
                <w:szCs w:val="16"/>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4"/>
                <w:szCs w:val="14"/>
                <w:color w:val="auto"/>
              </w:rPr>
              <w:t>April 1, 2025</w:t>
            </w:r>
          </w:p>
        </w:tc>
        <w:tc>
          <w:tcPr>
            <w:tcW w:w="1840" w:type="dxa"/>
            <w:vAlign w:val="bottom"/>
          </w:tcPr>
          <w:p>
            <w:pPr>
              <w:jc w:val="right"/>
              <w:spacing w:after="0"/>
              <w:rPr>
                <w:sz w:val="20"/>
                <w:szCs w:val="20"/>
                <w:color w:val="auto"/>
              </w:rPr>
            </w:pPr>
            <w:r>
              <w:rPr>
                <w:rFonts w:ascii="Arial" w:cs="Arial" w:eastAsia="Arial" w:hAnsi="Arial"/>
                <w:sz w:val="14"/>
                <w:szCs w:val="14"/>
                <w:color w:val="auto"/>
              </w:rPr>
              <w:t>April 1, 2026</w:t>
            </w:r>
          </w:p>
        </w:tc>
        <w:tc>
          <w:tcPr>
            <w:tcW w:w="0" w:type="dxa"/>
            <w:vAlign w:val="bottom"/>
          </w:tcPr>
          <w:p>
            <w:pPr>
              <w:spacing w:after="0"/>
              <w:rPr>
                <w:sz w:val="1"/>
                <w:szCs w:val="1"/>
                <w:color w:val="auto"/>
              </w:rPr>
            </w:pPr>
          </w:p>
        </w:tc>
      </w:tr>
      <w:tr>
        <w:trPr>
          <w:trHeight w:val="39"/>
        </w:trPr>
        <w:tc>
          <w:tcPr>
            <w:tcW w:w="13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1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w w:val="96"/>
              </w:rPr>
              <w:t>Term Debt Facility</w:t>
            </w:r>
          </w:p>
        </w:tc>
        <w:tc>
          <w:tcPr>
            <w:tcW w:w="1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2022-M1</w:t>
            </w: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September 15, 2025</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September 15, 2026</w:t>
            </w:r>
          </w:p>
        </w:tc>
        <w:tc>
          <w:tcPr>
            <w:tcW w:w="0" w:type="dxa"/>
            <w:vAlign w:val="bottom"/>
          </w:tcPr>
          <w:p>
            <w:pPr>
              <w:spacing w:after="0"/>
              <w:rPr>
                <w:sz w:val="1"/>
                <w:szCs w:val="1"/>
                <w:color w:val="auto"/>
              </w:rPr>
            </w:pPr>
          </w:p>
        </w:tc>
      </w:tr>
      <w:tr>
        <w:trPr>
          <w:trHeight w:val="184"/>
        </w:trPr>
        <w:tc>
          <w:tcPr>
            <w:tcW w:w="1360" w:type="dxa"/>
            <w:vAlign w:val="bottom"/>
          </w:tcPr>
          <w:p>
            <w:pPr>
              <w:ind w:left="20"/>
              <w:spacing w:after="0"/>
              <w:rPr>
                <w:sz w:val="20"/>
                <w:szCs w:val="20"/>
                <w:color w:val="auto"/>
              </w:rPr>
            </w:pPr>
            <w:r>
              <w:rPr>
                <w:rFonts w:ascii="Arial" w:cs="Arial" w:eastAsia="Arial" w:hAnsi="Arial"/>
                <w:sz w:val="14"/>
                <w:szCs w:val="14"/>
                <w:color w:val="auto"/>
              </w:rPr>
              <w:t>Total</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2,800</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ind w:left="5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950</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360" w:type="dxa"/>
            <w:vAlign w:val="bottom"/>
            <w:tcBorders>
              <w:bottom w:val="single" w:sz="8" w:color="CCEEFF"/>
            </w:tcBorders>
          </w:tcPr>
          <w:p>
            <w:pPr>
              <w:spacing w:after="0"/>
              <w:rPr>
                <w:sz w:val="3"/>
                <w:szCs w:val="3"/>
                <w:color w:val="auto"/>
              </w:rPr>
            </w:pPr>
          </w:p>
        </w:tc>
        <w:tc>
          <w:tcPr>
            <w:tcW w:w="14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4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3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w w:val="91"/>
              </w:rPr>
              <w:t>Issuance Costs</w:t>
            </w:r>
          </w:p>
        </w:tc>
        <w:tc>
          <w:tcPr>
            <w:tcW w:w="1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360" w:type="dxa"/>
            <w:vAlign w:val="bottom"/>
          </w:tcPr>
          <w:p>
            <w:pPr>
              <w:ind w:left="460"/>
              <w:spacing w:after="0"/>
              <w:rPr>
                <w:sz w:val="20"/>
                <w:szCs w:val="20"/>
                <w:color w:val="auto"/>
              </w:rPr>
            </w:pPr>
            <w:r>
              <w:rPr>
                <w:rFonts w:ascii="Arial" w:cs="Arial" w:eastAsia="Arial" w:hAnsi="Arial"/>
                <w:sz w:val="14"/>
                <w:szCs w:val="14"/>
                <w:color w:val="auto"/>
                <w:w w:val="94"/>
              </w:rPr>
              <w:t>Carrying Value</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943</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760" w:type="dxa"/>
            <w:vAlign w:val="bottom"/>
            <w:tcBorders>
              <w:bottom w:val="single" w:sz="8" w:color="CCEEFF"/>
            </w:tcBorders>
            <w:gridSpan w:val="2"/>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7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4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860" w:type="dxa"/>
            <w:vAlign w:val="bottom"/>
            <w:gridSpan w:val="3"/>
          </w:tcPr>
          <w:p>
            <w:pPr>
              <w:ind w:left="20"/>
              <w:spacing w:after="0"/>
              <w:rPr>
                <w:sz w:val="20"/>
                <w:szCs w:val="20"/>
                <w:color w:val="auto"/>
              </w:rPr>
            </w:pPr>
            <w:r>
              <w:rPr>
                <w:rFonts w:ascii="Arial" w:cs="Arial" w:eastAsia="Arial" w:hAnsi="Arial"/>
                <w:sz w:val="14"/>
                <w:szCs w:val="14"/>
                <w:color w:val="auto"/>
              </w:rPr>
              <w:t>Total Non-Recourse Asset-backed Debt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8,425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2,330</w:t>
            </w: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6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4"/>
          </w:tcPr>
          <w:p>
            <w:pPr>
              <w:jc w:val="right"/>
              <w:ind w:right="728"/>
              <w:spacing w:after="0"/>
              <w:rPr>
                <w:sz w:val="20"/>
                <w:szCs w:val="20"/>
                <w:color w:val="auto"/>
              </w:rPr>
            </w:pPr>
            <w:r>
              <w:rPr>
                <w:rFonts w:ascii="Arial" w:cs="Arial" w:eastAsia="Arial" w:hAnsi="Arial"/>
                <w:sz w:val="14"/>
                <w:szCs w:val="14"/>
                <w:b w:val="1"/>
                <w:bCs w:val="1"/>
                <w:color w:val="auto"/>
              </w:rPr>
              <w:t>Outstanding Amount</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360" w:type="dxa"/>
            <w:vAlign w:val="bottom"/>
          </w:tcPr>
          <w:p>
            <w:pPr>
              <w:spacing w:after="0"/>
              <w:rPr>
                <w:sz w:val="3"/>
                <w:szCs w:val="3"/>
                <w:color w:val="auto"/>
              </w:rPr>
            </w:pPr>
          </w:p>
        </w:tc>
        <w:tc>
          <w:tcPr>
            <w:tcW w:w="5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238"/>
        </w:trPr>
        <w:tc>
          <w:tcPr>
            <w:tcW w:w="136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36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243"/>
        </w:trPr>
        <w:tc>
          <w:tcPr>
            <w:tcW w:w="1360" w:type="dxa"/>
            <w:vAlign w:val="bottom"/>
          </w:tcPr>
          <w:p>
            <w:pPr>
              <w:ind w:left="20"/>
              <w:spacing w:after="0"/>
              <w:rPr>
                <w:sz w:val="20"/>
                <w:szCs w:val="20"/>
                <w:color w:val="auto"/>
              </w:rPr>
            </w:pPr>
            <w:r>
              <w:rPr>
                <w:rFonts w:ascii="Arial" w:cs="Arial" w:eastAsia="Arial" w:hAnsi="Arial"/>
                <w:sz w:val="14"/>
                <w:szCs w:val="14"/>
                <w:b w:val="1"/>
                <w:bCs w:val="1"/>
                <w:color w:val="auto"/>
              </w:rPr>
              <w:t>December 31, 2022</w:t>
            </w:r>
          </w:p>
        </w:tc>
        <w:tc>
          <w:tcPr>
            <w:tcW w:w="5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Current</w:t>
            </w:r>
          </w:p>
        </w:tc>
        <w:tc>
          <w:tcPr>
            <w:tcW w:w="200" w:type="dxa"/>
            <w:vAlign w:val="bottom"/>
          </w:tcPr>
          <w:p>
            <w:pPr>
              <w:spacing w:after="0"/>
              <w:rPr>
                <w:sz w:val="21"/>
                <w:szCs w:val="21"/>
                <w:color w:val="auto"/>
              </w:rPr>
            </w:pPr>
          </w:p>
        </w:tc>
        <w:tc>
          <w:tcPr>
            <w:tcW w:w="1220" w:type="dxa"/>
            <w:vAlign w:val="bottom"/>
          </w:tcPr>
          <w:p>
            <w:pPr>
              <w:jc w:val="right"/>
              <w:ind w:right="228"/>
              <w:spacing w:after="0"/>
              <w:rPr>
                <w:sz w:val="20"/>
                <w:szCs w:val="20"/>
                <w:color w:val="auto"/>
              </w:rPr>
            </w:pPr>
            <w:r>
              <w:rPr>
                <w:rFonts w:ascii="Arial" w:cs="Arial" w:eastAsia="Arial" w:hAnsi="Arial"/>
                <w:sz w:val="14"/>
                <w:szCs w:val="14"/>
                <w:b w:val="1"/>
                <w:bCs w:val="1"/>
                <w:color w:val="auto"/>
              </w:rPr>
              <w:t>Non-Current</w:t>
            </w:r>
          </w:p>
        </w:tc>
        <w:tc>
          <w:tcPr>
            <w:tcW w:w="10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0" w:type="dxa"/>
            <w:vAlign w:val="bottom"/>
          </w:tcPr>
          <w:p>
            <w:pPr>
              <w:spacing w:after="0"/>
              <w:rPr>
                <w:sz w:val="1"/>
                <w:szCs w:val="1"/>
                <w:color w:val="auto"/>
              </w:rPr>
            </w:pPr>
          </w:p>
        </w:tc>
      </w:tr>
      <w:tr>
        <w:trPr>
          <w:trHeight w:val="39"/>
        </w:trPr>
        <w:tc>
          <w:tcPr>
            <w:tcW w:w="68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69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Non-Recourse Asset-backed Debt:</w:t>
            </w:r>
          </w:p>
        </w:tc>
        <w:tc>
          <w:tcPr>
            <w:tcW w:w="2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900" w:type="dxa"/>
            <w:vAlign w:val="bottom"/>
            <w:gridSpan w:val="3"/>
          </w:tcPr>
          <w:p>
            <w:pPr>
              <w:ind w:left="140"/>
              <w:spacing w:after="0"/>
              <w:rPr>
                <w:sz w:val="20"/>
                <w:szCs w:val="20"/>
                <w:color w:val="auto"/>
              </w:rPr>
            </w:pPr>
            <w:r>
              <w:rPr>
                <w:rFonts w:ascii="Arial" w:cs="Arial" w:eastAsia="Arial" w:hAnsi="Arial"/>
                <w:sz w:val="14"/>
                <w:szCs w:val="14"/>
                <w:color w:val="auto"/>
              </w:rPr>
              <w:t>Asset-backed Senior Revolving Credit Facilities</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8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69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4"/>
                <w:szCs w:val="14"/>
                <w:color w:val="auto"/>
              </w:rPr>
              <w:t>Revolving Facility 2018-2</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472</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4.86 %</w:t>
            </w:r>
          </w:p>
        </w:tc>
        <w:tc>
          <w:tcPr>
            <w:tcW w:w="0" w:type="dxa"/>
            <w:vAlign w:val="bottom"/>
          </w:tcPr>
          <w:p>
            <w:pPr>
              <w:spacing w:after="0"/>
              <w:rPr>
                <w:sz w:val="1"/>
                <w:szCs w:val="1"/>
                <w:color w:val="auto"/>
              </w:rPr>
            </w:pPr>
          </w:p>
        </w:tc>
      </w:tr>
      <w:tr>
        <w:trPr>
          <w:trHeight w:val="190"/>
        </w:trPr>
        <w:tc>
          <w:tcPr>
            <w:tcW w:w="6900" w:type="dxa"/>
            <w:vAlign w:val="bottom"/>
            <w:gridSpan w:val="3"/>
          </w:tcPr>
          <w:p>
            <w:pPr>
              <w:ind w:left="240"/>
              <w:spacing w:after="0"/>
              <w:rPr>
                <w:sz w:val="20"/>
                <w:szCs w:val="20"/>
                <w:color w:val="auto"/>
              </w:rPr>
            </w:pPr>
            <w:r>
              <w:rPr>
                <w:rFonts w:ascii="Arial" w:cs="Arial" w:eastAsia="Arial" w:hAnsi="Arial"/>
                <w:sz w:val="14"/>
                <w:szCs w:val="14"/>
                <w:color w:val="auto"/>
              </w:rPr>
              <w:t>Revolving Facility 2018-3</w:t>
            </w:r>
          </w:p>
        </w:tc>
        <w:tc>
          <w:tcPr>
            <w:tcW w:w="26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194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3.98 %</w:t>
            </w:r>
          </w:p>
        </w:tc>
        <w:tc>
          <w:tcPr>
            <w:tcW w:w="0" w:type="dxa"/>
            <w:vAlign w:val="bottom"/>
          </w:tcPr>
          <w:p>
            <w:pPr>
              <w:spacing w:after="0"/>
              <w:rPr>
                <w:sz w:val="1"/>
                <w:szCs w:val="1"/>
                <w:color w:val="auto"/>
              </w:rPr>
            </w:pPr>
          </w:p>
        </w:tc>
      </w:tr>
      <w:tr>
        <w:trPr>
          <w:trHeight w:val="39"/>
        </w:trPr>
        <w:tc>
          <w:tcPr>
            <w:tcW w:w="68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4"/>
                <w:szCs w:val="14"/>
                <w:color w:val="auto"/>
              </w:rPr>
              <w:t>Revolving Facility 2019-1</w:t>
            </w:r>
          </w:p>
        </w:tc>
        <w:tc>
          <w:tcPr>
            <w:tcW w:w="2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55</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4.41 %</w:t>
            </w:r>
          </w:p>
        </w:tc>
        <w:tc>
          <w:tcPr>
            <w:tcW w:w="0" w:type="dxa"/>
            <w:vAlign w:val="bottom"/>
          </w:tcPr>
          <w:p>
            <w:pPr>
              <w:spacing w:after="0"/>
              <w:rPr>
                <w:sz w:val="1"/>
                <w:szCs w:val="1"/>
                <w:color w:val="auto"/>
              </w:rPr>
            </w:pPr>
          </w:p>
        </w:tc>
      </w:tr>
      <w:tr>
        <w:trPr>
          <w:trHeight w:val="190"/>
        </w:trPr>
        <w:tc>
          <w:tcPr>
            <w:tcW w:w="6900" w:type="dxa"/>
            <w:vAlign w:val="bottom"/>
            <w:gridSpan w:val="3"/>
          </w:tcPr>
          <w:p>
            <w:pPr>
              <w:ind w:left="240"/>
              <w:spacing w:after="0"/>
              <w:rPr>
                <w:sz w:val="20"/>
                <w:szCs w:val="20"/>
                <w:color w:val="auto"/>
              </w:rPr>
            </w:pPr>
            <w:r>
              <w:rPr>
                <w:rFonts w:ascii="Arial" w:cs="Arial" w:eastAsia="Arial" w:hAnsi="Arial"/>
                <w:sz w:val="14"/>
                <w:szCs w:val="14"/>
                <w:color w:val="auto"/>
              </w:rPr>
              <w:t>Revolving Facility 2019-2</w:t>
            </w:r>
          </w:p>
        </w:tc>
        <w:tc>
          <w:tcPr>
            <w:tcW w:w="26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167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3.92 %</w:t>
            </w:r>
          </w:p>
        </w:tc>
        <w:tc>
          <w:tcPr>
            <w:tcW w:w="0" w:type="dxa"/>
            <w:vAlign w:val="bottom"/>
          </w:tcPr>
          <w:p>
            <w:pPr>
              <w:spacing w:after="0"/>
              <w:rPr>
                <w:sz w:val="1"/>
                <w:szCs w:val="1"/>
                <w:color w:val="auto"/>
              </w:rPr>
            </w:pPr>
          </w:p>
        </w:tc>
      </w:tr>
      <w:tr>
        <w:trPr>
          <w:trHeight w:val="39"/>
        </w:trPr>
        <w:tc>
          <w:tcPr>
            <w:tcW w:w="68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4"/>
                <w:szCs w:val="14"/>
                <w:color w:val="auto"/>
              </w:rPr>
              <w:t>Revolving Facility 2019-3</w:t>
            </w:r>
          </w:p>
        </w:tc>
        <w:tc>
          <w:tcPr>
            <w:tcW w:w="2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3.86 %</w:t>
            </w:r>
          </w:p>
        </w:tc>
        <w:tc>
          <w:tcPr>
            <w:tcW w:w="0" w:type="dxa"/>
            <w:vAlign w:val="bottom"/>
          </w:tcPr>
          <w:p>
            <w:pPr>
              <w:spacing w:after="0"/>
              <w:rPr>
                <w:sz w:val="1"/>
                <w:szCs w:val="1"/>
                <w:color w:val="auto"/>
              </w:rPr>
            </w:pPr>
          </w:p>
        </w:tc>
      </w:tr>
      <w:tr>
        <w:trPr>
          <w:trHeight w:val="190"/>
        </w:trPr>
        <w:tc>
          <w:tcPr>
            <w:tcW w:w="6900" w:type="dxa"/>
            <w:vAlign w:val="bottom"/>
            <w:gridSpan w:val="3"/>
          </w:tcPr>
          <w:p>
            <w:pPr>
              <w:ind w:left="240"/>
              <w:spacing w:after="0"/>
              <w:rPr>
                <w:sz w:val="20"/>
                <w:szCs w:val="20"/>
                <w:color w:val="auto"/>
              </w:rPr>
            </w:pPr>
            <w:r>
              <w:rPr>
                <w:rFonts w:ascii="Arial" w:cs="Arial" w:eastAsia="Arial" w:hAnsi="Arial"/>
                <w:sz w:val="14"/>
                <w:szCs w:val="14"/>
                <w:color w:val="auto"/>
              </w:rPr>
              <w:t>Revolving Facility 2022-1</w:t>
            </w:r>
          </w:p>
        </w:tc>
        <w:tc>
          <w:tcPr>
            <w:tcW w:w="26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289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8.15 %</w:t>
            </w:r>
          </w:p>
        </w:tc>
        <w:tc>
          <w:tcPr>
            <w:tcW w:w="0" w:type="dxa"/>
            <w:vAlign w:val="bottom"/>
          </w:tcPr>
          <w:p>
            <w:pPr>
              <w:spacing w:after="0"/>
              <w:rPr>
                <w:sz w:val="1"/>
                <w:szCs w:val="1"/>
                <w:color w:val="auto"/>
              </w:rPr>
            </w:pPr>
          </w:p>
        </w:tc>
      </w:tr>
      <w:tr>
        <w:trPr>
          <w:trHeight w:val="39"/>
        </w:trPr>
        <w:tc>
          <w:tcPr>
            <w:tcW w:w="68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69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4"/>
                <w:szCs w:val="14"/>
                <w:color w:val="auto"/>
              </w:rPr>
              <w:t>Asset-backed Senior Term Debt Facilities</w:t>
            </w:r>
          </w:p>
        </w:tc>
        <w:tc>
          <w:tcPr>
            <w:tcW w:w="2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360" w:type="dxa"/>
            <w:vAlign w:val="bottom"/>
          </w:tcPr>
          <w:p>
            <w:pPr>
              <w:ind w:left="240"/>
              <w:spacing w:after="0"/>
              <w:rPr>
                <w:sz w:val="20"/>
                <w:szCs w:val="20"/>
                <w:color w:val="auto"/>
              </w:rPr>
            </w:pPr>
            <w:r>
              <w:rPr>
                <w:rFonts w:ascii="Arial" w:cs="Arial" w:eastAsia="Arial" w:hAnsi="Arial"/>
                <w:sz w:val="14"/>
                <w:szCs w:val="14"/>
                <w:color w:val="auto"/>
                <w:w w:val="96"/>
              </w:rPr>
              <w:t>Term Debt Facility</w:t>
            </w:r>
          </w:p>
        </w:tc>
        <w:tc>
          <w:tcPr>
            <w:tcW w:w="5540" w:type="dxa"/>
            <w:vAlign w:val="bottom"/>
            <w:gridSpan w:val="2"/>
          </w:tcPr>
          <w:p>
            <w:pPr>
              <w:ind w:left="20"/>
              <w:spacing w:after="0"/>
              <w:rPr>
                <w:sz w:val="20"/>
                <w:szCs w:val="20"/>
                <w:color w:val="auto"/>
              </w:rPr>
            </w:pPr>
            <w:r>
              <w:rPr>
                <w:rFonts w:ascii="Arial" w:cs="Arial" w:eastAsia="Arial" w:hAnsi="Arial"/>
                <w:sz w:val="14"/>
                <w:szCs w:val="14"/>
                <w:color w:val="auto"/>
              </w:rPr>
              <w:t>2021-S1</w:t>
            </w:r>
          </w:p>
        </w:tc>
        <w:tc>
          <w:tcPr>
            <w:tcW w:w="26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400</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3.48 %</w:t>
            </w:r>
          </w:p>
        </w:tc>
        <w:tc>
          <w:tcPr>
            <w:tcW w:w="0" w:type="dxa"/>
            <w:vAlign w:val="bottom"/>
          </w:tcPr>
          <w:p>
            <w:pPr>
              <w:spacing w:after="0"/>
              <w:rPr>
                <w:sz w:val="1"/>
                <w:szCs w:val="1"/>
                <w:color w:val="auto"/>
              </w:rPr>
            </w:pPr>
          </w:p>
        </w:tc>
      </w:tr>
      <w:tr>
        <w:trPr>
          <w:trHeight w:val="39"/>
        </w:trPr>
        <w:tc>
          <w:tcPr>
            <w:tcW w:w="1360" w:type="dxa"/>
            <w:vAlign w:val="bottom"/>
          </w:tcPr>
          <w:p>
            <w:pPr>
              <w:spacing w:after="0"/>
              <w:rPr>
                <w:sz w:val="3"/>
                <w:szCs w:val="3"/>
                <w:color w:val="auto"/>
              </w:rPr>
            </w:pPr>
          </w:p>
        </w:tc>
        <w:tc>
          <w:tcPr>
            <w:tcW w:w="5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1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w w:val="96"/>
              </w:rPr>
              <w:t>Term Debt Facility</w:t>
            </w:r>
          </w:p>
        </w:tc>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2021-S2</w:t>
            </w:r>
          </w:p>
        </w:tc>
        <w:tc>
          <w:tcPr>
            <w:tcW w:w="2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3.20 %</w:t>
            </w:r>
          </w:p>
        </w:tc>
        <w:tc>
          <w:tcPr>
            <w:tcW w:w="0" w:type="dxa"/>
            <w:vAlign w:val="bottom"/>
          </w:tcPr>
          <w:p>
            <w:pPr>
              <w:spacing w:after="0"/>
              <w:rPr>
                <w:sz w:val="1"/>
                <w:szCs w:val="1"/>
                <w:color w:val="auto"/>
              </w:rPr>
            </w:pPr>
          </w:p>
        </w:tc>
      </w:tr>
      <w:tr>
        <w:trPr>
          <w:trHeight w:val="190"/>
        </w:trPr>
        <w:tc>
          <w:tcPr>
            <w:tcW w:w="1360" w:type="dxa"/>
            <w:vAlign w:val="bottom"/>
          </w:tcPr>
          <w:p>
            <w:pPr>
              <w:ind w:left="240"/>
              <w:spacing w:after="0"/>
              <w:rPr>
                <w:sz w:val="20"/>
                <w:szCs w:val="20"/>
                <w:color w:val="auto"/>
              </w:rPr>
            </w:pPr>
            <w:r>
              <w:rPr>
                <w:rFonts w:ascii="Arial" w:cs="Arial" w:eastAsia="Arial" w:hAnsi="Arial"/>
                <w:sz w:val="14"/>
                <w:szCs w:val="14"/>
                <w:color w:val="auto"/>
                <w:w w:val="96"/>
              </w:rPr>
              <w:t>Term Debt Facility</w:t>
            </w:r>
          </w:p>
        </w:tc>
        <w:tc>
          <w:tcPr>
            <w:tcW w:w="5540" w:type="dxa"/>
            <w:vAlign w:val="bottom"/>
            <w:gridSpan w:val="2"/>
          </w:tcPr>
          <w:p>
            <w:pPr>
              <w:ind w:left="20"/>
              <w:spacing w:after="0"/>
              <w:rPr>
                <w:sz w:val="20"/>
                <w:szCs w:val="20"/>
                <w:color w:val="auto"/>
              </w:rPr>
            </w:pPr>
            <w:r>
              <w:rPr>
                <w:rFonts w:ascii="Arial" w:cs="Arial" w:eastAsia="Arial" w:hAnsi="Arial"/>
                <w:sz w:val="14"/>
                <w:szCs w:val="14"/>
                <w:color w:val="auto"/>
              </w:rPr>
              <w:t>2021-S3</w:t>
            </w:r>
          </w:p>
        </w:tc>
        <w:tc>
          <w:tcPr>
            <w:tcW w:w="26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750</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3.75 %</w:t>
            </w:r>
          </w:p>
        </w:tc>
        <w:tc>
          <w:tcPr>
            <w:tcW w:w="0" w:type="dxa"/>
            <w:vAlign w:val="bottom"/>
          </w:tcPr>
          <w:p>
            <w:pPr>
              <w:spacing w:after="0"/>
              <w:rPr>
                <w:sz w:val="1"/>
                <w:szCs w:val="1"/>
                <w:color w:val="auto"/>
              </w:rPr>
            </w:pPr>
          </w:p>
        </w:tc>
      </w:tr>
      <w:tr>
        <w:trPr>
          <w:trHeight w:val="39"/>
        </w:trPr>
        <w:tc>
          <w:tcPr>
            <w:tcW w:w="1360" w:type="dxa"/>
            <w:vAlign w:val="bottom"/>
          </w:tcPr>
          <w:p>
            <w:pPr>
              <w:spacing w:after="0"/>
              <w:rPr>
                <w:sz w:val="3"/>
                <w:szCs w:val="3"/>
                <w:color w:val="auto"/>
              </w:rPr>
            </w:pPr>
          </w:p>
        </w:tc>
        <w:tc>
          <w:tcPr>
            <w:tcW w:w="5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w w:val="96"/>
              </w:rPr>
              <w:t>Term Debt Facility</w:t>
            </w:r>
          </w:p>
        </w:tc>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2022-S1</w:t>
            </w:r>
          </w:p>
        </w:tc>
        <w:tc>
          <w:tcPr>
            <w:tcW w:w="2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4.07 %</w:t>
            </w:r>
          </w:p>
        </w:tc>
        <w:tc>
          <w:tcPr>
            <w:tcW w:w="0" w:type="dxa"/>
            <w:vAlign w:val="bottom"/>
          </w:tcPr>
          <w:p>
            <w:pPr>
              <w:spacing w:after="0"/>
              <w:rPr>
                <w:sz w:val="1"/>
                <w:szCs w:val="1"/>
                <w:color w:val="auto"/>
              </w:rPr>
            </w:pPr>
          </w:p>
        </w:tc>
      </w:tr>
      <w:tr>
        <w:trPr>
          <w:trHeight w:val="190"/>
        </w:trPr>
        <w:tc>
          <w:tcPr>
            <w:tcW w:w="1360" w:type="dxa"/>
            <w:vAlign w:val="bottom"/>
          </w:tcPr>
          <w:p>
            <w:pPr>
              <w:ind w:left="240"/>
              <w:spacing w:after="0"/>
              <w:rPr>
                <w:sz w:val="20"/>
                <w:szCs w:val="20"/>
                <w:color w:val="auto"/>
              </w:rPr>
            </w:pPr>
            <w:r>
              <w:rPr>
                <w:rFonts w:ascii="Arial" w:cs="Arial" w:eastAsia="Arial" w:hAnsi="Arial"/>
                <w:sz w:val="14"/>
                <w:szCs w:val="14"/>
                <w:color w:val="auto"/>
                <w:w w:val="96"/>
              </w:rPr>
              <w:t>Term Debt Facility</w:t>
            </w:r>
          </w:p>
        </w:tc>
        <w:tc>
          <w:tcPr>
            <w:tcW w:w="5540" w:type="dxa"/>
            <w:vAlign w:val="bottom"/>
            <w:gridSpan w:val="2"/>
          </w:tcPr>
          <w:p>
            <w:pPr>
              <w:ind w:left="20"/>
              <w:spacing w:after="0"/>
              <w:rPr>
                <w:sz w:val="20"/>
                <w:szCs w:val="20"/>
                <w:color w:val="auto"/>
              </w:rPr>
            </w:pPr>
            <w:r>
              <w:rPr>
                <w:rFonts w:ascii="Arial" w:cs="Arial" w:eastAsia="Arial" w:hAnsi="Arial"/>
                <w:sz w:val="14"/>
                <w:szCs w:val="14"/>
                <w:color w:val="auto"/>
              </w:rPr>
              <w:t>2022-S2</w:t>
            </w:r>
          </w:p>
        </w:tc>
        <w:tc>
          <w:tcPr>
            <w:tcW w:w="26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8.48 %</w:t>
            </w:r>
          </w:p>
        </w:tc>
        <w:tc>
          <w:tcPr>
            <w:tcW w:w="0" w:type="dxa"/>
            <w:vAlign w:val="bottom"/>
          </w:tcPr>
          <w:p>
            <w:pPr>
              <w:spacing w:after="0"/>
              <w:rPr>
                <w:sz w:val="1"/>
                <w:szCs w:val="1"/>
                <w:color w:val="auto"/>
              </w:rPr>
            </w:pPr>
          </w:p>
        </w:tc>
      </w:tr>
      <w:tr>
        <w:trPr>
          <w:trHeight w:val="39"/>
        </w:trPr>
        <w:tc>
          <w:tcPr>
            <w:tcW w:w="1360" w:type="dxa"/>
            <w:vAlign w:val="bottom"/>
            <w:tcBorders>
              <w:bottom w:val="single" w:sz="8" w:color="CCEEFF"/>
            </w:tcBorders>
          </w:tcPr>
          <w:p>
            <w:pPr>
              <w:spacing w:after="0"/>
              <w:rPr>
                <w:sz w:val="3"/>
                <w:szCs w:val="3"/>
                <w:color w:val="auto"/>
              </w:rPr>
            </w:pPr>
          </w:p>
        </w:tc>
        <w:tc>
          <w:tcPr>
            <w:tcW w:w="54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2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54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1,377</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1,900</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360" w:type="dxa"/>
            <w:vAlign w:val="bottom"/>
          </w:tcPr>
          <w:p>
            <w:pPr>
              <w:ind w:left="460"/>
              <w:spacing w:after="0"/>
              <w:rPr>
                <w:sz w:val="20"/>
                <w:szCs w:val="20"/>
                <w:color w:val="auto"/>
              </w:rPr>
            </w:pPr>
            <w:r>
              <w:rPr>
                <w:rFonts w:ascii="Arial" w:cs="Arial" w:eastAsia="Arial" w:hAnsi="Arial"/>
                <w:sz w:val="14"/>
                <w:szCs w:val="14"/>
                <w:color w:val="auto"/>
                <w:w w:val="91"/>
              </w:rPr>
              <w:t>Issuance Costs</w:t>
            </w:r>
          </w:p>
        </w:tc>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360" w:type="dxa"/>
            <w:vAlign w:val="bottom"/>
            <w:tcBorders>
              <w:bottom w:val="single" w:sz="8" w:color="CCEEFF"/>
            </w:tcBorders>
          </w:tcPr>
          <w:p>
            <w:pPr>
              <w:spacing w:after="0"/>
              <w:rPr>
                <w:sz w:val="3"/>
                <w:szCs w:val="3"/>
                <w:color w:val="auto"/>
              </w:rPr>
            </w:pPr>
          </w:p>
        </w:tc>
        <w:tc>
          <w:tcPr>
            <w:tcW w:w="54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2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3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w w:val="94"/>
              </w:rPr>
              <w:t>Carrying Value</w:t>
            </w:r>
          </w:p>
        </w:tc>
        <w:tc>
          <w:tcPr>
            <w:tcW w:w="54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1,376</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1,883</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4"/>
                <w:szCs w:val="14"/>
                <w:color w:val="auto"/>
              </w:rPr>
              <w:t>Asset-backed Mezzanine Term Debt Facilities</w:t>
            </w:r>
          </w:p>
        </w:tc>
        <w:tc>
          <w:tcPr>
            <w:tcW w:w="2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360" w:type="dxa"/>
            <w:vAlign w:val="bottom"/>
          </w:tcPr>
          <w:p>
            <w:pPr>
              <w:ind w:left="240"/>
              <w:spacing w:after="0"/>
              <w:rPr>
                <w:sz w:val="20"/>
                <w:szCs w:val="20"/>
                <w:color w:val="auto"/>
              </w:rPr>
            </w:pPr>
            <w:r>
              <w:rPr>
                <w:rFonts w:ascii="Arial" w:cs="Arial" w:eastAsia="Arial" w:hAnsi="Arial"/>
                <w:sz w:val="14"/>
                <w:szCs w:val="14"/>
                <w:color w:val="auto"/>
                <w:w w:val="96"/>
              </w:rPr>
              <w:t>Term Debt Facility</w:t>
            </w:r>
          </w:p>
        </w:tc>
        <w:tc>
          <w:tcPr>
            <w:tcW w:w="5540" w:type="dxa"/>
            <w:vAlign w:val="bottom"/>
            <w:gridSpan w:val="2"/>
          </w:tcPr>
          <w:p>
            <w:pPr>
              <w:ind w:left="20"/>
              <w:spacing w:after="0"/>
              <w:rPr>
                <w:sz w:val="20"/>
                <w:szCs w:val="20"/>
                <w:color w:val="auto"/>
              </w:rPr>
            </w:pPr>
            <w:r>
              <w:rPr>
                <w:rFonts w:ascii="Arial" w:cs="Arial" w:eastAsia="Arial" w:hAnsi="Arial"/>
                <w:sz w:val="14"/>
                <w:szCs w:val="14"/>
                <w:color w:val="auto"/>
              </w:rPr>
              <w:t>2020-M1</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1,000</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39"/>
        </w:trPr>
        <w:tc>
          <w:tcPr>
            <w:tcW w:w="1360" w:type="dxa"/>
            <w:vAlign w:val="bottom"/>
          </w:tcPr>
          <w:p>
            <w:pPr>
              <w:spacing w:after="0"/>
              <w:rPr>
                <w:sz w:val="3"/>
                <w:szCs w:val="3"/>
                <w:color w:val="auto"/>
              </w:rPr>
            </w:pPr>
          </w:p>
        </w:tc>
        <w:tc>
          <w:tcPr>
            <w:tcW w:w="5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1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w w:val="96"/>
              </w:rPr>
              <w:t>Term Debt Facility</w:t>
            </w:r>
          </w:p>
        </w:tc>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2022-M1</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184"/>
        </w:trPr>
        <w:tc>
          <w:tcPr>
            <w:tcW w:w="1360" w:type="dxa"/>
            <w:vAlign w:val="bottom"/>
          </w:tcPr>
          <w:p>
            <w:pPr>
              <w:ind w:left="20"/>
              <w:spacing w:after="0"/>
              <w:rPr>
                <w:sz w:val="20"/>
                <w:szCs w:val="20"/>
                <w:color w:val="auto"/>
              </w:rPr>
            </w:pPr>
            <w:r>
              <w:rPr>
                <w:rFonts w:ascii="Arial" w:cs="Arial" w:eastAsia="Arial" w:hAnsi="Arial"/>
                <w:sz w:val="14"/>
                <w:szCs w:val="14"/>
                <w:color w:val="auto"/>
              </w:rPr>
              <w:t>Total</w:t>
            </w:r>
          </w:p>
        </w:tc>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1,150</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360" w:type="dxa"/>
            <w:vAlign w:val="bottom"/>
            <w:tcBorders>
              <w:bottom w:val="single" w:sz="8" w:color="CCEEFF"/>
            </w:tcBorders>
          </w:tcPr>
          <w:p>
            <w:pPr>
              <w:spacing w:after="0"/>
              <w:rPr>
                <w:sz w:val="3"/>
                <w:szCs w:val="3"/>
                <w:color w:val="auto"/>
              </w:rPr>
            </w:pPr>
          </w:p>
        </w:tc>
        <w:tc>
          <w:tcPr>
            <w:tcW w:w="54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2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3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w w:val="91"/>
              </w:rPr>
              <w:t>Issuance Costs</w:t>
            </w:r>
          </w:p>
        </w:tc>
        <w:tc>
          <w:tcPr>
            <w:tcW w:w="54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360" w:type="dxa"/>
            <w:vAlign w:val="bottom"/>
          </w:tcPr>
          <w:p>
            <w:pPr>
              <w:ind w:left="460"/>
              <w:spacing w:after="0"/>
              <w:rPr>
                <w:sz w:val="20"/>
                <w:szCs w:val="20"/>
                <w:color w:val="auto"/>
              </w:rPr>
            </w:pPr>
            <w:r>
              <w:rPr>
                <w:rFonts w:ascii="Arial" w:cs="Arial" w:eastAsia="Arial" w:hAnsi="Arial"/>
                <w:sz w:val="14"/>
                <w:szCs w:val="14"/>
                <w:color w:val="auto"/>
                <w:w w:val="94"/>
              </w:rPr>
              <w:t>Carrying Value</w:t>
            </w:r>
          </w:p>
        </w:tc>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1,137</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800" w:type="dxa"/>
            <w:vAlign w:val="bottom"/>
            <w:tcBorders>
              <w:bottom w:val="single" w:sz="8" w:color="CCEEFF"/>
            </w:tcBorders>
            <w:gridSpan w:val="2"/>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1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2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360" w:type="dxa"/>
            <w:vAlign w:val="bottom"/>
            <w:shd w:val="clear" w:color="auto" w:fill="CCEEFF"/>
          </w:tcPr>
          <w:p>
            <w:pPr>
              <w:spacing w:after="0"/>
              <w:rPr>
                <w:sz w:val="17"/>
                <w:szCs w:val="17"/>
                <w:color w:val="auto"/>
              </w:rPr>
            </w:pPr>
          </w:p>
        </w:tc>
        <w:tc>
          <w:tcPr>
            <w:tcW w:w="5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900" w:type="dxa"/>
            <w:vAlign w:val="bottom"/>
            <w:gridSpan w:val="3"/>
          </w:tcPr>
          <w:p>
            <w:pPr>
              <w:ind w:left="20"/>
              <w:spacing w:after="0"/>
              <w:rPr>
                <w:sz w:val="20"/>
                <w:szCs w:val="20"/>
                <w:color w:val="auto"/>
              </w:rPr>
            </w:pPr>
            <w:r>
              <w:rPr>
                <w:rFonts w:ascii="Arial" w:cs="Arial" w:eastAsia="Arial" w:hAnsi="Arial"/>
                <w:sz w:val="14"/>
                <w:szCs w:val="14"/>
                <w:color w:val="auto"/>
              </w:rPr>
              <w:t>Total Non-Recourse Asset-backed Debt</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1,376</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3,020</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3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Non-Recourse Asset-backed Debt</w:t>
      </w:r>
    </w:p>
    <w:p>
      <w:pPr>
        <w:spacing w:after="0" w:line="22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Company utilizes inventory financing facilities consisting of asset-backed senior debt facilities and asset-backed mezzanine term debt facilities to provide financing for the Company’s real estate inventory purchases and renovation. These inventory financing facilities are typically secured by some combination of restricted cash, equity in real estate owning subsidiaries and related holding companies, and, for senior facilities, the real estate inventory financed by the relevant facility and/or beneficial interests in such inventory.</w:t>
      </w:r>
    </w:p>
    <w:p>
      <w:pPr>
        <w:spacing w:after="0" w:line="187"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Each of the borrowers under the inventory financing facilities is a consolidated subsidiary of Opendoor and a separate legal entity. Neither the assets nor credit of any such borrower subsidiaries are generally available to satisfy the debts and other obligations of any other Opendoor entities. The inventory financing facilities are non-recourse to the Company and are non-recourse to Opendoor subsidiaries not party to the relevant facilities, except for limited guarantees provided by an Opendoor subsidiary for certain obligations in situations involving “bad acts” by an Opendoor entity and certain other limited circumstances.</w:t>
      </w:r>
    </w:p>
    <w:p>
      <w:pPr>
        <w:spacing w:after="0" w:line="188"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As of September 30, 2023, the Company had total borrowing capacity with respect to its non-recourse asset-backed debt of $8.4 billion. Borrowing capacity amounts under non-recourse asset-backed debt as reflected in the table above are in some cases not fully committed and any borrowings above the committed amounts are subject to the applicable lender’s discretion. Any amounts repaid for senior term and mezzanine term debt facilities reduce total borrowing capacity as repaid amounts are not available to be reborrowed. As of September 30, 2023, the Company had committed borrowing capacity with respect to the Company’s non-recourse asset-backed debt of $3.0 billion; this committed borrowing capacity is comprised of $650 million for senior revolving credit facilities, $1.4 billion for senior term debt facilities, and $950 million for mezzanine term debt facilities.</w:t>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OPENDOOR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Asset-backed Senior Revolving Credit Facilities</w:t>
      </w:r>
    </w:p>
    <w:p>
      <w:pPr>
        <w:spacing w:after="0" w:line="225" w:lineRule="exact"/>
        <w:rPr>
          <w:sz w:val="20"/>
          <w:szCs w:val="20"/>
          <w:color w:val="auto"/>
        </w:rPr>
      </w:pPr>
    </w:p>
    <w:p>
      <w:pPr>
        <w:ind w:right="320" w:firstLine="405"/>
        <w:spacing w:after="0" w:line="263" w:lineRule="auto"/>
        <w:rPr>
          <w:sz w:val="20"/>
          <w:szCs w:val="20"/>
          <w:color w:val="auto"/>
        </w:rPr>
      </w:pPr>
      <w:r>
        <w:rPr>
          <w:rFonts w:ascii="Arial" w:cs="Arial" w:eastAsia="Arial" w:hAnsi="Arial"/>
          <w:sz w:val="18"/>
          <w:szCs w:val="18"/>
          <w:color w:val="auto"/>
        </w:rPr>
        <w:t>The Company classifies the senior revolving credit facilities as current liabilities on the Company’s condensed consolidated balance sheets as amounts drawn to acquire and renovate homes are required to be repaid as the related real estate inventory is sold, which the Company expects to occur within 12 months.</w:t>
      </w:r>
    </w:p>
    <w:p>
      <w:pPr>
        <w:spacing w:after="0" w:line="184"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The senior revolving credit facilities are typically structured with an initial revolving period of up to 24 months during which time amounts can be borrowed, repaid and borrowed again. The borrowing capacity is generally available until the end of the applicable revolving period as reflected in the table above. Outstanding amounts drawn under each senior revolving credit facility are required to be repaid on the facility maturity date or earlier if accelerated due to an event of default or other mandatory repayment event. The final maturity dates and revolving period end dates reflected in the table above are inclusive of any extensions that are at the sole discretion of the Company. These facilities may also have extensions subject to lender discretion that are not reflected in the table above. On October 3, 2023, the Company entered into an amendment to Revolving Facility 2019-2, providing for $550 million of borrowing capacity with a revolving period end date of October 3, 2025 and a final maturity date of October 2, 2026, which is inclusive of any extensions that are at the sole discretion of the Company.</w:t>
      </w:r>
    </w:p>
    <w:p>
      <w:pPr>
        <w:spacing w:after="0" w:line="192" w:lineRule="exact"/>
        <w:rPr>
          <w:sz w:val="20"/>
          <w:szCs w:val="20"/>
          <w:color w:val="auto"/>
        </w:rPr>
      </w:pPr>
    </w:p>
    <w:p>
      <w:pPr>
        <w:ind w:right="20" w:firstLine="405"/>
        <w:spacing w:after="0" w:line="275" w:lineRule="auto"/>
        <w:rPr>
          <w:sz w:val="20"/>
          <w:szCs w:val="20"/>
          <w:color w:val="auto"/>
        </w:rPr>
      </w:pPr>
      <w:r>
        <w:rPr>
          <w:rFonts w:ascii="Arial" w:cs="Arial" w:eastAsia="Arial" w:hAnsi="Arial"/>
          <w:sz w:val="17"/>
          <w:szCs w:val="17"/>
          <w:color w:val="auto"/>
        </w:rPr>
        <w:t>Borrowings under the senior revolving credit facilities accrue interest at various floating rates based on a London Interbank Offered Rate ("LIBOR") or a secured overnight financing rate ("SOFR"), plus a margin that varies by facility. Effective November 2022, all such floating rates are based on SOFR. The Company may also pay fees on certain unused portions of committed borrowing capacity. The Company’s senior revolving credit facility arrangements typically include upfront fees that may be paid at execution of the applicable agreements or be earned at execution and payable over time. These facilities are generally fully prepayable at any time without penalty other than customary breakage costs.</w:t>
      </w:r>
    </w:p>
    <w:p>
      <w:pPr>
        <w:spacing w:after="0" w:line="176" w:lineRule="exact"/>
        <w:rPr>
          <w:sz w:val="20"/>
          <w:szCs w:val="20"/>
          <w:color w:val="auto"/>
        </w:rPr>
      </w:pPr>
    </w:p>
    <w:p>
      <w:pPr>
        <w:ind w:right="340" w:firstLine="405"/>
        <w:spacing w:after="0" w:line="275" w:lineRule="auto"/>
        <w:rPr>
          <w:sz w:val="20"/>
          <w:szCs w:val="20"/>
          <w:color w:val="auto"/>
        </w:rPr>
      </w:pPr>
      <w:r>
        <w:rPr>
          <w:rFonts w:ascii="Arial" w:cs="Arial" w:eastAsia="Arial" w:hAnsi="Arial"/>
          <w:sz w:val="17"/>
          <w:szCs w:val="17"/>
          <w:color w:val="auto"/>
        </w:rPr>
        <w:t>The senior revolving credit facilities have aggregated borrowing bases, which increase or decrease based on the cost and value of the properties financed under a given facility and the time that those properties are in the Company’s possession. When the Company resells a home, the proceeds are used to reduce the outstanding balance under the related senior revolving credit facility. The borrowing base for a given facility may be reduced as properties age beyond certain thresholds or the performance of the properties financed under that facility declines, and any borrowing base deficiencies may be satisfied through contributions of additional properties or partial repayment of the facility.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Asset-backed Senior Term Debt Facilities</w:t>
      </w:r>
    </w:p>
    <w:p>
      <w:pPr>
        <w:spacing w:after="0" w:line="225"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Company classifies its senior term debt facilities as non-current liabilities on the Company’s condensed consolidated balance sheets because its borrowings under these facilities are generally not required to be repaid until the final maturity date.</w:t>
      </w:r>
    </w:p>
    <w:p>
      <w:pPr>
        <w:spacing w:after="0" w:line="170"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The senior term debt facilities are typically structured with an initial withdrawal period up to 60 months during which the outstanding principal amounts are generally not required to be repaid when homes financed through those facilities are sold and instead are intended to remain outstanding until final maturity for each facility. Outstanding amounts drawn under each senior term debt facility are required to be repaid on the facility maturity date or earlier if accelerated due to an event of default or other mandatory repayment event. The final maturity dates and withdrawal period end dates reflected in the table above are inclusive of any extensions that are at the sole discretion of the Company. These facilities may also have extensions subject to lender discretion that are not reflected in the table above.</w:t>
      </w:r>
    </w:p>
    <w:p>
      <w:pPr>
        <w:spacing w:after="0" w:line="192"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Borrowings under the senior term debt facilities accrue interest at a fixed rate with the exception of Term Debt Facility 2022-S2, which accrued interest at a floating rate based on SOFR plus a margin. The Company's senior term debt facilities may include upfront issuance costs that are capitalized as part of the facilities' respective carrying values. These facilities are fully prepayable at any time but may be subject to certain customary prepayment penalties.</w:t>
      </w:r>
    </w:p>
    <w:p>
      <w:pPr>
        <w:spacing w:after="0" w:line="187" w:lineRule="exact"/>
        <w:rPr>
          <w:sz w:val="20"/>
          <w:szCs w:val="20"/>
          <w:color w:val="auto"/>
        </w:rPr>
      </w:pPr>
    </w:p>
    <w:p>
      <w:pPr>
        <w:ind w:right="120" w:firstLine="405"/>
        <w:spacing w:after="0" w:line="301" w:lineRule="auto"/>
        <w:rPr>
          <w:sz w:val="20"/>
          <w:szCs w:val="20"/>
          <w:color w:val="auto"/>
        </w:rPr>
      </w:pPr>
      <w:r>
        <w:rPr>
          <w:rFonts w:ascii="Arial" w:cs="Arial" w:eastAsia="Arial" w:hAnsi="Arial"/>
          <w:sz w:val="16"/>
          <w:szCs w:val="16"/>
          <w:color w:val="auto"/>
        </w:rPr>
        <w:t>The senior term debt facilities have aggregated property borrowing bases, which increase or decrease based on the cost and value of the properties financed under a given facility, the time those properties are in the Company’s possession and the amount of cash collateral pledged by the relevant borrowers. The borrowing base for a given facility may be reduced as properties age or collateral performance declines beyond certain thresholds, and any borrowing base deficiencies may be satisfied through contributions of additional properties, cash or through partial repayment of the facility.</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OPENDOOR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Asset-backed Mezzanine Term Debt Facilities</w:t>
      </w:r>
    </w:p>
    <w:p>
      <w:pPr>
        <w:spacing w:after="0" w:line="225" w:lineRule="exact"/>
        <w:rPr>
          <w:sz w:val="20"/>
          <w:szCs w:val="20"/>
          <w:color w:val="auto"/>
        </w:rPr>
      </w:pPr>
    </w:p>
    <w:p>
      <w:pPr>
        <w:ind w:right="200" w:firstLine="405"/>
        <w:spacing w:after="0" w:line="263" w:lineRule="auto"/>
        <w:rPr>
          <w:sz w:val="20"/>
          <w:szCs w:val="20"/>
          <w:color w:val="auto"/>
        </w:rPr>
      </w:pPr>
      <w:r>
        <w:rPr>
          <w:rFonts w:ascii="Arial" w:cs="Arial" w:eastAsia="Arial" w:hAnsi="Arial"/>
          <w:sz w:val="18"/>
          <w:szCs w:val="18"/>
          <w:color w:val="auto"/>
        </w:rPr>
        <w:t>The Company classifies its mezzanine term debt facilities as long-term liabilities on the Company’s condensed consolidated balance sheets because its borrowings under these facilities are generally not required to be repaid until the applicable final maturity date. These facilities are structurally and contractually subordinated to the related asset-backed senior debt facilities.</w:t>
      </w:r>
    </w:p>
    <w:p>
      <w:pPr>
        <w:spacing w:after="0" w:line="184"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The mezzanine term debt facilities have been structured with an initial 42-month withdrawal period during which the outstanding principal amounts are generally not required to be repaid when homes financed through those facilities are sold and instead are intended to remain outstanding until final maturity. Outstanding amounts drawn under the mezzanine term debt facilities are required to be repaid on the facility maturity date or earlier if accelerated due to an event of default or other mandatory repayment event. The final maturity date and withdrawal period end date reflected in the table above are inclusive of any extensions that are at the sole discretion of the Company. These facilities may also have extensions subject to lender discretion that are not reflected in the table above.</w:t>
      </w:r>
    </w:p>
    <w:p>
      <w:pPr>
        <w:spacing w:after="0" w:line="192" w:lineRule="exact"/>
        <w:rPr>
          <w:sz w:val="20"/>
          <w:szCs w:val="20"/>
          <w:color w:val="auto"/>
        </w:rPr>
      </w:pPr>
    </w:p>
    <w:p>
      <w:pPr>
        <w:ind w:right="180" w:firstLine="405"/>
        <w:spacing w:after="0" w:line="263" w:lineRule="auto"/>
        <w:rPr>
          <w:sz w:val="20"/>
          <w:szCs w:val="20"/>
          <w:color w:val="auto"/>
        </w:rPr>
      </w:pPr>
      <w:r>
        <w:rPr>
          <w:rFonts w:ascii="Arial" w:cs="Arial" w:eastAsia="Arial" w:hAnsi="Arial"/>
          <w:sz w:val="18"/>
          <w:szCs w:val="18"/>
          <w:color w:val="auto"/>
        </w:rPr>
        <w:t>Borrowings under a given term debt facility accrue interest at a fixed rate. The mezzanine term debt facilities include upfront issuance costs that are capitalized as part of the facilities’ respective carrying values. These facilities are fully prepayable at any time but may be subject to certain prepayment penalties.</w:t>
      </w:r>
    </w:p>
    <w:p>
      <w:pPr>
        <w:spacing w:after="0" w:line="184" w:lineRule="exact"/>
        <w:rPr>
          <w:sz w:val="20"/>
          <w:szCs w:val="20"/>
          <w:color w:val="auto"/>
        </w:rPr>
      </w:pPr>
    </w:p>
    <w:p>
      <w:pPr>
        <w:ind w:right="100" w:firstLine="405"/>
        <w:spacing w:after="0" w:line="301" w:lineRule="auto"/>
        <w:rPr>
          <w:sz w:val="20"/>
          <w:szCs w:val="20"/>
          <w:color w:val="auto"/>
        </w:rPr>
      </w:pPr>
      <w:r>
        <w:rPr>
          <w:rFonts w:ascii="Arial" w:cs="Arial" w:eastAsia="Arial" w:hAnsi="Arial"/>
          <w:sz w:val="16"/>
          <w:szCs w:val="16"/>
          <w:color w:val="auto"/>
        </w:rPr>
        <w:t>The mezzanine term debt facilities have aggregated property borrowing bases, which increase or decrease based on the cost and the value of the properties financed under a given facility and time in the Company’s possession of those properties and the amount of cash collateral pledged by the relevant borrowers. The borrowing base for a given facility may be reduced as properties age or collateral performance declines beyond certain thresholds, and any borrowing base deficiencies may be satisfied through contributions of additional properties or cash or through partial repayment of the facility.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w:t>
      </w:r>
    </w:p>
    <w:p>
      <w:pPr>
        <w:spacing w:after="0" w:line="225"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 Company’s inventory financing facilities include customary representations and warranties, covenants and events of default. Financed properties are subject to customary eligibility criteria and concentration limits.</w:t>
      </w:r>
    </w:p>
    <w:p>
      <w:pPr>
        <w:spacing w:after="0" w:line="170"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The terms of these inventory financing facilities and related financing documents require an Opendoor subsidiary to comply with customary financial covenants, such as maintaining certain levels of liquidity, tangible net worth or leverage (ratio of debt to tangible net worth). Certain of these financial covenants are calculated by reference to Opendoor Labs Inc. and its consolidates subsidiaries' assets and liabilities. As a result, under certain circumstances, this may limit our flexibility to transfer assets from Opendoor subsidiaries to the Parent Company. At September 30, 2023 and December 31, 2022,</w:t>
      </w:r>
    </w:p>
    <w:p>
      <w:pPr>
        <w:spacing w:after="0" w:line="1"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$300 million and $565 million, respectively, of the Company’s net assets were restricted as they reflect minimum net asset requirements at Opendoor Labs Inc. As of September 30, 2023, the Company was in compliance with all financial covenants and no event of default had occurred.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Financing</w:t>
      </w:r>
    </w:p>
    <w:p>
      <w:pPr>
        <w:spacing w:after="0" w:line="225"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In 2022, the Company ceased providing correspondent lending or mortgage brokering services. As a result, the Company no longer requires mortgage financing and terminated its master repurchase agreement (the “Repurchase Agreement”) in October 2022.</w:t>
      </w:r>
    </w:p>
    <w:p>
      <w:pPr>
        <w:spacing w:after="0" w:line="170"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From March 2019 through its exit of mortgage lending and brokering services, the Company utilized the Repurchase Agreement to provide capital for Opendoor Home Loans. The facility, which was classified as a current liability on the Company’s condensed consolidated balance sheets, provided short-term financing between the issuance of a mortgage loan and when Opendoor Home Loans sold the loan to an investor. In accordance with the Repurchase Agreement, the lender agreed to pay Opendoor Home Loans a negotiated purchase price for eligible loans and Opendoor Home Loans simultaneously agreed to repurchase such loans from the lender within a specified timeframe and at an agreed upon price that included interest. Opendoor Labs Inc. was the guarantor with respect to the Repurchase Agreement and the obligation to repurchase loans previously transferred under the arrangement for the benefit of the lender. This financing arrangement was an important component of Opendoor Home Loans’ operations as a correspondent lender.</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25"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In August 2021, the Company issued 0.25% senior notes due in 2026 (the “2026 Notes”) with an aggregate principal amount of $978 million. The tables below summarize certain details related to the 2026 Notes (in millions, except interest rates):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Remaining Aggregate</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Unamortized Debt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0"/>
        </w:trPr>
        <w:tc>
          <w:tcPr>
            <w:tcW w:w="21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2023</w:t>
            </w: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Principal Amount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gridSpan w:val="3"/>
          </w:tcPr>
          <w:p>
            <w:pPr>
              <w:ind w:left="120"/>
              <w:spacing w:after="0"/>
              <w:rPr>
                <w:sz w:val="20"/>
                <w:szCs w:val="20"/>
                <w:color w:val="auto"/>
              </w:rPr>
            </w:pPr>
            <w:r>
              <w:rPr>
                <w:rFonts w:ascii="Arial" w:cs="Arial" w:eastAsia="Arial" w:hAnsi="Arial"/>
                <w:sz w:val="14"/>
                <w:szCs w:val="14"/>
                <w:b w:val="1"/>
                <w:bCs w:val="1"/>
                <w:color w:val="auto"/>
              </w:rPr>
              <w:t>Issuance Costs</w:t>
            </w:r>
          </w:p>
        </w:tc>
        <w:tc>
          <w:tcPr>
            <w:tcW w:w="144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Net Carrying Amount</w:t>
            </w:r>
          </w:p>
        </w:tc>
      </w:tr>
      <w:tr>
        <w:trPr>
          <w:trHeight w:val="39"/>
        </w:trPr>
        <w:tc>
          <w:tcPr>
            <w:tcW w:w="2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3"/>
        </w:trPr>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2026 Notes</w:t>
            </w: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w:t>
            </w:r>
          </w:p>
        </w:tc>
      </w:tr>
      <w:tr>
        <w:trPr>
          <w:trHeight w:val="544"/>
        </w:trPr>
        <w:tc>
          <w:tcPr>
            <w:tcW w:w="2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Stated Cash Interest</w:t>
            </w:r>
          </w:p>
        </w:tc>
        <w:tc>
          <w:tcPr>
            <w:tcW w:w="15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Effective Interest</w:t>
            </w:r>
          </w:p>
        </w:tc>
        <w:tc>
          <w:tcPr>
            <w:tcW w:w="14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Semi-Annual Interest</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3"/>
        </w:trPr>
        <w:tc>
          <w:tcPr>
            <w:tcW w:w="21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2023</w:t>
            </w:r>
          </w:p>
        </w:tc>
        <w:tc>
          <w:tcPr>
            <w:tcW w:w="1720" w:type="dxa"/>
            <w:vAlign w:val="bottom"/>
            <w:gridSpan w:val="2"/>
          </w:tcPr>
          <w:p>
            <w:pPr>
              <w:ind w:left="380"/>
              <w:spacing w:after="0"/>
              <w:rPr>
                <w:sz w:val="20"/>
                <w:szCs w:val="20"/>
                <w:color w:val="auto"/>
              </w:rPr>
            </w:pPr>
            <w:r>
              <w:rPr>
                <w:rFonts w:ascii="Arial" w:cs="Arial" w:eastAsia="Arial" w:hAnsi="Arial"/>
                <w:sz w:val="14"/>
                <w:szCs w:val="14"/>
                <w:b w:val="1"/>
                <w:bCs w:val="1"/>
                <w:color w:val="auto"/>
              </w:rPr>
              <w:t>Maturity Date</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Rate</w:t>
            </w:r>
          </w:p>
        </w:tc>
        <w:tc>
          <w:tcPr>
            <w:tcW w:w="15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8"/>
              </w:rPr>
              <w:t>Rate</w:t>
            </w:r>
          </w:p>
        </w:tc>
        <w:tc>
          <w:tcPr>
            <w:tcW w:w="14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Payment Dates</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gridSpan w:val="3"/>
          </w:tcPr>
          <w:p>
            <w:pPr>
              <w:ind w:left="120"/>
              <w:spacing w:after="0"/>
              <w:rPr>
                <w:sz w:val="20"/>
                <w:szCs w:val="20"/>
                <w:color w:val="auto"/>
              </w:rPr>
            </w:pPr>
            <w:r>
              <w:rPr>
                <w:rFonts w:ascii="Arial" w:cs="Arial" w:eastAsia="Arial" w:hAnsi="Arial"/>
                <w:sz w:val="14"/>
                <w:szCs w:val="14"/>
                <w:b w:val="1"/>
                <w:bCs w:val="1"/>
                <w:color w:val="auto"/>
              </w:rPr>
              <w:t>Conversion Rate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76"/>
              <w:spacing w:after="0"/>
              <w:rPr>
                <w:sz w:val="20"/>
                <w:szCs w:val="20"/>
                <w:color w:val="auto"/>
              </w:rPr>
            </w:pPr>
            <w:r>
              <w:rPr>
                <w:rFonts w:ascii="Arial" w:cs="Arial" w:eastAsia="Arial" w:hAnsi="Arial"/>
                <w:sz w:val="14"/>
                <w:szCs w:val="14"/>
                <w:b w:val="1"/>
                <w:bCs w:val="1"/>
                <w:color w:val="auto"/>
                <w:w w:val="93"/>
              </w:rPr>
              <w:t>Conversion Price</w:t>
            </w:r>
          </w:p>
        </w:tc>
      </w:tr>
      <w:tr>
        <w:trPr>
          <w:trHeight w:val="39"/>
        </w:trPr>
        <w:tc>
          <w:tcPr>
            <w:tcW w:w="2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22"/>
        </w:trPr>
        <w:tc>
          <w:tcPr>
            <w:tcW w:w="2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February 15;</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 Notes</w:t>
            </w:r>
          </w:p>
        </w:tc>
        <w:tc>
          <w:tcPr>
            <w:tcW w:w="1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7"/>
              </w:rPr>
              <w:t>August 15, 2026</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0.25 %</w:t>
            </w: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0.78 %</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August 15</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51.9926</w:t>
            </w:r>
          </w:p>
        </w:tc>
        <w:tc>
          <w:tcPr>
            <w:tcW w:w="60" w:type="dxa"/>
            <w:vAlign w:val="bottom"/>
            <w:shd w:val="clear" w:color="auto" w:fill="CCEEFF"/>
          </w:tcPr>
          <w:p>
            <w:pPr>
              <w:spacing w:after="0"/>
              <w:rPr>
                <w:sz w:val="20"/>
                <w:szCs w:val="20"/>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w:t>
            </w:r>
          </w:p>
        </w:tc>
      </w:tr>
      <w:tr>
        <w:trPr>
          <w:trHeight w:val="27"/>
        </w:trPr>
        <w:tc>
          <w:tcPr>
            <w:tcW w:w="2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ind w:right="100" w:firstLine="405"/>
        <w:spacing w:after="0" w:line="271" w:lineRule="auto"/>
        <w:rPr>
          <w:sz w:val="20"/>
          <w:szCs w:val="20"/>
          <w:color w:val="auto"/>
        </w:rPr>
      </w:pPr>
      <w:r>
        <w:rPr>
          <w:rFonts w:ascii="Arial" w:cs="Arial" w:eastAsia="Arial" w:hAnsi="Arial"/>
          <w:sz w:val="17"/>
          <w:szCs w:val="17"/>
          <w:color w:val="auto"/>
        </w:rPr>
        <w:t>The 2026 Notes will be convertible at the option of the holders before February 15, 2026 only upon the occurrence of certain events. Beginning on August 20, 2024, the Company has the option to redeem the 2026 Notes upon meeting certain conditions related to price of the Company's common stock. Beginning on February 15, 2026 and until the close of business on the second scheduled trading day immediately preceding the maturity date, the 2026 Notes are convertible at any time at election of each holder. The conversion rate and conversion price are subject to customary adjustments under certain circumstances. In addition, if certain corporate events that constitute a make-whole fundamental change occur, then the conversion rate will be adjusted in accordance with the make-whole table within the Indenture. Upon conversion, the Company may satisfy its obligation by paying cash for the outstanding principal balance, and, a combination of cash and the Company's common stock, at the Company's election, for the remaining amount, if any, based on the applicable conversion rate.</w:t>
      </w:r>
    </w:p>
    <w:p>
      <w:pPr>
        <w:spacing w:after="0" w:line="178"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In March 2023, the Company entered into separate, privately negotiated transactions to repurchase a portion of the outstanding 2026 Notes (“Repurchased 2026 Notes”). The holders of the Repurchased 2026 Notes exchanged $189 million in aggregate principal amount for an aggregate payment of $101 million in cash for full settlement of the principal value and accrued interest on such date. The Company accounted for the repurchase as a debt extinguishment. Accordingly, on the repurchase date, the Company: (i) reduced the carrying value of the Repurchased 2026 Notes by $189 million, (ii) reduced outstanding deferred issuance costs by $3 million, (iii) incurred fees of $1 million and (iv) recorded $84 million of gain on debt extinguishment. The Company elected to leave the Capped Calls associated with the Repurchased 2026 Notes outstanding.</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May 2023, the Company entered into separate, privately negotiated transactions to repurchase a portion of the outstanding 2026 Notes (“Additional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Repurchased 2026 Notes”). The holders of the Additional Repurchased 2026 Notes exchanged $279 million in aggregate principal amount for an aggregate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 of $169 million in cash for full settlement of the principal value and accrued interest on such date. The Company accounted for the repurchase as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debt extinguishment. Accordingly, on the repurchase date, the Company: (i) reduced the carrying value of the Additional Repurchased 2026 Notes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$279 million, (ii) reduced outstanding deferred issuance costs by $5 million, (iii) incurred fees of $1 million and (iv) recorded $104 million of gain on debt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extinguishment. The Company elected to leave the Capped Calls associated with the Additional Repurchased 2026 Notes outstanding.</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For the three and nine months ended September 30, 2023, total interest expense on the Company's convertible senior notes was $1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 million, respectively. For the three and nine months ended September 30, 2022, total interest expense on the Company's convertible senior notes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 million and $6 million,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Capped Calls</w:t>
      </w:r>
    </w:p>
    <w:p>
      <w:pPr>
        <w:spacing w:after="0" w:line="22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In August 2021, in connection with the issuance of the 2026 Notes, the Company purchased capped calls (the “Capped Calls”) from certain financial institutions at a cost of $119 million. The Capped Calls cover, subject to customary adjustments, the number of shares of the Company's common stock underlying the 2026 Notes. By entering into the Capped Calls, the Company expects to reduce the potential dilution to its common stock (or, in the event of a conversion of the 2026 Notes settled</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3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OPENDOOR TECHNOLOGIES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cash, to reduce its cash payment obligation) in the event that at the time of conversion of the 2026 Notes its common stock price exceeds the conversion price. The Capped Calls have an initial strike price of $19.23 per share and an initial cap price of $29.59 per share or a cap price premium of 100%.</w:t>
      </w:r>
    </w:p>
    <w:p>
      <w:pPr>
        <w:spacing w:after="0" w:line="120" w:lineRule="exact"/>
        <w:rPr>
          <w:sz w:val="20"/>
          <w:szCs w:val="20"/>
          <w:color w:val="auto"/>
        </w:rPr>
      </w:pPr>
    </w:p>
    <w:p>
      <w:pPr>
        <w:ind w:left="420" w:hanging="412"/>
        <w:spacing w:after="0"/>
        <w:tabs>
          <w:tab w:leader="none" w:pos="4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DISCLOSURES</w:t>
      </w:r>
    </w:p>
    <w:p>
      <w:pPr>
        <w:spacing w:after="0" w:line="229"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6"/>
          <w:szCs w:val="16"/>
          <w:color w:val="auto"/>
        </w:rPr>
        <w:t>The Company uses fair value measurements to record fair value adjustments to certain assets and liabilities and to determine fair value disclosures.</w:t>
      </w:r>
    </w:p>
    <w:p>
      <w:pPr>
        <w:spacing w:after="0" w:line="248"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Following is a discussion of the fair value hierarchy and the valuation methodologies used for assets and liabilities recorded at fair value on a recurring and nonrecurring basis and for estimating fair value for financial instruments not recorded at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Fair value measurements of assets and liabilities are categorized based on the following hierarchy:</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 xml:space="preserve">Level 1 — </w:t>
      </w:r>
      <w:r>
        <w:rPr>
          <w:rFonts w:ascii="Arial" w:cs="Arial" w:eastAsia="Arial" w:hAnsi="Arial"/>
          <w:sz w:val="18"/>
          <w:szCs w:val="18"/>
          <w:color w:val="auto"/>
        </w:rPr>
        <w:t>Fair value determined based on quoted prices in active markets for identical assets or liabilities.</w:t>
      </w:r>
    </w:p>
    <w:p>
      <w:pPr>
        <w:spacing w:after="0" w:line="225" w:lineRule="exact"/>
        <w:rPr>
          <w:sz w:val="20"/>
          <w:szCs w:val="20"/>
          <w:color w:val="auto"/>
        </w:rPr>
      </w:pPr>
    </w:p>
    <w:p>
      <w:pPr>
        <w:ind w:right="140" w:firstLine="405"/>
        <w:spacing w:after="0" w:line="263" w:lineRule="auto"/>
        <w:rPr>
          <w:sz w:val="20"/>
          <w:szCs w:val="20"/>
          <w:color w:val="auto"/>
        </w:rPr>
      </w:pPr>
      <w:r>
        <w:rPr>
          <w:rFonts w:ascii="Arial" w:cs="Arial" w:eastAsia="Arial" w:hAnsi="Arial"/>
          <w:sz w:val="18"/>
          <w:szCs w:val="18"/>
          <w:b w:val="1"/>
          <w:bCs w:val="1"/>
          <w:i w:val="1"/>
          <w:iCs w:val="1"/>
          <w:color w:val="auto"/>
        </w:rPr>
        <w:t xml:space="preserve">Level 2 — </w:t>
      </w:r>
      <w:r>
        <w:rPr>
          <w:rFonts w:ascii="Arial" w:cs="Arial" w:eastAsia="Arial" w:hAnsi="Arial"/>
          <w:sz w:val="18"/>
          <w:szCs w:val="18"/>
          <w:color w:val="auto"/>
        </w:rPr>
        <w:t>Fair value determined using significant observable inputs, such as quoted prices for similar assets or liabilities or quoted prices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identical or similar assets or liabilities in markets that are not active, inputs other than quoted prices that are observable for the asset or liability, or inputs that are derived principally from or corroborated by observable market data, by correlation or other means.</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 xml:space="preserve">Level 3 — </w:t>
      </w:r>
      <w:r>
        <w:rPr>
          <w:rFonts w:ascii="Arial" w:cs="Arial" w:eastAsia="Arial" w:hAnsi="Arial"/>
          <w:sz w:val="17"/>
          <w:szCs w:val="17"/>
          <w:color w:val="auto"/>
        </w:rPr>
        <w:t>Fair value determined using significant unobservable inputs, such as pricing models, discounted cash flows, or similar techniques.</w:t>
      </w:r>
    </w:p>
    <w:p>
      <w:pPr>
        <w:spacing w:after="0" w:line="200" w:lineRule="exact"/>
        <w:rPr>
          <w:sz w:val="20"/>
          <w:szCs w:val="20"/>
          <w:color w:val="auto"/>
        </w:rPr>
      </w:pPr>
    </w:p>
    <w:p>
      <w:pPr>
        <w:spacing w:after="0" w:line="3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9" w:right="4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Estimation of Fair Value</w:t>
      </w:r>
    </w:p>
    <w:p>
      <w:pPr>
        <w:spacing w:after="0" w:line="225"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following table summarizes the fair value measurement methodologies, including significant inputs and assumptions, and classification of the Company’s assets and liabilities.</w:t>
      </w:r>
    </w:p>
    <w:p>
      <w:pPr>
        <w:sectPr>
          <w:pgSz w:w="11900" w:h="16838" w:orient="portrait"/>
          <w:cols w:equalWidth="0" w:num="1">
            <w:col w:w="11240"/>
          </w:cols>
          <w:pgMar w:left="320" w:top="139" w:right="339" w:bottom="1440" w:gutter="0" w:footer="0" w:header="0"/>
        </w:sect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20" w:type="dxa"/>
            <w:vAlign w:val="bottom"/>
          </w:tcPr>
          <w:p>
            <w:pPr>
              <w:ind w:left="20"/>
              <w:spacing w:after="0"/>
              <w:rPr>
                <w:sz w:val="20"/>
                <w:szCs w:val="20"/>
                <w:color w:val="auto"/>
              </w:rPr>
            </w:pPr>
            <w:r>
              <w:rPr>
                <w:rFonts w:ascii="Arial" w:cs="Arial" w:eastAsia="Arial" w:hAnsi="Arial"/>
                <w:sz w:val="14"/>
                <w:szCs w:val="14"/>
                <w:b w:val="1"/>
                <w:bCs w:val="1"/>
                <w:color w:val="auto"/>
              </w:rPr>
              <w:t>Valuation Methodology, Inputs and</w:t>
            </w:r>
          </w:p>
        </w:tc>
      </w:tr>
      <w:tr>
        <w:trPr>
          <w:trHeight w:val="213"/>
        </w:trPr>
        <w:tc>
          <w:tcPr>
            <w:tcW w:w="3800" w:type="dxa"/>
            <w:vAlign w:val="bottom"/>
            <w:gridSpan w:val="2"/>
          </w:tcPr>
          <w:p>
            <w:pPr>
              <w:ind w:left="20"/>
              <w:spacing w:after="0"/>
              <w:rPr>
                <w:sz w:val="20"/>
                <w:szCs w:val="20"/>
                <w:color w:val="auto"/>
              </w:rPr>
            </w:pPr>
            <w:r>
              <w:rPr>
                <w:rFonts w:ascii="Arial" w:cs="Arial" w:eastAsia="Arial" w:hAnsi="Arial"/>
                <w:sz w:val="14"/>
                <w:szCs w:val="14"/>
                <w:b w:val="1"/>
                <w:bCs w:val="1"/>
                <w:color w:val="auto"/>
              </w:rPr>
              <w:t>Asset/Liability Class</w:t>
            </w:r>
          </w:p>
        </w:tc>
        <w:tc>
          <w:tcPr>
            <w:tcW w:w="3720" w:type="dxa"/>
            <w:vAlign w:val="bottom"/>
          </w:tcPr>
          <w:p>
            <w:pPr>
              <w:ind w:left="20"/>
              <w:spacing w:after="0"/>
              <w:rPr>
                <w:sz w:val="20"/>
                <w:szCs w:val="20"/>
                <w:color w:val="auto"/>
              </w:rPr>
            </w:pPr>
            <w:r>
              <w:rPr>
                <w:rFonts w:ascii="Arial" w:cs="Arial" w:eastAsia="Arial" w:hAnsi="Arial"/>
                <w:sz w:val="14"/>
                <w:szCs w:val="14"/>
                <w:b w:val="1"/>
                <w:bCs w:val="1"/>
                <w:color w:val="auto"/>
              </w:rPr>
              <w:t>Assumptions</w:t>
            </w:r>
          </w:p>
        </w:tc>
      </w:tr>
      <w:tr>
        <w:trPr>
          <w:trHeight w:val="39"/>
        </w:trPr>
        <w:tc>
          <w:tcPr>
            <w:tcW w:w="3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720" w:type="dxa"/>
            <w:vAlign w:val="bottom"/>
            <w:tcBorders>
              <w:bottom w:val="single" w:sz="8" w:color="auto"/>
            </w:tcBorders>
          </w:tcPr>
          <w:p>
            <w:pPr>
              <w:spacing w:after="0"/>
              <w:rPr>
                <w:sz w:val="3"/>
                <w:szCs w:val="3"/>
                <w:color w:val="auto"/>
              </w:rPr>
            </w:pPr>
          </w:p>
        </w:tc>
      </w:tr>
      <w:tr>
        <w:trPr>
          <w:trHeight w:val="222"/>
        </w:trPr>
        <w:tc>
          <w:tcPr>
            <w:tcW w:w="380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3720" w:type="dxa"/>
            <w:vAlign w:val="bottom"/>
          </w:tcPr>
          <w:p>
            <w:pPr>
              <w:ind w:left="20"/>
              <w:spacing w:after="0"/>
              <w:rPr>
                <w:sz w:val="20"/>
                <w:szCs w:val="20"/>
                <w:color w:val="auto"/>
              </w:rPr>
            </w:pPr>
            <w:r>
              <w:rPr>
                <w:rFonts w:ascii="Arial" w:cs="Arial" w:eastAsia="Arial" w:hAnsi="Arial"/>
                <w:sz w:val="18"/>
                <w:szCs w:val="18"/>
                <w:color w:val="auto"/>
              </w:rPr>
              <w:t>Carrying value is a reasonable estimate of fair</w:t>
            </w:r>
          </w:p>
        </w:tc>
      </w:tr>
      <w:tr>
        <w:trPr>
          <w:trHeight w:val="216"/>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value based on the short-term nature of the</w:t>
            </w:r>
          </w:p>
        </w:tc>
      </w:tr>
      <w:tr>
        <w:trPr>
          <w:trHeight w:val="230"/>
        </w:trPr>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instruments.</w:t>
            </w:r>
          </w:p>
        </w:tc>
      </w:tr>
      <w:tr>
        <w:trPr>
          <w:trHeight w:val="256"/>
        </w:trPr>
        <w:tc>
          <w:tcPr>
            <w:tcW w:w="3800" w:type="dxa"/>
            <w:vAlign w:val="bottom"/>
            <w:gridSpan w:val="2"/>
          </w:tcPr>
          <w:p>
            <w:pPr>
              <w:ind w:left="20"/>
              <w:spacing w:after="0"/>
              <w:rPr>
                <w:sz w:val="20"/>
                <w:szCs w:val="20"/>
                <w:color w:val="auto"/>
              </w:rPr>
            </w:pPr>
            <w:r>
              <w:rPr>
                <w:rFonts w:ascii="Arial" w:cs="Arial" w:eastAsia="Arial" w:hAnsi="Arial"/>
                <w:sz w:val="18"/>
                <w:szCs w:val="18"/>
                <w:b w:val="1"/>
                <w:bCs w:val="1"/>
                <w:color w:val="auto"/>
              </w:rPr>
              <w:t>Restricted cash</w:t>
            </w:r>
          </w:p>
        </w:tc>
        <w:tc>
          <w:tcPr>
            <w:tcW w:w="3720" w:type="dxa"/>
            <w:vAlign w:val="bottom"/>
          </w:tcPr>
          <w:p>
            <w:pPr>
              <w:ind w:left="20"/>
              <w:spacing w:after="0"/>
              <w:rPr>
                <w:sz w:val="20"/>
                <w:szCs w:val="20"/>
                <w:color w:val="auto"/>
              </w:rPr>
            </w:pPr>
            <w:r>
              <w:rPr>
                <w:rFonts w:ascii="Arial" w:cs="Arial" w:eastAsia="Arial" w:hAnsi="Arial"/>
                <w:sz w:val="18"/>
                <w:szCs w:val="18"/>
                <w:color w:val="auto"/>
              </w:rPr>
              <w:t>Carrying value is a reasonable estimate of fair</w:t>
            </w:r>
          </w:p>
        </w:tc>
      </w:tr>
      <w:tr>
        <w:trPr>
          <w:trHeight w:val="216"/>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value based on the short-term nature of the</w:t>
            </w:r>
          </w:p>
        </w:tc>
      </w:tr>
      <w:tr>
        <w:trPr>
          <w:trHeight w:val="230"/>
        </w:trPr>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instruments.</w:t>
            </w:r>
          </w:p>
        </w:tc>
      </w:tr>
      <w:tr>
        <w:trPr>
          <w:trHeight w:val="270"/>
        </w:trPr>
        <w:tc>
          <w:tcPr>
            <w:tcW w:w="3800" w:type="dxa"/>
            <w:vAlign w:val="bottom"/>
            <w:gridSpan w:val="2"/>
          </w:tcPr>
          <w:p>
            <w:pPr>
              <w:ind w:left="20"/>
              <w:spacing w:after="0"/>
              <w:rPr>
                <w:sz w:val="20"/>
                <w:szCs w:val="20"/>
                <w:color w:val="auto"/>
              </w:rPr>
            </w:pPr>
            <w:r>
              <w:rPr>
                <w:rFonts w:ascii="Arial" w:cs="Arial" w:eastAsia="Arial" w:hAnsi="Arial"/>
                <w:sz w:val="18"/>
                <w:szCs w:val="18"/>
                <w:b w:val="1"/>
                <w:bCs w:val="1"/>
                <w:color w:val="auto"/>
              </w:rPr>
              <w:t>Marketable securities</w:t>
            </w:r>
          </w:p>
        </w:tc>
        <w:tc>
          <w:tcPr>
            <w:tcW w:w="3720" w:type="dxa"/>
            <w:vAlign w:val="bottom"/>
          </w:tcPr>
          <w:p>
            <w:pPr>
              <w:spacing w:after="0"/>
              <w:rPr>
                <w:sz w:val="23"/>
                <w:szCs w:val="23"/>
                <w:color w:val="auto"/>
              </w:rPr>
            </w:pPr>
          </w:p>
        </w:tc>
      </w:tr>
      <w:tr>
        <w:trPr>
          <w:trHeight w:val="256"/>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Debt securities</w:t>
            </w:r>
          </w:p>
        </w:tc>
        <w:tc>
          <w:tcPr>
            <w:tcW w:w="3720" w:type="dxa"/>
            <w:vAlign w:val="bottom"/>
          </w:tcPr>
          <w:p>
            <w:pPr>
              <w:ind w:left="20"/>
              <w:spacing w:after="0"/>
              <w:rPr>
                <w:sz w:val="20"/>
                <w:szCs w:val="20"/>
                <w:color w:val="auto"/>
              </w:rPr>
            </w:pPr>
            <w:r>
              <w:rPr>
                <w:rFonts w:ascii="Arial" w:cs="Arial" w:eastAsia="Arial" w:hAnsi="Arial"/>
                <w:sz w:val="18"/>
                <w:szCs w:val="18"/>
                <w:color w:val="auto"/>
              </w:rPr>
              <w:t>Prices obtained from third-party vendors that</w:t>
            </w:r>
          </w:p>
        </w:tc>
      </w:tr>
      <w:tr>
        <w:trPr>
          <w:trHeight w:val="216"/>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compile prices from various sources and often</w:t>
            </w:r>
          </w:p>
        </w:tc>
      </w:tr>
      <w:tr>
        <w:trPr>
          <w:trHeight w:val="216"/>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w w:val="93"/>
              </w:rPr>
              <w:t>apply matrix pricing for similar securities when no</w:t>
            </w:r>
          </w:p>
        </w:tc>
      </w:tr>
      <w:tr>
        <w:trPr>
          <w:trHeight w:val="230"/>
        </w:trPr>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price is observable.</w:t>
            </w:r>
          </w:p>
        </w:tc>
      </w:tr>
      <w:tr>
        <w:trPr>
          <w:trHeight w:val="256"/>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Equity securities</w:t>
            </w:r>
          </w:p>
        </w:tc>
        <w:tc>
          <w:tcPr>
            <w:tcW w:w="3720" w:type="dxa"/>
            <w:vAlign w:val="bottom"/>
          </w:tcPr>
          <w:p>
            <w:pPr>
              <w:ind w:left="20"/>
              <w:spacing w:after="0"/>
              <w:rPr>
                <w:sz w:val="20"/>
                <w:szCs w:val="20"/>
                <w:color w:val="auto"/>
              </w:rPr>
            </w:pPr>
            <w:r>
              <w:rPr>
                <w:rFonts w:ascii="Arial" w:cs="Arial" w:eastAsia="Arial" w:hAnsi="Arial"/>
                <w:sz w:val="18"/>
                <w:szCs w:val="18"/>
                <w:color w:val="auto"/>
                <w:w w:val="94"/>
              </w:rPr>
              <w:t>Price is quoted given the securities are traded on</w:t>
            </w:r>
          </w:p>
        </w:tc>
      </w:tr>
      <w:tr>
        <w:trPr>
          <w:trHeight w:val="230"/>
        </w:trPr>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an exchange.</w:t>
            </w:r>
          </w:p>
        </w:tc>
      </w:tr>
      <w:tr>
        <w:trPr>
          <w:trHeight w:val="270"/>
        </w:trPr>
        <w:tc>
          <w:tcPr>
            <w:tcW w:w="380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current assets</w:t>
            </w:r>
          </w:p>
        </w:tc>
        <w:tc>
          <w:tcPr>
            <w:tcW w:w="3720" w:type="dxa"/>
            <w:vAlign w:val="bottom"/>
          </w:tcPr>
          <w:p>
            <w:pPr>
              <w:spacing w:after="0"/>
              <w:rPr>
                <w:sz w:val="23"/>
                <w:szCs w:val="23"/>
                <w:color w:val="auto"/>
              </w:rPr>
            </w:pPr>
          </w:p>
        </w:tc>
      </w:tr>
      <w:tr>
        <w:trPr>
          <w:trHeight w:val="256"/>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Mortgage loans held for sale</w:t>
            </w:r>
          </w:p>
        </w:tc>
        <w:tc>
          <w:tcPr>
            <w:tcW w:w="3720" w:type="dxa"/>
            <w:vAlign w:val="bottom"/>
          </w:tcPr>
          <w:p>
            <w:pPr>
              <w:ind w:left="20"/>
              <w:spacing w:after="0"/>
              <w:rPr>
                <w:sz w:val="20"/>
                <w:szCs w:val="20"/>
                <w:color w:val="auto"/>
              </w:rPr>
            </w:pPr>
            <w:r>
              <w:rPr>
                <w:rFonts w:ascii="Arial" w:cs="Arial" w:eastAsia="Arial" w:hAnsi="Arial"/>
                <w:sz w:val="18"/>
                <w:szCs w:val="18"/>
                <w:color w:val="auto"/>
                <w:w w:val="89"/>
              </w:rPr>
              <w:t>Fair value is estimated based on observable market</w:t>
            </w:r>
          </w:p>
        </w:tc>
      </w:tr>
      <w:tr>
        <w:trPr>
          <w:trHeight w:val="216"/>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w w:val="91"/>
              </w:rPr>
              <w:t>data including quoted market prices and deal price</w:t>
            </w:r>
          </w:p>
        </w:tc>
      </w:tr>
      <w:tr>
        <w:trPr>
          <w:trHeight w:val="230"/>
        </w:trPr>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quotes.</w:t>
            </w:r>
          </w:p>
        </w:tc>
      </w:tr>
      <w:tr>
        <w:trPr>
          <w:trHeight w:val="270"/>
        </w:trPr>
        <w:tc>
          <w:tcPr>
            <w:tcW w:w="3800" w:type="dxa"/>
            <w:vAlign w:val="bottom"/>
            <w:gridSpan w:val="2"/>
          </w:tcPr>
          <w:p>
            <w:pPr>
              <w:ind w:left="20"/>
              <w:spacing w:after="0"/>
              <w:rPr>
                <w:sz w:val="20"/>
                <w:szCs w:val="20"/>
                <w:color w:val="auto"/>
              </w:rPr>
            </w:pPr>
            <w:r>
              <w:rPr>
                <w:rFonts w:ascii="Arial" w:cs="Arial" w:eastAsia="Arial" w:hAnsi="Arial"/>
                <w:sz w:val="18"/>
                <w:szCs w:val="18"/>
                <w:b w:val="1"/>
                <w:bCs w:val="1"/>
                <w:color w:val="auto"/>
              </w:rPr>
              <w:t>Non-recourse asset-backed debt</w:t>
            </w:r>
          </w:p>
        </w:tc>
        <w:tc>
          <w:tcPr>
            <w:tcW w:w="3720" w:type="dxa"/>
            <w:vAlign w:val="bottom"/>
          </w:tcPr>
          <w:p>
            <w:pPr>
              <w:spacing w:after="0"/>
              <w:rPr>
                <w:sz w:val="23"/>
                <w:szCs w:val="23"/>
                <w:color w:val="auto"/>
              </w:rPr>
            </w:pPr>
          </w:p>
        </w:tc>
      </w:tr>
      <w:tr>
        <w:trPr>
          <w:trHeight w:val="256"/>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Credit facilities</w:t>
            </w:r>
          </w:p>
        </w:tc>
        <w:tc>
          <w:tcPr>
            <w:tcW w:w="3720" w:type="dxa"/>
            <w:vAlign w:val="bottom"/>
          </w:tcPr>
          <w:p>
            <w:pPr>
              <w:ind w:left="20"/>
              <w:spacing w:after="0"/>
              <w:rPr>
                <w:sz w:val="20"/>
                <w:szCs w:val="20"/>
                <w:color w:val="auto"/>
              </w:rPr>
            </w:pPr>
            <w:r>
              <w:rPr>
                <w:rFonts w:ascii="Arial" w:cs="Arial" w:eastAsia="Arial" w:hAnsi="Arial"/>
                <w:sz w:val="18"/>
                <w:szCs w:val="18"/>
                <w:color w:val="auto"/>
              </w:rPr>
              <w:t>Fair value is estimated using discounted cash</w:t>
            </w:r>
          </w:p>
        </w:tc>
      </w:tr>
      <w:tr>
        <w:trPr>
          <w:trHeight w:val="216"/>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w w:val="98"/>
              </w:rPr>
              <w:t>flows based on current lending rates for similar</w:t>
            </w:r>
          </w:p>
        </w:tc>
      </w:tr>
      <w:tr>
        <w:trPr>
          <w:trHeight w:val="216"/>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w w:val="97"/>
              </w:rPr>
              <w:t>credit facilities with similar terms and remaining</w:t>
            </w:r>
          </w:p>
        </w:tc>
      </w:tr>
      <w:tr>
        <w:trPr>
          <w:trHeight w:val="230"/>
        </w:trPr>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time to maturity.</w:t>
            </w:r>
          </w:p>
        </w:tc>
      </w:tr>
      <w:tr>
        <w:trPr>
          <w:trHeight w:val="256"/>
        </w:trPr>
        <w:tc>
          <w:tcPr>
            <w:tcW w:w="3800" w:type="dxa"/>
            <w:vAlign w:val="bottom"/>
            <w:gridSpan w:val="2"/>
          </w:tcPr>
          <w:p>
            <w:pPr>
              <w:ind w:left="20"/>
              <w:spacing w:after="0"/>
              <w:rPr>
                <w:sz w:val="20"/>
                <w:szCs w:val="20"/>
                <w:color w:val="auto"/>
              </w:rPr>
            </w:pPr>
            <w:r>
              <w:rPr>
                <w:rFonts w:ascii="Arial" w:cs="Arial" w:eastAsia="Arial" w:hAnsi="Arial"/>
                <w:sz w:val="18"/>
                <w:szCs w:val="18"/>
                <w:b w:val="1"/>
                <w:bCs w:val="1"/>
                <w:color w:val="auto"/>
              </w:rPr>
              <w:t>Convertible senior notes</w:t>
            </w:r>
          </w:p>
        </w:tc>
        <w:tc>
          <w:tcPr>
            <w:tcW w:w="3720" w:type="dxa"/>
            <w:vAlign w:val="bottom"/>
          </w:tcPr>
          <w:p>
            <w:pPr>
              <w:ind w:left="20"/>
              <w:spacing w:after="0"/>
              <w:rPr>
                <w:sz w:val="20"/>
                <w:szCs w:val="20"/>
                <w:color w:val="auto"/>
              </w:rPr>
            </w:pPr>
            <w:r>
              <w:rPr>
                <w:rFonts w:ascii="Arial" w:cs="Arial" w:eastAsia="Arial" w:hAnsi="Arial"/>
                <w:sz w:val="18"/>
                <w:szCs w:val="18"/>
                <w:color w:val="auto"/>
                <w:w w:val="97"/>
              </w:rPr>
              <w:t>Fair value is estimated using broker quotes and</w:t>
            </w:r>
          </w:p>
        </w:tc>
      </w:tr>
      <w:tr>
        <w:trPr>
          <w:trHeight w:val="230"/>
        </w:trPr>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other observable market inputs.</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Recorded at Fair Value on a Recurring Basis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230568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Level 1 estimated fair value measurement.</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Level 1 estimated fair value measurement.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color w:val="auto"/>
        </w:rPr>
        <w:t>Level 2 recurring fair value measurement.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Level 1 recurring fair value measurement.</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Level 2 recurring fair value 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Carried at amortized cost.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Level 2 estimated fair value measurement.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Carried at amortized cost.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Level 2 estimated fair value measurement.</w:t>
      </w:r>
    </w:p>
    <w:p>
      <w:pPr>
        <w:spacing w:after="0" w:line="762" w:lineRule="exact"/>
        <w:rPr>
          <w:sz w:val="20"/>
          <w:szCs w:val="20"/>
          <w:color w:val="auto"/>
        </w:rPr>
      </w:pPr>
    </w:p>
    <w:p>
      <w:pPr>
        <w:sectPr>
          <w:pgSz w:w="11900" w:h="16838" w:orient="portrait"/>
          <w:cols w:equalWidth="0" w:num="2">
            <w:col w:w="7520" w:space="100"/>
            <w:col w:w="3620"/>
          </w:cols>
          <w:pgMar w:left="320" w:top="139" w:right="339" w:bottom="1440" w:gutter="0" w:footer="0" w:header="0"/>
          <w:type w:val="continuous"/>
        </w:sectPr>
      </w:pPr>
    </w:p>
    <w:p>
      <w:pPr>
        <w:spacing w:after="0" w:line="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tables present the levels of the fair value hierarchy for the Company’s assets measured at fair value on a recurring basis (in millions):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Balance at Fair</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740" w:type="dxa"/>
            <w:vAlign w:val="bottom"/>
          </w:tcPr>
          <w:p>
            <w:pPr>
              <w:ind w:left="20"/>
              <w:spacing w:after="0"/>
              <w:rPr>
                <w:sz w:val="20"/>
                <w:szCs w:val="20"/>
                <w:color w:val="auto"/>
              </w:rPr>
            </w:pPr>
            <w:r>
              <w:rPr>
                <w:rFonts w:ascii="Arial" w:cs="Arial" w:eastAsia="Arial" w:hAnsi="Arial"/>
                <w:sz w:val="14"/>
                <w:szCs w:val="14"/>
                <w:b w:val="1"/>
                <w:bCs w:val="1"/>
                <w:color w:val="auto"/>
              </w:rPr>
              <w:t>September 30, 2023</w:t>
            </w: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240" w:type="dxa"/>
            <w:vAlign w:val="bottom"/>
          </w:tcPr>
          <w:p>
            <w:pPr>
              <w:spacing w:after="0"/>
              <w:rPr>
                <w:sz w:val="17"/>
                <w:szCs w:val="17"/>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7"/>
                <w:szCs w:val="17"/>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7"/>
                <w:szCs w:val="17"/>
                <w:color w:val="auto"/>
              </w:rPr>
            </w:pPr>
          </w:p>
        </w:tc>
        <w:tc>
          <w:tcPr>
            <w:tcW w:w="1000" w:type="dxa"/>
            <w:vAlign w:val="bottom"/>
          </w:tcPr>
          <w:p>
            <w:pPr>
              <w:ind w:left="1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39"/>
        </w:trPr>
        <w:tc>
          <w:tcPr>
            <w:tcW w:w="3740" w:type="dxa"/>
            <w:vAlign w:val="bottom"/>
            <w:tcBorders>
              <w:bottom w:val="single" w:sz="8" w:color="auto"/>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2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140"/>
              <w:spacing w:after="0"/>
              <w:rPr>
                <w:sz w:val="20"/>
                <w:szCs w:val="20"/>
                <w:color w:val="auto"/>
              </w:rPr>
            </w:pPr>
            <w:r>
              <w:rPr>
                <w:rFonts w:ascii="Arial" w:cs="Arial" w:eastAsia="Arial" w:hAnsi="Arial"/>
                <w:sz w:val="18"/>
                <w:szCs w:val="18"/>
                <w:color w:val="auto"/>
              </w:rPr>
              <w:t>Corporate debt securities</w:t>
            </w:r>
          </w:p>
        </w:tc>
        <w:tc>
          <w:tcPr>
            <w:tcW w:w="2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Equity securities</w:t>
            </w:r>
          </w:p>
        </w:tc>
        <w:tc>
          <w:tcPr>
            <w:tcW w:w="2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7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180" w:type="dxa"/>
            <w:vAlign w:val="bottom"/>
            <w:gridSpan w:val="2"/>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2080" w:type="dxa"/>
            <w:vAlign w:val="bottom"/>
            <w:vMerge w:val="restart"/>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374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740" w:type="dxa"/>
            <w:vAlign w:val="bottom"/>
            <w:tcBorders>
              <w:bottom w:val="single" w:sz="8" w:color="9A9A9A"/>
            </w:tcBorders>
          </w:tcPr>
          <w:p>
            <w:pPr>
              <w:spacing w:after="0"/>
              <w:rPr>
                <w:sz w:val="11"/>
                <w:szCs w:val="11"/>
                <w:color w:val="auto"/>
              </w:rPr>
            </w:pPr>
          </w:p>
        </w:tc>
        <w:tc>
          <w:tcPr>
            <w:tcW w:w="20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Balance at Fair</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6"/>
        </w:trPr>
        <w:tc>
          <w:tcPr>
            <w:tcW w:w="59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240" w:type="dxa"/>
            <w:vAlign w:val="bottom"/>
          </w:tcPr>
          <w:p>
            <w:pPr>
              <w:spacing w:after="0"/>
              <w:rPr>
                <w:sz w:val="16"/>
                <w:szCs w:val="16"/>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6"/>
                <w:szCs w:val="16"/>
                <w:color w:val="auto"/>
              </w:rPr>
            </w:pPr>
          </w:p>
        </w:tc>
        <w:tc>
          <w:tcPr>
            <w:tcW w:w="1000" w:type="dxa"/>
            <w:vAlign w:val="bottom"/>
          </w:tcPr>
          <w:p>
            <w:pPr>
              <w:ind w:left="140"/>
              <w:spacing w:after="0"/>
              <w:rPr>
                <w:sz w:val="20"/>
                <w:szCs w:val="20"/>
                <w:color w:val="auto"/>
              </w:rPr>
            </w:pPr>
            <w:r>
              <w:rPr>
                <w:rFonts w:ascii="Arial" w:cs="Arial" w:eastAsia="Arial" w:hAnsi="Arial"/>
                <w:sz w:val="14"/>
                <w:szCs w:val="14"/>
                <w:b w:val="1"/>
                <w:bCs w:val="1"/>
                <w:color w:val="auto"/>
              </w:rPr>
              <w:t>Level 3</w:t>
            </w:r>
          </w:p>
        </w:tc>
      </w:tr>
      <w:tr>
        <w:trPr>
          <w:trHeight w:val="39"/>
        </w:trPr>
        <w:tc>
          <w:tcPr>
            <w:tcW w:w="5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3"/>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920" w:type="dxa"/>
            <w:vAlign w:val="bottom"/>
            <w:gridSpan w:val="2"/>
          </w:tcPr>
          <w:p>
            <w:pPr>
              <w:ind w:left="140"/>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9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Equity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w:t>
            </w:r>
          </w:p>
        </w:tc>
      </w:tr>
      <w:tr>
        <w:trPr>
          <w:trHeight w:val="243"/>
        </w:trPr>
        <w:tc>
          <w:tcPr>
            <w:tcW w:w="5920" w:type="dxa"/>
            <w:vAlign w:val="bottom"/>
            <w:gridSpan w:val="2"/>
          </w:tcPr>
          <w:p>
            <w:pPr>
              <w:ind w:left="140"/>
              <w:spacing w:after="0"/>
              <w:rPr>
                <w:sz w:val="20"/>
                <w:szCs w:val="20"/>
                <w:color w:val="auto"/>
              </w:rPr>
            </w:pPr>
            <w:r>
              <w:rPr>
                <w:rFonts w:ascii="Arial" w:cs="Arial" w:eastAsia="Arial" w:hAnsi="Arial"/>
                <w:sz w:val="18"/>
                <w:szCs w:val="18"/>
                <w:color w:val="auto"/>
              </w:rPr>
              <w:t>Certificates of deposit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9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Asset-backed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w:t>
            </w:r>
          </w:p>
        </w:tc>
      </w:tr>
      <w:tr>
        <w:trPr>
          <w:trHeight w:val="243"/>
        </w:trPr>
        <w:tc>
          <w:tcPr>
            <w:tcW w:w="592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5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9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Mortgage loans held for sale</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w:t>
            </w:r>
          </w:p>
        </w:tc>
      </w:tr>
      <w:tr>
        <w:trPr>
          <w:trHeight w:val="263"/>
        </w:trPr>
        <w:tc>
          <w:tcPr>
            <w:tcW w:w="592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rPr>
              <w:t>—</w:t>
            </w:r>
          </w:p>
        </w:tc>
      </w:tr>
      <w:tr>
        <w:trPr>
          <w:trHeight w:val="21"/>
        </w:trPr>
        <w:tc>
          <w:tcPr>
            <w:tcW w:w="5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presents the carrying value, estimated fair value and the levels of the fair value hierarchy for the Company’s financial instruments other than assets and liabilities measured at fair value on a recurring basis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5"/>
          </w:tcPr>
          <w:p>
            <w:pPr>
              <w:ind w:left="500"/>
              <w:spacing w:after="0"/>
              <w:rPr>
                <w:sz w:val="20"/>
                <w:szCs w:val="20"/>
                <w:color w:val="auto"/>
              </w:rPr>
            </w:pPr>
            <w:r>
              <w:rPr>
                <w:rFonts w:ascii="Arial" w:cs="Arial" w:eastAsia="Arial" w:hAnsi="Arial"/>
                <w:sz w:val="14"/>
                <w:szCs w:val="14"/>
                <w:b w:val="1"/>
                <w:bCs w:val="1"/>
                <w:color w:val="auto"/>
              </w:rPr>
              <w:t>September 30, 2023</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9"/>
        </w:trPr>
        <w:tc>
          <w:tcPr>
            <w:tcW w:w="59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24"/>
        </w:trPr>
        <w:tc>
          <w:tcPr>
            <w:tcW w:w="5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3"/>
        </w:trPr>
        <w:tc>
          <w:tcPr>
            <w:tcW w:w="5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21"/>
                <w:szCs w:val="21"/>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21"/>
                <w:szCs w:val="21"/>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21"/>
                <w:szCs w:val="21"/>
                <w:color w:val="auto"/>
              </w:rPr>
            </w:pPr>
          </w:p>
        </w:tc>
        <w:tc>
          <w:tcPr>
            <w:tcW w:w="1000" w:type="dxa"/>
            <w:vAlign w:val="bottom"/>
          </w:tcPr>
          <w:p>
            <w:pPr>
              <w:jc w:val="right"/>
              <w:ind w:right="334"/>
              <w:spacing w:after="0"/>
              <w:rPr>
                <w:sz w:val="20"/>
                <w:szCs w:val="20"/>
                <w:color w:val="auto"/>
              </w:rPr>
            </w:pPr>
            <w:r>
              <w:rPr>
                <w:rFonts w:ascii="Arial" w:cs="Arial" w:eastAsia="Arial" w:hAnsi="Arial"/>
                <w:sz w:val="14"/>
                <w:szCs w:val="14"/>
                <w:b w:val="1"/>
                <w:bCs w:val="1"/>
                <w:color w:val="auto"/>
              </w:rPr>
              <w:t>Level 2</w:t>
            </w:r>
          </w:p>
        </w:tc>
      </w:tr>
      <w:tr>
        <w:trPr>
          <w:trHeight w:val="39"/>
        </w:trPr>
        <w:tc>
          <w:tcPr>
            <w:tcW w:w="59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3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590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1,154</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Restricted cash</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5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Non-recourse asset-backed debt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2,350</w:t>
            </w:r>
          </w:p>
        </w:tc>
      </w:tr>
      <w:tr>
        <w:trPr>
          <w:trHeight w:val="243"/>
        </w:trPr>
        <w:tc>
          <w:tcPr>
            <w:tcW w:w="5900" w:type="dxa"/>
            <w:vAlign w:val="bottom"/>
          </w:tcPr>
          <w:p>
            <w:pPr>
              <w:ind w:left="140"/>
              <w:spacing w:after="0"/>
              <w:rPr>
                <w:sz w:val="20"/>
                <w:szCs w:val="20"/>
                <w:color w:val="auto"/>
              </w:rPr>
            </w:pPr>
            <w:r>
              <w:rPr>
                <w:rFonts w:ascii="Arial" w:cs="Arial" w:eastAsia="Arial" w:hAnsi="Arial"/>
                <w:sz w:val="18"/>
                <w:szCs w:val="18"/>
                <w:color w:val="auto"/>
              </w:rPr>
              <w:t>Convertible senior notes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342</w:t>
            </w:r>
          </w:p>
        </w:tc>
      </w:tr>
      <w:tr>
        <w:trPr>
          <w:trHeight w:val="541"/>
        </w:trPr>
        <w:tc>
          <w:tcPr>
            <w:tcW w:w="5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5"/>
          </w:tcPr>
          <w:p>
            <w:pPr>
              <w:ind w:left="520"/>
              <w:spacing w:after="0"/>
              <w:rPr>
                <w:sz w:val="20"/>
                <w:szCs w:val="20"/>
                <w:color w:val="auto"/>
              </w:rPr>
            </w:pPr>
            <w:r>
              <w:rPr>
                <w:rFonts w:ascii="Arial" w:cs="Arial" w:eastAsia="Arial" w:hAnsi="Arial"/>
                <w:sz w:val="14"/>
                <w:szCs w:val="14"/>
                <w:b w:val="1"/>
                <w:bCs w:val="1"/>
                <w:color w:val="auto"/>
              </w:rPr>
              <w:t>December 31, 2022</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9"/>
        </w:trPr>
        <w:tc>
          <w:tcPr>
            <w:tcW w:w="59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38"/>
        </w:trPr>
        <w:tc>
          <w:tcPr>
            <w:tcW w:w="5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0"/>
        </w:trPr>
        <w:tc>
          <w:tcPr>
            <w:tcW w:w="5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9"/>
                <w:szCs w:val="19"/>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9"/>
                <w:szCs w:val="19"/>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9"/>
                <w:szCs w:val="19"/>
                <w:color w:val="auto"/>
              </w:rPr>
            </w:pPr>
          </w:p>
        </w:tc>
        <w:tc>
          <w:tcPr>
            <w:tcW w:w="1000" w:type="dxa"/>
            <w:vAlign w:val="bottom"/>
          </w:tcPr>
          <w:p>
            <w:pPr>
              <w:jc w:val="right"/>
              <w:ind w:right="334"/>
              <w:spacing w:after="0"/>
              <w:rPr>
                <w:sz w:val="20"/>
                <w:szCs w:val="20"/>
                <w:color w:val="auto"/>
              </w:rPr>
            </w:pPr>
            <w:r>
              <w:rPr>
                <w:rFonts w:ascii="Arial" w:cs="Arial" w:eastAsia="Arial" w:hAnsi="Arial"/>
                <w:sz w:val="14"/>
                <w:szCs w:val="14"/>
                <w:b w:val="1"/>
                <w:bCs w:val="1"/>
                <w:color w:val="auto"/>
              </w:rPr>
              <w:t>Level 2</w:t>
            </w:r>
          </w:p>
        </w:tc>
      </w:tr>
      <w:tr>
        <w:trPr>
          <w:trHeight w:val="39"/>
        </w:trPr>
        <w:tc>
          <w:tcPr>
            <w:tcW w:w="59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3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590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1,137</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1,137</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1,137</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Restricted cash</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90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5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Non-recourse asset-backed debt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4,427</w:t>
            </w:r>
          </w:p>
        </w:tc>
      </w:tr>
      <w:tr>
        <w:trPr>
          <w:trHeight w:val="243"/>
        </w:trPr>
        <w:tc>
          <w:tcPr>
            <w:tcW w:w="5900" w:type="dxa"/>
            <w:vAlign w:val="bottom"/>
          </w:tcPr>
          <w:p>
            <w:pPr>
              <w:ind w:left="140"/>
              <w:spacing w:after="0"/>
              <w:rPr>
                <w:sz w:val="20"/>
                <w:szCs w:val="20"/>
                <w:color w:val="auto"/>
              </w:rPr>
            </w:pPr>
            <w:r>
              <w:rPr>
                <w:rFonts w:ascii="Arial" w:cs="Arial" w:eastAsia="Arial" w:hAnsi="Arial"/>
                <w:sz w:val="18"/>
                <w:szCs w:val="18"/>
                <w:color w:val="auto"/>
              </w:rPr>
              <w:t>Convertible senior notes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35" w:lineRule="exact"/>
        <w:rPr>
          <w:sz w:val="20"/>
          <w:szCs w:val="20"/>
          <w:color w:val="auto"/>
        </w:rPr>
      </w:pPr>
    </w:p>
    <w:p>
      <w:pPr>
        <w:ind w:left="420" w:hanging="412"/>
        <w:spacing w:after="0"/>
        <w:tabs>
          <w:tab w:leader="none" w:pos="4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as of September 30, 2023 and December 31, 2022, consisted of the following (in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1220" w:type="dxa"/>
            <w:vAlign w:val="bottom"/>
          </w:tcPr>
          <w:p>
            <w:pPr>
              <w:jc w:val="right"/>
              <w:ind w:right="213"/>
              <w:spacing w:after="0"/>
              <w:rPr>
                <w:sz w:val="20"/>
                <w:szCs w:val="20"/>
                <w:color w:val="auto"/>
              </w:rPr>
            </w:pPr>
            <w:r>
              <w:rPr>
                <w:rFonts w:ascii="Arial" w:cs="Arial" w:eastAsia="Arial" w:hAnsi="Arial"/>
                <w:sz w:val="14"/>
                <w:szCs w:val="14"/>
                <w:b w:val="1"/>
                <w:bCs w:val="1"/>
                <w:color w:val="auto"/>
                <w:w w:val="98"/>
              </w:rPr>
              <w:t>December 31,</w:t>
            </w:r>
          </w:p>
        </w:tc>
      </w:tr>
      <w:tr>
        <w:trPr>
          <w:trHeight w:val="186"/>
        </w:trPr>
        <w:tc>
          <w:tcPr>
            <w:tcW w:w="8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93"/>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493"/>
              <w:spacing w:after="0"/>
              <w:rPr>
                <w:sz w:val="20"/>
                <w:szCs w:val="20"/>
                <w:color w:val="auto"/>
              </w:rPr>
            </w:pPr>
            <w:r>
              <w:rPr>
                <w:rFonts w:ascii="Arial" w:cs="Arial" w:eastAsia="Arial" w:hAnsi="Arial"/>
                <w:sz w:val="14"/>
                <w:szCs w:val="14"/>
                <w:b w:val="1"/>
                <w:bCs w:val="1"/>
                <w:color w:val="auto"/>
              </w:rPr>
              <w:t>2022</w:t>
            </w:r>
          </w:p>
        </w:tc>
      </w:tr>
      <w:tr>
        <w:trPr>
          <w:trHeight w:val="39"/>
        </w:trPr>
        <w:tc>
          <w:tcPr>
            <w:tcW w:w="82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4"/>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Internally developed software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Security systems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8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Software implementation costs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8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Office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8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828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w:t>
            </w:r>
          </w:p>
        </w:tc>
      </w:tr>
      <w:tr>
        <w:trPr>
          <w:trHeight w:val="27"/>
        </w:trPr>
        <w:tc>
          <w:tcPr>
            <w:tcW w:w="8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63"/>
        </w:trPr>
        <w:tc>
          <w:tcPr>
            <w:tcW w:w="8280" w:type="dxa"/>
            <w:vAlign w:val="bottom"/>
          </w:tcPr>
          <w:p>
            <w:pPr>
              <w:ind w:left="20"/>
              <w:spacing w:after="0"/>
              <w:rPr>
                <w:sz w:val="20"/>
                <w:szCs w:val="20"/>
                <w:color w:val="auto"/>
              </w:rPr>
            </w:pPr>
            <w:r>
              <w:rPr>
                <w:rFonts w:ascii="Arial" w:cs="Arial" w:eastAsia="Arial" w:hAnsi="Arial"/>
                <w:sz w:val="18"/>
                <w:szCs w:val="18"/>
                <w:color w:val="auto"/>
              </w:rPr>
              <w:t>Property and equipment – net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8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Depreciation and amortization expense of $8 million and $27 million was recorded for the three and nine months ended September 30, 2023, respectively. Depreciation and amortization expense of $10 million and $28 million was recorded for the three and nine months ended September 30, 2022, respectively.</w:t>
      </w:r>
    </w:p>
    <w:p>
      <w:pPr>
        <w:spacing w:after="0" w:line="180" w:lineRule="exact"/>
        <w:rPr>
          <w:sz w:val="20"/>
          <w:szCs w:val="20"/>
          <w:color w:val="auto"/>
        </w:rPr>
      </w:pPr>
    </w:p>
    <w:p>
      <w:pPr>
        <w:ind w:left="420" w:hanging="412"/>
        <w:spacing w:after="0"/>
        <w:tabs>
          <w:tab w:leader="none" w:pos="4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16" w:lineRule="exact"/>
        <w:rPr>
          <w:sz w:val="20"/>
          <w:szCs w:val="20"/>
          <w:color w:val="auto"/>
        </w:rPr>
      </w:pPr>
    </w:p>
    <w:p>
      <w:pPr>
        <w:ind w:right="200" w:firstLine="405"/>
        <w:spacing w:after="0" w:line="248" w:lineRule="auto"/>
        <w:rPr>
          <w:sz w:val="20"/>
          <w:szCs w:val="20"/>
          <w:color w:val="auto"/>
        </w:rPr>
      </w:pPr>
      <w:r>
        <w:rPr>
          <w:rFonts w:ascii="Arial" w:cs="Arial" w:eastAsia="Arial" w:hAnsi="Arial"/>
          <w:sz w:val="18"/>
          <w:szCs w:val="18"/>
          <w:color w:val="auto"/>
        </w:rPr>
        <w:t>For the nine months ended September 30, 2023, there were no additions to goodwill. For the year ended December 31, 2022 the carrying amount of goodwill increased by $4 million due to acquisitions. For more information on significant acquisitions, refer to “</w:t>
      </w:r>
      <w:r>
        <w:rPr>
          <w:rFonts w:ascii="Arial" w:cs="Arial" w:eastAsia="Arial" w:hAnsi="Arial"/>
          <w:sz w:val="18"/>
          <w:szCs w:val="18"/>
          <w:i w:val="1"/>
          <w:iCs w:val="1"/>
          <w:color w:val="auto"/>
        </w:rPr>
        <w:t>Note 13 — Business Acquisition</w:t>
      </w:r>
      <w:r>
        <w:rPr>
          <w:rFonts w:ascii="Arial" w:cs="Arial" w:eastAsia="Arial" w:hAnsi="Arial"/>
          <w:sz w:val="18"/>
          <w:szCs w:val="18"/>
          <w:color w:val="auto"/>
        </w:rPr>
        <w:t>”. No impairment of goodwill was identified for the three and nine months ended September 30, 2023 and 2022.</w:t>
      </w:r>
    </w:p>
    <w:p>
      <w:pPr>
        <w:spacing w:after="0" w:line="182"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Intangible assets subject to amortization consisted of the following as of September 30, 2023 and December 31, 2022, respectively (in millions, except years):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ind w:left="241"/>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ind w:left="261"/>
              <w:spacing w:after="0"/>
              <w:rPr>
                <w:sz w:val="20"/>
                <w:szCs w:val="20"/>
                <w:color w:val="auto"/>
              </w:rPr>
            </w:pPr>
            <w:r>
              <w:rPr>
                <w:rFonts w:ascii="Arial" w:cs="Arial" w:eastAsia="Arial" w:hAnsi="Arial"/>
                <w:sz w:val="14"/>
                <w:szCs w:val="14"/>
                <w:b w:val="1"/>
                <w:bCs w:val="1"/>
                <w:color w:val="auto"/>
                <w:w w:val="97"/>
              </w:rPr>
              <w:t>Net</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 Weighted</w:t>
            </w:r>
          </w:p>
        </w:tc>
      </w:tr>
      <w:tr>
        <w:trPr>
          <w:trHeight w:val="203"/>
        </w:trPr>
        <w:tc>
          <w:tcPr>
            <w:tcW w:w="5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ind w:left="261"/>
              <w:spacing w:after="0"/>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ind w:left="100"/>
              <w:spacing w:after="0"/>
              <w:rPr>
                <w:sz w:val="20"/>
                <w:szCs w:val="20"/>
                <w:color w:val="auto"/>
              </w:rPr>
            </w:pPr>
            <w:r>
              <w:rPr>
                <w:rFonts w:ascii="Arial" w:cs="Arial" w:eastAsia="Arial" w:hAnsi="Arial"/>
                <w:sz w:val="14"/>
                <w:szCs w:val="14"/>
                <w:b w:val="1"/>
                <w:bCs w:val="1"/>
                <w:color w:val="auto"/>
                <w:w w:val="95"/>
              </w:rPr>
              <w:t>Accumulated</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ind w:left="241"/>
              <w:spacing w:after="0"/>
              <w:rPr>
                <w:sz w:val="20"/>
                <w:szCs w:val="20"/>
                <w:color w:val="auto"/>
              </w:rPr>
            </w:pPr>
            <w:r>
              <w:rPr>
                <w:rFonts w:ascii="Arial" w:cs="Arial" w:eastAsia="Arial" w:hAnsi="Arial"/>
                <w:sz w:val="14"/>
                <w:szCs w:val="14"/>
                <w:b w:val="1"/>
                <w:bCs w:val="1"/>
                <w:color w:val="auto"/>
                <w:w w:val="97"/>
              </w:rPr>
              <w:t>Carrying</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Average Useful Life</w:t>
            </w:r>
          </w:p>
        </w:tc>
      </w:tr>
      <w:tr>
        <w:trPr>
          <w:trHeight w:val="227"/>
        </w:trPr>
        <w:tc>
          <w:tcPr>
            <w:tcW w:w="52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2023</w:t>
            </w:r>
          </w:p>
        </w:tc>
        <w:tc>
          <w:tcPr>
            <w:tcW w:w="1080" w:type="dxa"/>
            <w:vAlign w:val="bottom"/>
          </w:tcPr>
          <w:p>
            <w:pPr>
              <w:jc w:val="center"/>
              <w:ind w:left="261"/>
              <w:spacing w:after="0"/>
              <w:rPr>
                <w:sz w:val="20"/>
                <w:szCs w:val="20"/>
                <w:color w:val="auto"/>
              </w:rPr>
            </w:pPr>
            <w:r>
              <w:rPr>
                <w:rFonts w:ascii="Arial" w:cs="Arial" w:eastAsia="Arial" w:hAnsi="Arial"/>
                <w:sz w:val="14"/>
                <w:szCs w:val="14"/>
                <w:b w:val="1"/>
                <w:bCs w:val="1"/>
                <w:color w:val="auto"/>
                <w:w w:val="94"/>
              </w:rPr>
              <w:t>Amount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ind w:left="100"/>
              <w:spacing w:after="0"/>
              <w:rPr>
                <w:sz w:val="20"/>
                <w:szCs w:val="20"/>
                <w:color w:val="auto"/>
              </w:rPr>
            </w:pPr>
            <w:r>
              <w:rPr>
                <w:rFonts w:ascii="Arial" w:cs="Arial" w:eastAsia="Arial" w:hAnsi="Arial"/>
                <w:sz w:val="14"/>
                <w:szCs w:val="14"/>
                <w:b w:val="1"/>
                <w:bCs w:val="1"/>
                <w:color w:val="auto"/>
                <w:w w:val="98"/>
              </w:rPr>
              <w:t>Amortization</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center"/>
              <w:ind w:left="261"/>
              <w:spacing w:after="0"/>
              <w:rPr>
                <w:sz w:val="20"/>
                <w:szCs w:val="20"/>
                <w:color w:val="auto"/>
              </w:rPr>
            </w:pPr>
            <w:r>
              <w:rPr>
                <w:rFonts w:ascii="Arial" w:cs="Arial" w:eastAsia="Arial" w:hAnsi="Arial"/>
                <w:sz w:val="14"/>
                <w:szCs w:val="14"/>
                <w:b w:val="1"/>
                <w:bCs w:val="1"/>
                <w:color w:val="auto"/>
                <w:w w:val="94"/>
              </w:rPr>
              <w:t>Amount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r>
      <w:tr>
        <w:trPr>
          <w:trHeight w:val="25"/>
        </w:trPr>
        <w:tc>
          <w:tcPr>
            <w:tcW w:w="5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1080" w:type="dxa"/>
            <w:vAlign w:val="bottom"/>
            <w:tcBorders>
              <w:bottom w:val="single" w:sz="8" w:color="CCEEFF"/>
            </w:tcBorders>
            <w:shd w:val="clear" w:color="auto" w:fill="CCEEFF"/>
          </w:tcPr>
          <w:p>
            <w:pPr>
              <w:jc w:val="right"/>
              <w:ind w:right="901"/>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1"/>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5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1.0</w:t>
            </w: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Customer relationships</w:t>
            </w:r>
          </w:p>
        </w:tc>
        <w:tc>
          <w:tcPr>
            <w:tcW w:w="10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9"/>
              </w:rPr>
              <w:t>(6)</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52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0.9</w:t>
            </w: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10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(4)</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5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0.9</w:t>
            </w:r>
          </w:p>
        </w:tc>
      </w:tr>
      <w:tr>
        <w:trPr>
          <w:trHeight w:val="26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Intangible assets – net</w:t>
            </w:r>
          </w:p>
        </w:tc>
        <w:tc>
          <w:tcPr>
            <w:tcW w:w="1080" w:type="dxa"/>
            <w:vAlign w:val="bottom"/>
            <w:tcBorders>
              <w:top w:val="single" w:sz="8" w:color="auto"/>
              <w:bottom w:val="single" w:sz="8" w:color="auto"/>
            </w:tcBorders>
          </w:tcPr>
          <w:p>
            <w:pPr>
              <w:jc w:val="right"/>
              <w:ind w:right="901"/>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901"/>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0"/>
        </w:trPr>
        <w:tc>
          <w:tcPr>
            <w:tcW w:w="5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592"/>
        </w:trPr>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center"/>
              <w:ind w:left="241"/>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center"/>
              <w:ind w:left="261"/>
              <w:spacing w:after="0"/>
              <w:rPr>
                <w:sz w:val="20"/>
                <w:szCs w:val="20"/>
                <w:color w:val="auto"/>
              </w:rPr>
            </w:pPr>
            <w:r>
              <w:rPr>
                <w:rFonts w:ascii="Arial" w:cs="Arial" w:eastAsia="Arial" w:hAnsi="Arial"/>
                <w:sz w:val="14"/>
                <w:szCs w:val="14"/>
                <w:b w:val="1"/>
                <w:bCs w:val="1"/>
                <w:color w:val="auto"/>
                <w:w w:val="97"/>
              </w:rPr>
              <w:t>Net</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 Weighted</w:t>
            </w:r>
          </w:p>
        </w:tc>
      </w:tr>
      <w:tr>
        <w:trPr>
          <w:trHeight w:val="203"/>
        </w:trPr>
        <w:tc>
          <w:tcPr>
            <w:tcW w:w="5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ind w:left="261"/>
              <w:spacing w:after="0"/>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ind w:left="100"/>
              <w:spacing w:after="0"/>
              <w:rPr>
                <w:sz w:val="20"/>
                <w:szCs w:val="20"/>
                <w:color w:val="auto"/>
              </w:rPr>
            </w:pPr>
            <w:r>
              <w:rPr>
                <w:rFonts w:ascii="Arial" w:cs="Arial" w:eastAsia="Arial" w:hAnsi="Arial"/>
                <w:sz w:val="14"/>
                <w:szCs w:val="14"/>
                <w:b w:val="1"/>
                <w:bCs w:val="1"/>
                <w:color w:val="auto"/>
                <w:w w:val="95"/>
              </w:rPr>
              <w:t>Accumulated</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ind w:left="241"/>
              <w:spacing w:after="0"/>
              <w:rPr>
                <w:sz w:val="20"/>
                <w:szCs w:val="20"/>
                <w:color w:val="auto"/>
              </w:rPr>
            </w:pPr>
            <w:r>
              <w:rPr>
                <w:rFonts w:ascii="Arial" w:cs="Arial" w:eastAsia="Arial" w:hAnsi="Arial"/>
                <w:sz w:val="14"/>
                <w:szCs w:val="14"/>
                <w:b w:val="1"/>
                <w:bCs w:val="1"/>
                <w:color w:val="auto"/>
                <w:w w:val="97"/>
              </w:rPr>
              <w:t>Carrying</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Average Useful Life</w:t>
            </w:r>
          </w:p>
        </w:tc>
      </w:tr>
      <w:tr>
        <w:trPr>
          <w:trHeight w:val="227"/>
        </w:trPr>
        <w:tc>
          <w:tcPr>
            <w:tcW w:w="52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2022</w:t>
            </w:r>
          </w:p>
        </w:tc>
        <w:tc>
          <w:tcPr>
            <w:tcW w:w="1080" w:type="dxa"/>
            <w:vAlign w:val="bottom"/>
          </w:tcPr>
          <w:p>
            <w:pPr>
              <w:jc w:val="center"/>
              <w:ind w:left="261"/>
              <w:spacing w:after="0"/>
              <w:rPr>
                <w:sz w:val="20"/>
                <w:szCs w:val="20"/>
                <w:color w:val="auto"/>
              </w:rPr>
            </w:pPr>
            <w:r>
              <w:rPr>
                <w:rFonts w:ascii="Arial" w:cs="Arial" w:eastAsia="Arial" w:hAnsi="Arial"/>
                <w:sz w:val="14"/>
                <w:szCs w:val="14"/>
                <w:b w:val="1"/>
                <w:bCs w:val="1"/>
                <w:color w:val="auto"/>
                <w:w w:val="94"/>
              </w:rPr>
              <w:t>Amount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ind w:left="100"/>
              <w:spacing w:after="0"/>
              <w:rPr>
                <w:sz w:val="20"/>
                <w:szCs w:val="20"/>
                <w:color w:val="auto"/>
              </w:rPr>
            </w:pPr>
            <w:r>
              <w:rPr>
                <w:rFonts w:ascii="Arial" w:cs="Arial" w:eastAsia="Arial" w:hAnsi="Arial"/>
                <w:sz w:val="14"/>
                <w:szCs w:val="14"/>
                <w:b w:val="1"/>
                <w:bCs w:val="1"/>
                <w:color w:val="auto"/>
                <w:w w:val="98"/>
              </w:rPr>
              <w:t>Amortization</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center"/>
              <w:ind w:left="261"/>
              <w:spacing w:after="0"/>
              <w:rPr>
                <w:sz w:val="20"/>
                <w:szCs w:val="20"/>
                <w:color w:val="auto"/>
              </w:rPr>
            </w:pPr>
            <w:r>
              <w:rPr>
                <w:rFonts w:ascii="Arial" w:cs="Arial" w:eastAsia="Arial" w:hAnsi="Arial"/>
                <w:sz w:val="14"/>
                <w:szCs w:val="14"/>
                <w:b w:val="1"/>
                <w:bCs w:val="1"/>
                <w:color w:val="auto"/>
                <w:w w:val="94"/>
              </w:rPr>
              <w:t>Amount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r>
      <w:tr>
        <w:trPr>
          <w:trHeight w:val="39"/>
        </w:trPr>
        <w:tc>
          <w:tcPr>
            <w:tcW w:w="5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44"/>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1080" w:type="dxa"/>
            <w:vAlign w:val="bottom"/>
            <w:tcBorders>
              <w:bottom w:val="single" w:sz="8" w:color="CCEEFF"/>
            </w:tcBorders>
            <w:shd w:val="clear" w:color="auto" w:fill="CCEEFF"/>
          </w:tcPr>
          <w:p>
            <w:pPr>
              <w:jc w:val="right"/>
              <w:ind w:right="901"/>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(9)</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1"/>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5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1.8</w:t>
            </w: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Customer relationships</w:t>
            </w:r>
          </w:p>
        </w:tc>
        <w:tc>
          <w:tcPr>
            <w:tcW w:w="10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152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1.7</w:t>
            </w:r>
          </w:p>
        </w:tc>
      </w:tr>
      <w:tr>
        <w:trPr>
          <w:trHeight w:val="27"/>
        </w:trPr>
        <w:tc>
          <w:tcPr>
            <w:tcW w:w="526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r>
      <w:tr>
        <w:trPr>
          <w:trHeight w:val="270"/>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10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5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1.7</w:t>
            </w:r>
          </w:p>
        </w:tc>
      </w:tr>
      <w:tr>
        <w:trPr>
          <w:trHeight w:val="26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Intangible assets – net</w:t>
            </w:r>
          </w:p>
        </w:tc>
        <w:tc>
          <w:tcPr>
            <w:tcW w:w="1080" w:type="dxa"/>
            <w:vAlign w:val="bottom"/>
            <w:tcBorders>
              <w:top w:val="single" w:sz="8" w:color="auto"/>
              <w:bottom w:val="single" w:sz="8" w:color="auto"/>
            </w:tcBorders>
          </w:tcPr>
          <w:p>
            <w:pPr>
              <w:jc w:val="right"/>
              <w:ind w:right="901"/>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901"/>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1"/>
        </w:trPr>
        <w:tc>
          <w:tcPr>
            <w:tcW w:w="5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Amortization expense for intangible assets was $2 million and $5 million for the three and nine months ended September 30, 2023,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for intangible assets was $2 million and $7 million for the three and nine months ended September 30, 2022, respectively.</w:t>
      </w:r>
    </w:p>
    <w:p>
      <w:pPr>
        <w:spacing w:after="0" w:line="22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2023, expected amortization of intangible assets is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0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Years</w:t>
            </w:r>
          </w:p>
        </w:tc>
        <w:tc>
          <w:tcPr>
            <w:tcW w:w="240" w:type="dxa"/>
            <w:vAlign w:val="bottom"/>
          </w:tcPr>
          <w:p>
            <w:pPr>
              <w:spacing w:after="0"/>
              <w:rPr>
                <w:sz w:val="16"/>
                <w:szCs w:val="16"/>
                <w:color w:val="auto"/>
              </w:rPr>
            </w:pPr>
          </w:p>
        </w:tc>
        <w:tc>
          <w:tcPr>
            <w:tcW w:w="1200" w:type="dxa"/>
            <w:vAlign w:val="bottom"/>
          </w:tcPr>
          <w:p>
            <w:pPr>
              <w:jc w:val="right"/>
              <w:ind w:right="255"/>
              <w:spacing w:after="0"/>
              <w:rPr>
                <w:sz w:val="20"/>
                <w:szCs w:val="20"/>
                <w:color w:val="auto"/>
              </w:rPr>
            </w:pPr>
            <w:r>
              <w:rPr>
                <w:rFonts w:ascii="Arial" w:cs="Arial" w:eastAsia="Arial" w:hAnsi="Arial"/>
                <w:sz w:val="14"/>
                <w:szCs w:val="14"/>
                <w:b w:val="1"/>
                <w:bCs w:val="1"/>
                <w:color w:val="auto"/>
              </w:rPr>
              <w:t>(In millions)</w:t>
            </w:r>
          </w:p>
        </w:tc>
      </w:tr>
      <w:tr>
        <w:trPr>
          <w:trHeight w:val="39"/>
        </w:trPr>
        <w:tc>
          <w:tcPr>
            <w:tcW w:w="9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43"/>
        </w:trPr>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9720" w:type="dxa"/>
            <w:vAlign w:val="bottom"/>
          </w:tcPr>
          <w:p>
            <w:pPr>
              <w:ind w:left="20"/>
              <w:spacing w:after="0"/>
              <w:rPr>
                <w:sz w:val="20"/>
                <w:szCs w:val="20"/>
                <w:color w:val="auto"/>
              </w:rPr>
            </w:pPr>
            <w:r>
              <w:rPr>
                <w:rFonts w:ascii="Arial" w:cs="Arial" w:eastAsia="Arial" w:hAnsi="Arial"/>
                <w:sz w:val="18"/>
                <w:szCs w:val="18"/>
                <w:color w:val="auto"/>
              </w:rPr>
              <w:t>2024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97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420" w:hanging="412"/>
        <w:spacing w:after="0"/>
        <w:tabs>
          <w:tab w:leader="none" w:pos="4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and RSUs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Option awards are generally granted with an exercise price equal to the fair value of the Company’s common stock at the date of grant.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the stock option activity for the nine months ended September 30, 2023, is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3"/>
        </w:trPr>
        <w:tc>
          <w:tcPr>
            <w:tcW w:w="5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left="328"/>
              <w:spacing w:after="0"/>
              <w:rPr>
                <w:sz w:val="20"/>
                <w:szCs w:val="20"/>
                <w:color w:val="auto"/>
              </w:rPr>
            </w:pPr>
            <w:r>
              <w:rPr>
                <w:rFonts w:ascii="Arial" w:cs="Arial" w:eastAsia="Arial" w:hAnsi="Arial"/>
                <w:sz w:val="14"/>
                <w:szCs w:val="14"/>
                <w:b w:val="1"/>
                <w:bCs w:val="1"/>
                <w:color w:val="auto"/>
                <w:w w:val="94"/>
              </w:rPr>
              <w:t>Weighted-</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7"/>
                <w:szCs w:val="17"/>
                <w:color w:val="auto"/>
              </w:rPr>
            </w:pPr>
          </w:p>
        </w:tc>
        <w:tc>
          <w:tcPr>
            <w:tcW w:w="1200" w:type="dxa"/>
            <w:vAlign w:val="bottom"/>
          </w:tcPr>
          <w:p>
            <w:pPr>
              <w:jc w:val="center"/>
              <w:ind w:right="139"/>
              <w:spacing w:after="0"/>
              <w:rPr>
                <w:sz w:val="20"/>
                <w:szCs w:val="20"/>
                <w:color w:val="auto"/>
              </w:rPr>
            </w:pPr>
            <w:r>
              <w:rPr>
                <w:rFonts w:ascii="Arial" w:cs="Arial" w:eastAsia="Arial" w:hAnsi="Arial"/>
                <w:sz w:val="14"/>
                <w:szCs w:val="14"/>
                <w:b w:val="1"/>
                <w:bCs w:val="1"/>
                <w:color w:val="auto"/>
                <w:w w:val="89"/>
              </w:rPr>
              <w:t>Aggregate</w:t>
            </w:r>
          </w:p>
        </w:tc>
      </w:tr>
      <w:tr>
        <w:trPr>
          <w:trHeight w:val="203"/>
        </w:trPr>
        <w:tc>
          <w:tcPr>
            <w:tcW w:w="522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7"/>
                <w:szCs w:val="17"/>
                <w:color w:val="auto"/>
              </w:rPr>
            </w:pPr>
          </w:p>
        </w:tc>
        <w:tc>
          <w:tcPr>
            <w:tcW w:w="1040" w:type="dxa"/>
            <w:vAlign w:val="bottom"/>
          </w:tcPr>
          <w:p>
            <w:pPr>
              <w:jc w:val="center"/>
              <w:ind w:left="328"/>
              <w:spacing w:after="0"/>
              <w:rPr>
                <w:sz w:val="20"/>
                <w:szCs w:val="20"/>
                <w:color w:val="auto"/>
              </w:rPr>
            </w:pPr>
            <w:r>
              <w:rPr>
                <w:rFonts w:ascii="Arial" w:cs="Arial" w:eastAsia="Arial" w:hAnsi="Arial"/>
                <w:sz w:val="14"/>
                <w:szCs w:val="14"/>
                <w:b w:val="1"/>
                <w:bCs w:val="1"/>
                <w:color w:val="auto"/>
                <w:w w:val="94"/>
              </w:rPr>
              <w:t>Average</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Remaining</w:t>
            </w:r>
          </w:p>
        </w:tc>
        <w:tc>
          <w:tcPr>
            <w:tcW w:w="240" w:type="dxa"/>
            <w:vAlign w:val="bottom"/>
          </w:tcPr>
          <w:p>
            <w:pPr>
              <w:spacing w:after="0"/>
              <w:rPr>
                <w:sz w:val="17"/>
                <w:szCs w:val="17"/>
                <w:color w:val="auto"/>
              </w:rPr>
            </w:pPr>
          </w:p>
        </w:tc>
        <w:tc>
          <w:tcPr>
            <w:tcW w:w="1200" w:type="dxa"/>
            <w:vAlign w:val="bottom"/>
          </w:tcPr>
          <w:p>
            <w:pPr>
              <w:jc w:val="center"/>
              <w:ind w:right="159"/>
              <w:spacing w:after="0"/>
              <w:rPr>
                <w:sz w:val="20"/>
                <w:szCs w:val="20"/>
                <w:color w:val="auto"/>
              </w:rPr>
            </w:pPr>
            <w:r>
              <w:rPr>
                <w:rFonts w:ascii="Arial" w:cs="Arial" w:eastAsia="Arial" w:hAnsi="Arial"/>
                <w:sz w:val="14"/>
                <w:szCs w:val="14"/>
                <w:b w:val="1"/>
                <w:bCs w:val="1"/>
                <w:color w:val="auto"/>
                <w:w w:val="95"/>
              </w:rPr>
              <w:t>Intrinsic</w:t>
            </w:r>
          </w:p>
        </w:tc>
      </w:tr>
      <w:tr>
        <w:trPr>
          <w:trHeight w:val="203"/>
        </w:trPr>
        <w:tc>
          <w:tcPr>
            <w:tcW w:w="522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7"/>
                <w:szCs w:val="17"/>
                <w:color w:val="auto"/>
              </w:rPr>
            </w:pPr>
          </w:p>
        </w:tc>
        <w:tc>
          <w:tcPr>
            <w:tcW w:w="1040" w:type="dxa"/>
            <w:vAlign w:val="bottom"/>
          </w:tcPr>
          <w:p>
            <w:pPr>
              <w:jc w:val="center"/>
              <w:ind w:left="328"/>
              <w:spacing w:after="0"/>
              <w:rPr>
                <w:sz w:val="20"/>
                <w:szCs w:val="20"/>
                <w:color w:val="auto"/>
              </w:rPr>
            </w:pPr>
            <w:r>
              <w:rPr>
                <w:rFonts w:ascii="Arial" w:cs="Arial" w:eastAsia="Arial" w:hAnsi="Arial"/>
                <w:sz w:val="14"/>
                <w:szCs w:val="14"/>
                <w:b w:val="1"/>
                <w:bCs w:val="1"/>
                <w:color w:val="auto"/>
                <w:w w:val="90"/>
              </w:rPr>
              <w:t>Exercise</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7"/>
                <w:szCs w:val="17"/>
                <w:color w:val="auto"/>
              </w:rPr>
            </w:pPr>
          </w:p>
        </w:tc>
        <w:tc>
          <w:tcPr>
            <w:tcW w:w="1200" w:type="dxa"/>
            <w:vAlign w:val="bottom"/>
          </w:tcPr>
          <w:p>
            <w:pPr>
              <w:jc w:val="center"/>
              <w:ind w:right="139"/>
              <w:spacing w:after="0"/>
              <w:rPr>
                <w:sz w:val="20"/>
                <w:szCs w:val="20"/>
                <w:color w:val="auto"/>
              </w:rPr>
            </w:pPr>
            <w:r>
              <w:rPr>
                <w:rFonts w:ascii="Arial" w:cs="Arial" w:eastAsia="Arial" w:hAnsi="Arial"/>
                <w:sz w:val="14"/>
                <w:szCs w:val="14"/>
                <w:b w:val="1"/>
                <w:bCs w:val="1"/>
                <w:color w:val="auto"/>
                <w:w w:val="90"/>
              </w:rPr>
              <w:t>Value</w:t>
            </w:r>
          </w:p>
        </w:tc>
      </w:tr>
      <w:tr>
        <w:trPr>
          <w:trHeight w:val="203"/>
        </w:trPr>
        <w:tc>
          <w:tcPr>
            <w:tcW w:w="522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7"/>
                <w:szCs w:val="17"/>
                <w:color w:val="auto"/>
              </w:rPr>
            </w:pPr>
          </w:p>
        </w:tc>
        <w:tc>
          <w:tcPr>
            <w:tcW w:w="1040" w:type="dxa"/>
            <w:vAlign w:val="bottom"/>
          </w:tcPr>
          <w:p>
            <w:pPr>
              <w:jc w:val="center"/>
              <w:ind w:left="328"/>
              <w:spacing w:after="0"/>
              <w:rPr>
                <w:sz w:val="20"/>
                <w:szCs w:val="20"/>
                <w:color w:val="auto"/>
              </w:rPr>
            </w:pPr>
            <w:r>
              <w:rPr>
                <w:rFonts w:ascii="Arial" w:cs="Arial" w:eastAsia="Arial" w:hAnsi="Arial"/>
                <w:sz w:val="14"/>
                <w:szCs w:val="14"/>
                <w:b w:val="1"/>
                <w:bCs w:val="1"/>
                <w:color w:val="auto"/>
                <w:w w:val="93"/>
              </w:rPr>
              <w:t>Price</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Term (in years)</w:t>
            </w:r>
          </w:p>
        </w:tc>
        <w:tc>
          <w:tcPr>
            <w:tcW w:w="240" w:type="dxa"/>
            <w:vAlign w:val="bottom"/>
          </w:tcPr>
          <w:p>
            <w:pPr>
              <w:spacing w:after="0"/>
              <w:rPr>
                <w:sz w:val="17"/>
                <w:szCs w:val="17"/>
                <w:color w:val="auto"/>
              </w:rPr>
            </w:pPr>
          </w:p>
        </w:tc>
        <w:tc>
          <w:tcPr>
            <w:tcW w:w="1200" w:type="dxa"/>
            <w:vAlign w:val="bottom"/>
          </w:tcPr>
          <w:p>
            <w:pPr>
              <w:jc w:val="center"/>
              <w:ind w:right="139"/>
              <w:spacing w:after="0"/>
              <w:rPr>
                <w:sz w:val="20"/>
                <w:szCs w:val="20"/>
                <w:color w:val="auto"/>
              </w:rPr>
            </w:pPr>
            <w:r>
              <w:rPr>
                <w:rFonts w:ascii="Arial" w:cs="Arial" w:eastAsia="Arial" w:hAnsi="Arial"/>
                <w:sz w:val="14"/>
                <w:szCs w:val="14"/>
                <w:b w:val="1"/>
                <w:bCs w:val="1"/>
                <w:color w:val="auto"/>
                <w:w w:val="94"/>
              </w:rPr>
              <w:t>(in millions)</w:t>
            </w:r>
          </w:p>
        </w:tc>
      </w:tr>
      <w:tr>
        <w:trPr>
          <w:trHeight w:val="80"/>
        </w:trPr>
        <w:tc>
          <w:tcPr>
            <w:tcW w:w="5220" w:type="dxa"/>
            <w:vAlign w:val="bottom"/>
            <w:tcBorders>
              <w:bottom w:val="single" w:sz="8" w:color="CCEEFF"/>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r>
      <w:tr>
        <w:trPr>
          <w:trHeight w:val="243"/>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2022</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10,712</w:t>
            </w:r>
          </w:p>
        </w:tc>
        <w:tc>
          <w:tcPr>
            <w:tcW w:w="1140" w:type="dxa"/>
            <w:vAlign w:val="bottom"/>
            <w:tcBorders>
              <w:bottom w:val="single" w:sz="8" w:color="CCEEFF"/>
            </w:tcBorders>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2.13</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7"/>
              </w:rPr>
              <w:t>3.5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420" w:type="dxa"/>
            <w:vAlign w:val="bottom"/>
          </w:tcPr>
          <w:p>
            <w:pPr>
              <w:jc w:val="right"/>
              <w:spacing w:after="0"/>
              <w:rPr>
                <w:sz w:val="20"/>
                <w:szCs w:val="20"/>
                <w:color w:val="auto"/>
              </w:rPr>
            </w:pPr>
            <w:r>
              <w:rPr>
                <w:rFonts w:ascii="Arial" w:cs="Arial" w:eastAsia="Arial" w:hAnsi="Arial"/>
                <w:sz w:val="18"/>
                <w:szCs w:val="18"/>
                <w:color w:val="auto"/>
              </w:rPr>
              <w:t>(2,304)</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5"/>
              </w:rPr>
              <w:t>1.07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2.87</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r>
      <w:tr>
        <w:trPr>
          <w:trHeight w:val="263"/>
        </w:trPr>
        <w:tc>
          <w:tcPr>
            <w:tcW w:w="5220" w:type="dxa"/>
            <w:vAlign w:val="bottom"/>
          </w:tcPr>
          <w:p>
            <w:pPr>
              <w:ind w:left="20"/>
              <w:spacing w:after="0"/>
              <w:rPr>
                <w:sz w:val="20"/>
                <w:szCs w:val="20"/>
                <w:color w:val="auto"/>
              </w:rPr>
            </w:pPr>
            <w:r>
              <w:rPr>
                <w:rFonts w:ascii="Arial" w:cs="Arial" w:eastAsia="Arial" w:hAnsi="Arial"/>
                <w:sz w:val="18"/>
                <w:szCs w:val="18"/>
                <w:color w:val="auto"/>
              </w:rPr>
              <w:t>Balance-September 30, 2023</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8,045</w:t>
            </w:r>
          </w:p>
        </w:tc>
        <w:tc>
          <w:tcPr>
            <w:tcW w:w="1140" w:type="dxa"/>
            <w:vAlign w:val="bottom"/>
            <w:gridSpan w:val="2"/>
          </w:tcPr>
          <w:p>
            <w:pPr>
              <w:jc w:val="right"/>
              <w:ind w:right="848"/>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5"/>
              </w:rPr>
              <w:t>2.40</w:t>
            </w:r>
          </w:p>
        </w:tc>
        <w:tc>
          <w:tcPr>
            <w:tcW w:w="80" w:type="dxa"/>
            <w:vAlign w:val="bottom"/>
          </w:tcPr>
          <w:p>
            <w:pPr>
              <w:spacing w:after="0"/>
              <w:rPr>
                <w:sz w:val="22"/>
                <w:szCs w:val="22"/>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87"/>
              </w:rPr>
              <w:t>3.5</w:t>
            </w:r>
          </w:p>
        </w:tc>
        <w:tc>
          <w:tcPr>
            <w:tcW w:w="8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r>
      <w:tr>
        <w:trPr>
          <w:trHeight w:val="289"/>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Exercisable-September 30, 2023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8,045</w:t>
            </w:r>
          </w:p>
        </w:tc>
        <w:tc>
          <w:tcPr>
            <w:tcW w:w="1140" w:type="dxa"/>
            <w:vAlign w:val="bottom"/>
            <w:tcBorders>
              <w:bottom w:val="single" w:sz="8" w:color="CCEEFF"/>
            </w:tcBorders>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2.40</w:t>
            </w:r>
          </w:p>
        </w:tc>
        <w:tc>
          <w:tcPr>
            <w:tcW w:w="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7"/>
              </w:rPr>
              <w:t>3.5</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r>
        <w:trPr>
          <w:trHeight w:val="487"/>
        </w:trPr>
        <w:tc>
          <w:tcPr>
            <w:tcW w:w="7780" w:type="dxa"/>
            <w:vAlign w:val="bottom"/>
            <w:gridSpan w:val="4"/>
          </w:tcPr>
          <w:p>
            <w:pPr>
              <w:ind w:left="420"/>
              <w:spacing w:after="0"/>
              <w:rPr>
                <w:sz w:val="20"/>
                <w:szCs w:val="20"/>
                <w:color w:val="auto"/>
              </w:rPr>
            </w:pPr>
            <w:r>
              <w:rPr>
                <w:rFonts w:ascii="Arial" w:cs="Arial" w:eastAsia="Arial" w:hAnsi="Arial"/>
                <w:sz w:val="18"/>
                <w:szCs w:val="18"/>
                <w:color w:val="auto"/>
                <w:w w:val="99"/>
              </w:rPr>
              <w:t>A summary of the RSU activity for the nine months ended September 30, 2023, is as follows:</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501"/>
        </w:trPr>
        <w:tc>
          <w:tcPr>
            <w:tcW w:w="5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center"/>
              <w:ind w:right="159"/>
              <w:spacing w:after="0"/>
              <w:rPr>
                <w:sz w:val="20"/>
                <w:szCs w:val="20"/>
                <w:color w:val="auto"/>
              </w:rPr>
            </w:pPr>
            <w:r>
              <w:rPr>
                <w:rFonts w:ascii="Arial" w:cs="Arial" w:eastAsia="Arial" w:hAnsi="Arial"/>
                <w:sz w:val="14"/>
                <w:szCs w:val="14"/>
                <w:b w:val="1"/>
                <w:bCs w:val="1"/>
                <w:color w:val="auto"/>
                <w:w w:val="94"/>
              </w:rPr>
              <w:t>Weighted-</w:t>
            </w:r>
          </w:p>
        </w:tc>
      </w:tr>
      <w:tr>
        <w:trPr>
          <w:trHeight w:val="203"/>
        </w:trPr>
        <w:tc>
          <w:tcPr>
            <w:tcW w:w="5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Number of</w:t>
            </w:r>
          </w:p>
        </w:tc>
        <w:tc>
          <w:tcPr>
            <w:tcW w:w="240" w:type="dxa"/>
            <w:vAlign w:val="bottom"/>
          </w:tcPr>
          <w:p>
            <w:pPr>
              <w:spacing w:after="0"/>
              <w:rPr>
                <w:sz w:val="17"/>
                <w:szCs w:val="17"/>
                <w:color w:val="auto"/>
              </w:rPr>
            </w:pPr>
          </w:p>
        </w:tc>
        <w:tc>
          <w:tcPr>
            <w:tcW w:w="1200" w:type="dxa"/>
            <w:vAlign w:val="bottom"/>
          </w:tcPr>
          <w:p>
            <w:pPr>
              <w:jc w:val="center"/>
              <w:ind w:right="139"/>
              <w:spacing w:after="0"/>
              <w:rPr>
                <w:sz w:val="20"/>
                <w:szCs w:val="20"/>
                <w:color w:val="auto"/>
              </w:rPr>
            </w:pPr>
            <w:r>
              <w:rPr>
                <w:rFonts w:ascii="Arial" w:cs="Arial" w:eastAsia="Arial" w:hAnsi="Arial"/>
                <w:sz w:val="14"/>
                <w:szCs w:val="14"/>
                <w:b w:val="1"/>
                <w:bCs w:val="1"/>
                <w:color w:val="auto"/>
                <w:w w:val="90"/>
              </w:rPr>
              <w:t>Average</w:t>
            </w:r>
          </w:p>
        </w:tc>
      </w:tr>
      <w:tr>
        <w:trPr>
          <w:trHeight w:val="203"/>
        </w:trPr>
        <w:tc>
          <w:tcPr>
            <w:tcW w:w="5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RSUs</w:t>
            </w:r>
          </w:p>
        </w:tc>
        <w:tc>
          <w:tcPr>
            <w:tcW w:w="240" w:type="dxa"/>
            <w:vAlign w:val="bottom"/>
          </w:tcPr>
          <w:p>
            <w:pPr>
              <w:spacing w:after="0"/>
              <w:rPr>
                <w:sz w:val="17"/>
                <w:szCs w:val="17"/>
                <w:color w:val="auto"/>
              </w:rPr>
            </w:pPr>
          </w:p>
        </w:tc>
        <w:tc>
          <w:tcPr>
            <w:tcW w:w="1200" w:type="dxa"/>
            <w:vAlign w:val="bottom"/>
          </w:tcPr>
          <w:p>
            <w:pPr>
              <w:jc w:val="center"/>
              <w:ind w:right="159"/>
              <w:spacing w:after="0"/>
              <w:rPr>
                <w:sz w:val="20"/>
                <w:szCs w:val="20"/>
                <w:color w:val="auto"/>
              </w:rPr>
            </w:pPr>
            <w:r>
              <w:rPr>
                <w:rFonts w:ascii="Arial" w:cs="Arial" w:eastAsia="Arial" w:hAnsi="Arial"/>
                <w:sz w:val="14"/>
                <w:szCs w:val="14"/>
                <w:b w:val="1"/>
                <w:bCs w:val="1"/>
                <w:color w:val="auto"/>
                <w:w w:val="99"/>
              </w:rPr>
              <w:t>Grant-Date</w:t>
            </w:r>
          </w:p>
        </w:tc>
      </w:tr>
      <w:tr>
        <w:trPr>
          <w:trHeight w:val="189"/>
        </w:trPr>
        <w:tc>
          <w:tcPr>
            <w:tcW w:w="5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6"/>
                <w:szCs w:val="16"/>
                <w:color w:val="auto"/>
              </w:rPr>
            </w:pPr>
          </w:p>
        </w:tc>
        <w:tc>
          <w:tcPr>
            <w:tcW w:w="1200" w:type="dxa"/>
            <w:vAlign w:val="bottom"/>
          </w:tcPr>
          <w:p>
            <w:pPr>
              <w:jc w:val="center"/>
              <w:ind w:right="159"/>
              <w:spacing w:after="0"/>
              <w:rPr>
                <w:sz w:val="20"/>
                <w:szCs w:val="20"/>
                <w:color w:val="auto"/>
              </w:rPr>
            </w:pPr>
            <w:r>
              <w:rPr>
                <w:rFonts w:ascii="Arial" w:cs="Arial" w:eastAsia="Arial" w:hAnsi="Arial"/>
                <w:sz w:val="14"/>
                <w:szCs w:val="14"/>
                <w:b w:val="1"/>
                <w:bCs w:val="1"/>
                <w:color w:val="auto"/>
                <w:w w:val="95"/>
              </w:rPr>
              <w:t>Fair Value</w:t>
            </w:r>
          </w:p>
        </w:tc>
      </w:tr>
      <w:tr>
        <w:trPr>
          <w:trHeight w:val="79"/>
        </w:trPr>
        <w:tc>
          <w:tcPr>
            <w:tcW w:w="5220" w:type="dxa"/>
            <w:vAlign w:val="bottom"/>
            <w:tcBorders>
              <w:bottom w:val="single" w:sz="8" w:color="CCEEFF"/>
            </w:tcBorders>
          </w:tcPr>
          <w:p>
            <w:pPr>
              <w:spacing w:after="0"/>
              <w:rPr>
                <w:sz w:val="6"/>
                <w:szCs w:val="6"/>
                <w:color w:val="auto"/>
              </w:rPr>
            </w:pPr>
          </w:p>
        </w:tc>
        <w:tc>
          <w:tcPr>
            <w:tcW w:w="142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40" w:type="dxa"/>
            <w:vAlign w:val="bottom"/>
            <w:tcBorders>
              <w:bottom w:val="single" w:sz="8" w:color="CCEEFF"/>
            </w:tcBorders>
          </w:tcPr>
          <w:p>
            <w:pPr>
              <w:spacing w:after="0"/>
              <w:rPr>
                <w:sz w:val="6"/>
                <w:szCs w:val="6"/>
                <w:color w:val="auto"/>
              </w:rPr>
            </w:pPr>
          </w:p>
        </w:tc>
        <w:tc>
          <w:tcPr>
            <w:tcW w:w="40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r>
      <w:tr>
        <w:trPr>
          <w:trHeight w:val="244"/>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and outstanding-December 31, 2022</w:t>
            </w: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center"/>
              <w:ind w:left="710"/>
              <w:spacing w:after="0"/>
              <w:rPr>
                <w:sz w:val="20"/>
                <w:szCs w:val="20"/>
                <w:color w:val="auto"/>
              </w:rPr>
            </w:pPr>
            <w:r>
              <w:rPr>
                <w:rFonts w:ascii="Arial" w:cs="Arial" w:eastAsia="Arial" w:hAnsi="Arial"/>
                <w:sz w:val="18"/>
                <w:szCs w:val="18"/>
                <w:color w:val="auto"/>
                <w:w w:val="90"/>
              </w:rPr>
              <w:t>54,547</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Granted</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gridSpan w:val="2"/>
          </w:tcPr>
          <w:p>
            <w:pPr>
              <w:jc w:val="center"/>
              <w:ind w:left="710"/>
              <w:spacing w:after="0"/>
              <w:rPr>
                <w:sz w:val="20"/>
                <w:szCs w:val="20"/>
                <w:color w:val="auto"/>
              </w:rPr>
            </w:pPr>
            <w:r>
              <w:rPr>
                <w:rFonts w:ascii="Arial" w:cs="Arial" w:eastAsia="Arial" w:hAnsi="Arial"/>
                <w:sz w:val="18"/>
                <w:szCs w:val="18"/>
                <w:color w:val="auto"/>
                <w:w w:val="90"/>
              </w:rPr>
              <w:t>45,022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7"/>
        </w:trPr>
        <w:tc>
          <w:tcPr>
            <w:tcW w:w="5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center"/>
              <w:ind w:left="690"/>
              <w:spacing w:after="0"/>
              <w:rPr>
                <w:sz w:val="20"/>
                <w:szCs w:val="20"/>
                <w:color w:val="auto"/>
              </w:rPr>
            </w:pPr>
            <w:r>
              <w:rPr>
                <w:rFonts w:ascii="Arial" w:cs="Arial" w:eastAsia="Arial" w:hAnsi="Arial"/>
                <w:sz w:val="18"/>
                <w:szCs w:val="18"/>
                <w:color w:val="auto"/>
                <w:w w:val="89"/>
              </w:rPr>
              <w:t>(26,749)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gridSpan w:val="2"/>
          </w:tcPr>
          <w:p>
            <w:pPr>
              <w:jc w:val="center"/>
              <w:ind w:left="690"/>
              <w:spacing w:after="0"/>
              <w:rPr>
                <w:sz w:val="20"/>
                <w:szCs w:val="20"/>
                <w:color w:val="auto"/>
              </w:rPr>
            </w:pPr>
            <w:r>
              <w:rPr>
                <w:rFonts w:ascii="Arial" w:cs="Arial" w:eastAsia="Arial" w:hAnsi="Arial"/>
                <w:sz w:val="18"/>
                <w:szCs w:val="18"/>
                <w:color w:val="auto"/>
                <w:w w:val="89"/>
              </w:rPr>
              <w:t>(12,503)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11.75</w:t>
            </w:r>
          </w:p>
        </w:tc>
      </w:tr>
      <w:tr>
        <w:trPr>
          <w:trHeight w:val="27"/>
        </w:trPr>
        <w:tc>
          <w:tcPr>
            <w:tcW w:w="52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r>
      <w:tr>
        <w:trPr>
          <w:trHeight w:val="284"/>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and outstanding-September 30, 2023</w:t>
            </w: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center"/>
              <w:ind w:left="710"/>
              <w:spacing w:after="0"/>
              <w:rPr>
                <w:sz w:val="20"/>
                <w:szCs w:val="20"/>
                <w:color w:val="auto"/>
              </w:rPr>
            </w:pPr>
            <w:r>
              <w:rPr>
                <w:rFonts w:ascii="Arial" w:cs="Arial" w:eastAsia="Arial" w:hAnsi="Arial"/>
                <w:sz w:val="18"/>
                <w:szCs w:val="18"/>
                <w:color w:val="auto"/>
                <w:w w:val="90"/>
              </w:rPr>
              <w:t>60,317</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has granted Restricted Shares to certain continuing employees, primarily in connection with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ESPP</w:t>
      </w:r>
    </w:p>
    <w:p>
      <w:pPr>
        <w:spacing w:after="0" w:line="225" w:lineRule="exact"/>
        <w:rPr>
          <w:sz w:val="20"/>
          <w:szCs w:val="20"/>
          <w:color w:val="auto"/>
        </w:rPr>
      </w:pPr>
    </w:p>
    <w:p>
      <w:pPr>
        <w:jc w:val="both"/>
        <w:ind w:right="160" w:firstLine="405"/>
        <w:spacing w:after="0" w:line="263" w:lineRule="auto"/>
        <w:rPr>
          <w:sz w:val="20"/>
          <w:szCs w:val="20"/>
          <w:color w:val="auto"/>
        </w:rPr>
      </w:pPr>
      <w:r>
        <w:rPr>
          <w:rFonts w:ascii="Arial" w:cs="Arial" w:eastAsia="Arial" w:hAnsi="Arial"/>
          <w:sz w:val="18"/>
          <w:szCs w:val="18"/>
          <w:color w:val="auto"/>
        </w:rPr>
        <w:t>The first offering period for the Company's 2020 ESPP began on March 1, 2022. The ESPP, pursuant to Internal Revenue Code Section 423, allows eligible participants to purchase shares using payroll deductions of up to 15% of their total compensation, subject to a $25,000 calendar year limitation on contributions. Prior to March 2023, the Company limited the</w:t>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maximum number of shares to be purchased in an offering period to 1,000 shares per employee, and each offering period was six months in duration. Beginning in March 2023, the maximum number of shares to be purchased in an offering period was increased to 10,000 shares per employee, 5,000 per purchase period, and each offering period is 12 months in duration, with two 6-month purchase periods. The ESPP allows eligible employees to purchase shares of the Company’s common stock at a 15% discount on the lower price of either (i) the offer period start date or (ii) the purchase date. The ESPP also includes a reset provision for the purchase price if the stock price on the purchase date is less than the stock price on the offering date. ESPP employee payroll contributions withheld as of September 30, 2023 were $1.0 million and are included within Accounts payable and other accrued liabilities in the condensed consolidated balance sheets. Payroll contributions withheld as of September 30, 2023 will be used to purchase shares at the end of the current ESPP purchase period ending on February 29, 2024.</w:t>
      </w:r>
    </w:p>
    <w:p>
      <w:pPr>
        <w:spacing w:after="0" w:line="178"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The fair value of ESPP purchase rights is estimated at the date of grant using the Black-Scholes option-pricing valuation model. The following assumptions were applied in the model to estimate the grant-date fair value of the ESPP.</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jc w:val="right"/>
              <w:ind w:right="235"/>
              <w:spacing w:after="0"/>
              <w:rPr>
                <w:sz w:val="20"/>
                <w:szCs w:val="20"/>
                <w:color w:val="auto"/>
              </w:rPr>
            </w:pPr>
            <w:r>
              <w:rPr>
                <w:rFonts w:ascii="Arial" w:cs="Arial" w:eastAsia="Arial" w:hAnsi="Arial"/>
                <w:sz w:val="14"/>
                <w:szCs w:val="14"/>
                <w:b w:val="1"/>
                <w:bCs w:val="1"/>
                <w:color w:val="auto"/>
              </w:rPr>
              <w:t>Nine Months Ended</w:t>
            </w:r>
          </w:p>
        </w:tc>
      </w:tr>
      <w:tr>
        <w:trPr>
          <w:trHeight w:val="186"/>
        </w:trPr>
        <w:tc>
          <w:tcPr>
            <w:tcW w:w="9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ind w:right="255"/>
              <w:spacing w:after="0"/>
              <w:rPr>
                <w:sz w:val="20"/>
                <w:szCs w:val="20"/>
                <w:color w:val="auto"/>
              </w:rPr>
            </w:pPr>
            <w:r>
              <w:rPr>
                <w:rFonts w:ascii="Arial" w:cs="Arial" w:eastAsia="Arial" w:hAnsi="Arial"/>
                <w:sz w:val="14"/>
                <w:szCs w:val="14"/>
                <w:b w:val="1"/>
                <w:bCs w:val="1"/>
                <w:color w:val="auto"/>
                <w:w w:val="99"/>
              </w:rPr>
              <w:t>September 30, 2023</w:t>
            </w:r>
          </w:p>
        </w:tc>
      </w:tr>
      <w:tr>
        <w:trPr>
          <w:trHeight w:val="39"/>
        </w:trPr>
        <w:tc>
          <w:tcPr>
            <w:tcW w:w="93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43"/>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w:t>
            </w: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$0.64 – $2.13</w:t>
            </w:r>
          </w:p>
        </w:tc>
      </w:tr>
      <w:tr>
        <w:trPr>
          <w:trHeight w:val="243"/>
        </w:trPr>
        <w:tc>
          <w:tcPr>
            <w:tcW w:w="938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101.8% - 119.1%</w:t>
            </w:r>
          </w:p>
        </w:tc>
      </w:tr>
      <w:tr>
        <w:trPr>
          <w:trHeight w:val="27"/>
        </w:trPr>
        <w:tc>
          <w:tcPr>
            <w:tcW w:w="9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rate</w:t>
            </w: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 – 5.47%</w:t>
            </w:r>
          </w:p>
        </w:tc>
      </w:tr>
      <w:tr>
        <w:trPr>
          <w:trHeight w:val="243"/>
        </w:trPr>
        <w:tc>
          <w:tcPr>
            <w:tcW w:w="9380" w:type="dxa"/>
            <w:vAlign w:val="bottom"/>
          </w:tcPr>
          <w:p>
            <w:pPr>
              <w:ind w:left="20"/>
              <w:spacing w:after="0"/>
              <w:rPr>
                <w:sz w:val="20"/>
                <w:szCs w:val="20"/>
                <w:color w:val="auto"/>
              </w:rPr>
            </w:pPr>
            <w:r>
              <w:rPr>
                <w:rFonts w:ascii="Arial" w:cs="Arial" w:eastAsia="Arial" w:hAnsi="Arial"/>
                <w:sz w:val="18"/>
                <w:szCs w:val="18"/>
                <w:color w:val="auto"/>
              </w:rPr>
              <w:t>Expected life (in years)</w:t>
            </w: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0.5 – 1.0</w:t>
            </w:r>
          </w:p>
        </w:tc>
      </w:tr>
      <w:tr>
        <w:trPr>
          <w:trHeight w:val="27"/>
        </w:trPr>
        <w:tc>
          <w:tcPr>
            <w:tcW w:w="9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93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296"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As of September 30, 2023, total estimated unrecognized compensation expense related to the ESPP was $2 million. The unamortized compensation costs are expected to be recognized over the remaining term of the offering period of 0.6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jc w:val="both"/>
        <w:ind w:right="280" w:firstLine="405"/>
        <w:spacing w:after="0" w:line="263" w:lineRule="auto"/>
        <w:rPr>
          <w:sz w:val="20"/>
          <w:szCs w:val="20"/>
          <w:color w:val="auto"/>
        </w:rPr>
      </w:pPr>
      <w:r>
        <w:rPr>
          <w:rFonts w:ascii="Arial" w:cs="Arial" w:eastAsia="Arial" w:hAnsi="Arial"/>
          <w:sz w:val="18"/>
          <w:szCs w:val="18"/>
          <w:color w:val="auto"/>
        </w:rPr>
        <w:t>Stock-based compensation expense is allocated based on the cost center to which the award holder belongs. The following table summarizes total stock-based compensation expense by function as presented in the condensed consolidated statements of operations for the three and nine months ended September 30, 2023 and 2022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2520" w:type="dxa"/>
            <w:vAlign w:val="bottom"/>
            <w:gridSpan w:val="4"/>
          </w:tcPr>
          <w:p>
            <w:pPr>
              <w:jc w:val="right"/>
              <w:ind w:right="316"/>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Nine Months Ended</w:t>
            </w:r>
          </w:p>
        </w:tc>
        <w:tc>
          <w:tcPr>
            <w:tcW w:w="860" w:type="dxa"/>
            <w:vAlign w:val="bottom"/>
          </w:tcPr>
          <w:p>
            <w:pPr>
              <w:spacing w:after="0"/>
              <w:rPr>
                <w:sz w:val="14"/>
                <w:szCs w:val="14"/>
                <w:color w:val="auto"/>
              </w:rPr>
            </w:pPr>
          </w:p>
        </w:tc>
      </w:tr>
      <w:tr>
        <w:trPr>
          <w:trHeight w:val="186"/>
        </w:trPr>
        <w:tc>
          <w:tcPr>
            <w:tcW w:w="5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80" w:type="dxa"/>
            <w:vAlign w:val="bottom"/>
            <w:gridSpan w:val="3"/>
          </w:tcPr>
          <w:p>
            <w:pPr>
              <w:jc w:val="right"/>
              <w:ind w:right="536"/>
              <w:spacing w:after="0"/>
              <w:rPr>
                <w:sz w:val="20"/>
                <w:szCs w:val="20"/>
                <w:color w:val="auto"/>
              </w:rPr>
            </w:pPr>
            <w:r>
              <w:rPr>
                <w:rFonts w:ascii="Arial" w:cs="Arial" w:eastAsia="Arial" w:hAnsi="Arial"/>
                <w:sz w:val="14"/>
                <w:szCs w:val="14"/>
                <w:b w:val="1"/>
                <w:bCs w:val="1"/>
                <w:color w:val="auto"/>
                <w:w w:val="98"/>
              </w:rPr>
              <w:t>September 30,</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16"/>
                <w:szCs w:val="16"/>
                <w:color w:val="auto"/>
              </w:rPr>
            </w:pPr>
          </w:p>
        </w:tc>
      </w:tr>
      <w:tr>
        <w:trPr>
          <w:trHeight w:val="52"/>
        </w:trPr>
        <w:tc>
          <w:tcPr>
            <w:tcW w:w="526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184"/>
        </w:trPr>
        <w:tc>
          <w:tcPr>
            <w:tcW w:w="5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76"/>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jc w:val="right"/>
              <w:ind w:right="494"/>
              <w:spacing w:after="0"/>
              <w:rPr>
                <w:sz w:val="20"/>
                <w:szCs w:val="20"/>
                <w:color w:val="auto"/>
              </w:rPr>
            </w:pPr>
            <w:r>
              <w:rPr>
                <w:rFonts w:ascii="Arial" w:cs="Arial" w:eastAsia="Arial" w:hAnsi="Arial"/>
                <w:sz w:val="14"/>
                <w:szCs w:val="14"/>
                <w:b w:val="1"/>
                <w:bCs w:val="1"/>
                <w:color w:val="auto"/>
                <w:w w:val="83"/>
              </w:rPr>
              <w:t>2022</w:t>
            </w:r>
          </w:p>
        </w:tc>
      </w:tr>
      <w:tr>
        <w:trPr>
          <w:trHeight w:val="39"/>
        </w:trPr>
        <w:tc>
          <w:tcPr>
            <w:tcW w:w="526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44"/>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43"/>
        </w:trPr>
        <w:tc>
          <w:tcPr>
            <w:tcW w:w="5260" w:type="dxa"/>
            <w:vAlign w:val="bottom"/>
          </w:tcPr>
          <w:p>
            <w:pPr>
              <w:ind w:left="20"/>
              <w:spacing w:after="0"/>
              <w:rPr>
                <w:sz w:val="20"/>
                <w:szCs w:val="20"/>
                <w:color w:val="auto"/>
              </w:rPr>
            </w:pPr>
            <w:r>
              <w:rPr>
                <w:rFonts w:ascii="Arial" w:cs="Arial" w:eastAsia="Arial" w:hAnsi="Arial"/>
                <w:sz w:val="18"/>
                <w:szCs w:val="18"/>
                <w:color w:val="auto"/>
              </w:rPr>
              <w:t>Sales, marketing and operations</w:t>
            </w:r>
          </w:p>
        </w:tc>
        <w:tc>
          <w:tcPr>
            <w:tcW w:w="9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5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 and development</w:t>
            </w:r>
          </w:p>
        </w:tc>
        <w:tc>
          <w:tcPr>
            <w:tcW w:w="9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63"/>
        </w:trPr>
        <w:tc>
          <w:tcPr>
            <w:tcW w:w="526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w:t>
            </w:r>
          </w:p>
        </w:tc>
      </w:tr>
      <w:tr>
        <w:trPr>
          <w:trHeight w:val="20"/>
        </w:trPr>
        <w:tc>
          <w:tcPr>
            <w:tcW w:w="5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nine months ended September 30, 2023, no market condition awards satisfied their market condition.</w:t>
      </w:r>
    </w:p>
    <w:p>
      <w:pPr>
        <w:spacing w:after="0" w:line="225"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As of September 30, 2023, there was $211 million of unamortized stock-based compensation costs related to unvested RSUs. The unamortized compensation costs are expected to be recognized over a weighted-average period of approximately 1.7 years.</w:t>
      </w:r>
    </w:p>
    <w:p>
      <w:pPr>
        <w:spacing w:after="0" w:line="16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Warrants</w:t>
      </w:r>
    </w:p>
    <w:p>
      <w:pPr>
        <w:spacing w:after="0" w:line="225"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On July 28, 2022, the Company entered into a warrant agreement with Zillow, Inc. (“Zillow”) in connection with a partnership arrangement that allows for Zillow to purchase up to 6 million shares of common stock that will vest in tranches (each, a “Tranche”) upon Zillow providing resale marketing services to the Company. Each Tranche will have an exercise price per share equal to the 30-day trailing volume weighted average price per share of Opendoor Common Stock (“VWAP”) prior to the vesting date of that Tranche, subject to a $15 floor and $30 cap per share. After a Tranche has vested, the Tranche can be</w:t>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exercised via a cash payment or a cashless exercise; provided that the Company has the option to cash settle any exercise. The warrant expires in July 2027, subject to extension for an additional Tranche and early termination under limited circumstances. Zillow began providing marketing services under the partnership arrangement in March 2023. As of September 30, 2023, no warrant shares had vested.</w:t>
      </w:r>
    </w:p>
    <w:p>
      <w:pPr>
        <w:spacing w:after="0" w:line="18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tab/>
        <w:t>INCOME TAXES</w:t>
      </w:r>
    </w:p>
    <w:p>
      <w:pPr>
        <w:spacing w:after="0" w:line="229"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Company's tax provision and the resulting effective tax rate for interim periods is determined based upon its estimated annual effective tax rate adjusted for the effect of discrete items arising in that quarter.</w:t>
      </w:r>
    </w:p>
    <w:p>
      <w:pPr>
        <w:spacing w:after="0" w:line="170"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 xml:space="preserve">The Company’s provision for income taxes, which was primarily composed of state tax expense, was nominal and $1 million for the </w:t>
      </w:r>
      <w:r>
        <w:rPr>
          <w:rFonts w:ascii="Arial" w:cs="Arial" w:eastAsia="Arial" w:hAnsi="Arial"/>
          <w:sz w:val="18"/>
          <w:szCs w:val="18"/>
          <w:color w:val="242424"/>
        </w:rPr>
        <w:t>three and nine</w:t>
      </w:r>
      <w:r>
        <w:rPr>
          <w:rFonts w:ascii="Arial" w:cs="Arial" w:eastAsia="Arial" w:hAnsi="Arial"/>
          <w:sz w:val="18"/>
          <w:szCs w:val="18"/>
          <w:color w:val="auto"/>
        </w:rPr>
        <w:t xml:space="preserve"> </w:t>
      </w:r>
      <w:r>
        <w:rPr>
          <w:rFonts w:ascii="Arial" w:cs="Arial" w:eastAsia="Arial" w:hAnsi="Arial"/>
          <w:sz w:val="18"/>
          <w:szCs w:val="18"/>
          <w:color w:val="242424"/>
        </w:rPr>
        <w:t xml:space="preserve">months ended </w:t>
      </w:r>
      <w:r>
        <w:rPr>
          <w:rFonts w:ascii="Arial" w:cs="Arial" w:eastAsia="Arial" w:hAnsi="Arial"/>
          <w:sz w:val="18"/>
          <w:szCs w:val="18"/>
          <w:color w:val="000000"/>
        </w:rPr>
        <w:t>September 30, 2023, respectively, with an effective tax rate of (0.09)% and (0.38)%, respectively. The Company's provision for income taxes</w:t>
      </w:r>
      <w:r>
        <w:rPr>
          <w:rFonts w:ascii="Arial" w:cs="Arial" w:eastAsia="Arial" w:hAnsi="Arial"/>
          <w:sz w:val="18"/>
          <w:szCs w:val="18"/>
          <w:color w:val="242424"/>
        </w:rPr>
        <w:t xml:space="preserve"> </w:t>
      </w:r>
      <w:r>
        <w:rPr>
          <w:rFonts w:ascii="Arial" w:cs="Arial" w:eastAsia="Arial" w:hAnsi="Arial"/>
          <w:sz w:val="18"/>
          <w:szCs w:val="18"/>
          <w:color w:val="000000"/>
        </w:rPr>
        <w:t>was $1 million and $2 million for the three and nine months ended September 30, 2022, respectively, with an effective tax rate of (0.08)% and (0.19)%, respectively. The effective tax rate differs from the U.S. statutory tax rate primarily due to the recording of a full valuation allowance against the net deferred tax assets.</w:t>
      </w:r>
    </w:p>
    <w:p>
      <w:pPr>
        <w:spacing w:after="0" w:line="188"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Company evaluated the positive and negative evidence bearing upon the realizability of its deferred tax assets. Based on the Company’s history of operating losses, including a three-year cumulative loss position, the Company believes that based on the weight of available evidence, it is more likely than not that all of the deferred tax assets will not be realized and recorded a full valuation allowance on its net deferred tax assets as of September 30, 2023 and December 31, 2022.</w:t>
      </w:r>
    </w:p>
    <w:p>
      <w:pPr>
        <w:spacing w:after="0" w:line="18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NET LOSS PER SHARE</w:t>
      </w:r>
    </w:p>
    <w:p>
      <w:pPr>
        <w:spacing w:after="0" w:line="229"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Basic net loss per share is computed based on the weighted average number of shares of common stock outstanding during the period. Diluted net loss per share is computed based on the weighted average number of common shares outstanding plus the effect of dilutive potential common shares outstanding during the period using the treasury stock method. During the periods when there is a net loss, potentially dilutive common stock equivalents have been excluded from the calculation of diluted net loss per share as their effect is anti-dilutive. No dividends were declared or paid for the three and nine months ended September 30, 2023 or 2022.</w:t>
      </w:r>
    </w:p>
    <w:p>
      <w:pPr>
        <w:spacing w:after="0" w:line="188" w:lineRule="exact"/>
        <w:rPr>
          <w:sz w:val="20"/>
          <w:szCs w:val="20"/>
          <w:color w:val="auto"/>
        </w:rPr>
      </w:pPr>
    </w:p>
    <w:p>
      <w:pPr>
        <w:ind w:right="40" w:firstLine="405"/>
        <w:spacing w:after="0" w:line="275" w:lineRule="auto"/>
        <w:rPr>
          <w:sz w:val="20"/>
          <w:szCs w:val="20"/>
          <w:color w:val="auto"/>
        </w:rPr>
      </w:pPr>
      <w:r>
        <w:rPr>
          <w:rFonts w:ascii="Arial" w:cs="Arial" w:eastAsia="Arial" w:hAnsi="Arial"/>
          <w:sz w:val="17"/>
          <w:szCs w:val="17"/>
          <w:color w:val="auto"/>
        </w:rPr>
        <w:t>The Company uses the two-class method to calculate net loss per share and apply the more dilutive of the two-class method, treasury stock method or if-converted method to calculate diluted net loss per share. Undistributed earnings for each period are allocated to participating securities, based on the contractual participation rights of the security to share in the current earnings as if all current period earnings had been distributed. As there is no contractual obligation for participating securities to share in losses, the Company’s basic net loss per share is computed by dividing the net loss attributable to common shareholders by the weighted-average shares of common stock outstanding during periods with undistributed losses.</w:t>
      </w:r>
    </w:p>
    <w:p>
      <w:pPr>
        <w:spacing w:after="0" w:line="176"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The following table sets forth the computation of the Company’s basic and diluted net loss per share attributable to common shareholders for the three and nine months ended September 30, 2023 and 2022 (in millions, except share amounts which are presented in thousands, and per share amounts):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0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5"/>
                <w:szCs w:val="15"/>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5"/>
                <w:szCs w:val="15"/>
                <w:color w:val="auto"/>
              </w:rPr>
            </w:pPr>
          </w:p>
        </w:tc>
      </w:tr>
      <w:tr>
        <w:trPr>
          <w:trHeight w:val="186"/>
        </w:trPr>
        <w:tc>
          <w:tcPr>
            <w:tcW w:w="5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16"/>
                <w:szCs w:val="16"/>
                <w:color w:val="auto"/>
              </w:rPr>
            </w:pPr>
          </w:p>
        </w:tc>
      </w:tr>
      <w:tr>
        <w:trPr>
          <w:trHeight w:val="39"/>
        </w:trPr>
        <w:tc>
          <w:tcPr>
            <w:tcW w:w="5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84"/>
        </w:trPr>
        <w:tc>
          <w:tcPr>
            <w:tcW w:w="5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jc w:val="right"/>
              <w:ind w:right="495"/>
              <w:spacing w:after="0"/>
              <w:rPr>
                <w:sz w:val="20"/>
                <w:szCs w:val="20"/>
                <w:color w:val="auto"/>
              </w:rPr>
            </w:pPr>
            <w:r>
              <w:rPr>
                <w:rFonts w:ascii="Arial" w:cs="Arial" w:eastAsia="Arial" w:hAnsi="Arial"/>
                <w:sz w:val="14"/>
                <w:szCs w:val="14"/>
                <w:b w:val="1"/>
                <w:bCs w:val="1"/>
                <w:color w:val="auto"/>
                <w:w w:val="83"/>
              </w:rPr>
              <w:t>2022</w:t>
            </w:r>
          </w:p>
        </w:tc>
      </w:tr>
      <w:tr>
        <w:trPr>
          <w:trHeight w:val="39"/>
        </w:trPr>
        <w:tc>
          <w:tcPr>
            <w:tcW w:w="52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3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net loss per share:</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Numerator:</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5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8"/>
              </w:rPr>
              <w:t>Net loss attributable to common shareholders – basic and diluted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w:t>
            </w: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r>
      <w:tr>
        <w:trPr>
          <w:trHeight w:val="27"/>
        </w:trPr>
        <w:tc>
          <w:tcPr>
            <w:tcW w:w="5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Weighted average shares outstanding – basic and diluted</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662,149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629,535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651,939</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624,581</w:t>
            </w:r>
          </w:p>
        </w:tc>
      </w:tr>
      <w:tr>
        <w:trPr>
          <w:trHeight w:val="264"/>
        </w:trPr>
        <w:tc>
          <w:tcPr>
            <w:tcW w:w="5240" w:type="dxa"/>
            <w:vAlign w:val="bottom"/>
          </w:tcPr>
          <w:p>
            <w:pPr>
              <w:ind w:left="20"/>
              <w:spacing w:after="0"/>
              <w:rPr>
                <w:sz w:val="20"/>
                <w:szCs w:val="20"/>
                <w:color w:val="auto"/>
              </w:rPr>
            </w:pPr>
            <w:r>
              <w:rPr>
                <w:rFonts w:ascii="Arial" w:cs="Arial" w:eastAsia="Arial" w:hAnsi="Arial"/>
                <w:sz w:val="18"/>
                <w:szCs w:val="18"/>
                <w:color w:val="auto"/>
              </w:rPr>
              <w:t>Basic and diluted net loss per share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8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r>
      <w:tr>
        <w:trPr>
          <w:trHeight w:val="20"/>
        </w:trPr>
        <w:tc>
          <w:tcPr>
            <w:tcW w:w="5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preferred dividends declared or accumulated for the periods presented.</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80" w:firstLine="405"/>
        <w:spacing w:after="0" w:line="308" w:lineRule="auto"/>
        <w:rPr>
          <w:sz w:val="20"/>
          <w:szCs w:val="20"/>
          <w:color w:val="auto"/>
        </w:rPr>
      </w:pPr>
      <w:r>
        <w:rPr>
          <w:rFonts w:ascii="Arial" w:cs="Arial" w:eastAsia="Arial" w:hAnsi="Arial"/>
          <w:sz w:val="17"/>
          <w:szCs w:val="17"/>
          <w:color w:val="auto"/>
        </w:rPr>
        <w:t>The following securities were not included in the computation of diluted shares outstanding because the effect would be anti-dilutive, or issuance of such shares is contingent upon the satisfaction of certain conditions which were not satisfied by the end of the period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40" w:type="dxa"/>
            <w:vAlign w:val="bottom"/>
          </w:tcPr>
          <w:p>
            <w:pPr>
              <w:spacing w:after="0"/>
              <w:rPr>
                <w:sz w:val="15"/>
                <w:szCs w:val="15"/>
                <w:color w:val="auto"/>
              </w:rPr>
            </w:pPr>
          </w:p>
        </w:tc>
        <w:tc>
          <w:tcPr>
            <w:tcW w:w="2380" w:type="dxa"/>
            <w:vAlign w:val="bottom"/>
            <w:gridSpan w:val="4"/>
          </w:tcPr>
          <w:p>
            <w:pPr>
              <w:jc w:val="center"/>
              <w:ind w:left="508"/>
              <w:spacing w:after="0"/>
              <w:rPr>
                <w:sz w:val="20"/>
                <w:szCs w:val="20"/>
                <w:color w:val="auto"/>
              </w:rPr>
            </w:pPr>
            <w:r>
              <w:rPr>
                <w:rFonts w:ascii="Arial" w:cs="Arial" w:eastAsia="Arial" w:hAnsi="Arial"/>
                <w:sz w:val="14"/>
                <w:szCs w:val="14"/>
                <w:b w:val="1"/>
                <w:bCs w:val="1"/>
                <w:color w:val="auto"/>
                <w:w w:val="95"/>
              </w:rPr>
              <w:t>Three Months Ended</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3"/>
          </w:tcPr>
          <w:p>
            <w:pPr>
              <w:jc w:val="center"/>
              <w:ind w:left="777"/>
              <w:spacing w:after="0"/>
              <w:rPr>
                <w:sz w:val="20"/>
                <w:szCs w:val="20"/>
                <w:color w:val="auto"/>
              </w:rPr>
            </w:pPr>
            <w:r>
              <w:rPr>
                <w:rFonts w:ascii="Arial" w:cs="Arial" w:eastAsia="Arial" w:hAnsi="Arial"/>
                <w:sz w:val="14"/>
                <w:szCs w:val="14"/>
                <w:b w:val="1"/>
                <w:bCs w:val="1"/>
                <w:color w:val="auto"/>
                <w:w w:val="94"/>
              </w:rPr>
              <w:t>Nine Months Ended</w:t>
            </w:r>
          </w:p>
        </w:tc>
        <w:tc>
          <w:tcPr>
            <w:tcW w:w="860" w:type="dxa"/>
            <w:vAlign w:val="bottom"/>
          </w:tcPr>
          <w:p>
            <w:pPr>
              <w:spacing w:after="0"/>
              <w:rPr>
                <w:sz w:val="15"/>
                <w:szCs w:val="15"/>
                <w:color w:val="auto"/>
              </w:rPr>
            </w:pPr>
          </w:p>
        </w:tc>
      </w:tr>
      <w:tr>
        <w:trPr>
          <w:trHeight w:val="186"/>
        </w:trPr>
        <w:tc>
          <w:tcPr>
            <w:tcW w:w="5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3"/>
          </w:tcPr>
          <w:p>
            <w:pPr>
              <w:jc w:val="center"/>
              <w:ind w:left="777"/>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Pr>
          <w:p>
            <w:pPr>
              <w:spacing w:after="0"/>
              <w:rPr>
                <w:sz w:val="16"/>
                <w:szCs w:val="16"/>
                <w:color w:val="auto"/>
              </w:rPr>
            </w:pPr>
          </w:p>
        </w:tc>
      </w:tr>
      <w:tr>
        <w:trPr>
          <w:trHeight w:val="39"/>
        </w:trPr>
        <w:tc>
          <w:tcPr>
            <w:tcW w:w="524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3"/>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84"/>
        </w:trPr>
        <w:tc>
          <w:tcPr>
            <w:tcW w:w="6100" w:type="dxa"/>
            <w:vAlign w:val="bottom"/>
            <w:gridSpan w:val="2"/>
          </w:tcPr>
          <w:p>
            <w:pPr>
              <w:ind w:left="5820"/>
              <w:spacing w:after="0"/>
              <w:rPr>
                <w:sz w:val="20"/>
                <w:szCs w:val="20"/>
                <w:color w:val="auto"/>
              </w:rPr>
            </w:pPr>
            <w:r>
              <w:rPr>
                <w:rFonts w:ascii="Arial" w:cs="Arial" w:eastAsia="Arial" w:hAnsi="Arial"/>
                <w:sz w:val="14"/>
                <w:szCs w:val="14"/>
                <w:b w:val="1"/>
                <w:bCs w:val="1"/>
                <w:color w:val="auto"/>
                <w:w w:val="83"/>
              </w:rPr>
              <w:t>2023</w:t>
            </w: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497"/>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jc w:val="right"/>
              <w:ind w:right="493"/>
              <w:spacing w:after="0"/>
              <w:rPr>
                <w:sz w:val="20"/>
                <w:szCs w:val="20"/>
                <w:color w:val="auto"/>
              </w:rPr>
            </w:pPr>
            <w:r>
              <w:rPr>
                <w:rFonts w:ascii="Arial" w:cs="Arial" w:eastAsia="Arial" w:hAnsi="Arial"/>
                <w:sz w:val="14"/>
                <w:szCs w:val="14"/>
                <w:b w:val="1"/>
                <w:bCs w:val="1"/>
                <w:color w:val="auto"/>
                <w:w w:val="83"/>
              </w:rPr>
              <w:t>2022</w:t>
            </w:r>
          </w:p>
        </w:tc>
      </w:tr>
      <w:tr>
        <w:trPr>
          <w:trHeight w:val="39"/>
        </w:trPr>
        <w:tc>
          <w:tcPr>
            <w:tcW w:w="524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43"/>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60,317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62,329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60,317</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62,329</w:t>
            </w:r>
          </w:p>
        </w:tc>
      </w:tr>
      <w:tr>
        <w:trPr>
          <w:trHeight w:val="243"/>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Options</w:t>
            </w:r>
          </w:p>
        </w:tc>
        <w:tc>
          <w:tcPr>
            <w:tcW w:w="560" w:type="dxa"/>
            <w:vAlign w:val="bottom"/>
          </w:tcPr>
          <w:p>
            <w:pPr>
              <w:jc w:val="right"/>
              <w:spacing w:after="0"/>
              <w:rPr>
                <w:sz w:val="20"/>
                <w:szCs w:val="20"/>
                <w:color w:val="auto"/>
              </w:rPr>
            </w:pPr>
            <w:r>
              <w:rPr>
                <w:rFonts w:ascii="Arial" w:cs="Arial" w:eastAsia="Arial" w:hAnsi="Arial"/>
                <w:sz w:val="18"/>
                <w:szCs w:val="18"/>
                <w:color w:val="auto"/>
              </w:rPr>
              <w:t>8,045</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11,083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8,045</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11,083</w:t>
            </w:r>
          </w:p>
        </w:tc>
      </w:tr>
      <w:tr>
        <w:trPr>
          <w:trHeight w:val="27"/>
        </w:trPr>
        <w:tc>
          <w:tcPr>
            <w:tcW w:w="5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Restricted Shares</w:t>
            </w:r>
          </w:p>
        </w:tc>
        <w:tc>
          <w:tcPr>
            <w:tcW w:w="1520" w:type="dxa"/>
            <w:vAlign w:val="bottom"/>
            <w:tcBorders>
              <w:bottom w:val="single" w:sz="8" w:color="CCEEFF"/>
            </w:tcBorders>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w:t>
            </w:r>
          </w:p>
        </w:tc>
      </w:tr>
      <w:tr>
        <w:trPr>
          <w:trHeight w:val="243"/>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Employee Stock Purchase Plan</w:t>
            </w:r>
          </w:p>
        </w:tc>
        <w:tc>
          <w:tcPr>
            <w:tcW w:w="560" w:type="dxa"/>
            <w:vAlign w:val="bottom"/>
          </w:tcPr>
          <w:p>
            <w:pPr>
              <w:jc w:val="right"/>
              <w:spacing w:after="0"/>
              <w:rPr>
                <w:sz w:val="20"/>
                <w:szCs w:val="20"/>
                <w:color w:val="auto"/>
              </w:rPr>
            </w:pPr>
            <w:r>
              <w:rPr>
                <w:rFonts w:ascii="Arial" w:cs="Arial" w:eastAsia="Arial" w:hAnsi="Arial"/>
                <w:sz w:val="18"/>
                <w:szCs w:val="18"/>
                <w:color w:val="auto"/>
              </w:rPr>
              <w:t>2,438</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2,438</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829</w:t>
            </w:r>
          </w:p>
        </w:tc>
      </w:tr>
      <w:tr>
        <w:trPr>
          <w:trHeight w:val="27"/>
        </w:trPr>
        <w:tc>
          <w:tcPr>
            <w:tcW w:w="52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83"/>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anti-dilutive securities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70,800</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74,726</w:t>
            </w:r>
          </w:p>
        </w:tc>
        <w:tc>
          <w:tcPr>
            <w:tcW w:w="10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70,800</w:t>
            </w: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74,726</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tab/>
        <w:t>BUSINESS ACQUISITION</w:t>
      </w:r>
    </w:p>
    <w:p>
      <w:pPr>
        <w:spacing w:after="0" w:line="229" w:lineRule="exact"/>
        <w:rPr>
          <w:sz w:val="20"/>
          <w:szCs w:val="20"/>
          <w:color w:val="auto"/>
        </w:rPr>
      </w:pPr>
    </w:p>
    <w:p>
      <w:pPr>
        <w:ind w:right="60" w:firstLine="405"/>
        <w:spacing w:after="0" w:line="342" w:lineRule="auto"/>
        <w:rPr>
          <w:sz w:val="20"/>
          <w:szCs w:val="20"/>
          <w:color w:val="auto"/>
        </w:rPr>
      </w:pPr>
      <w:r>
        <w:rPr>
          <w:rFonts w:ascii="Arial" w:cs="Arial" w:eastAsia="Arial" w:hAnsi="Arial"/>
          <w:sz w:val="16"/>
          <w:szCs w:val="16"/>
          <w:color w:val="auto"/>
        </w:rPr>
        <w:t>On November 4, 2022, the Company acquired TaxProper Inc. in exchange for $10 million in cash consideration. Acquired intangible assets consist of developed technology valued at $7 million and are being amortized over two years. Goodwill attributed to the TaxProper Inc. acquisition was $2 million.</w:t>
      </w:r>
    </w:p>
    <w:p>
      <w:pPr>
        <w:spacing w:after="0" w:line="12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tab/>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225"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In May 2023, the Company amended its Tempe, Arizona office lease to partially terminate the Company’s obligation with respect to a portion of the leased premises (“Partial Lease Termination”). The Partial Lease Termination resulted in a decrease of undiscounted, future lease payments of $19 million. As a result of the Partial Lease Termination, the Company remeasured its operating lease liabilities and recorded a decrease of $10 million to reflect the reduced lease payments and termination penalties. The Company also recorded a decrease to right-of-use assets of $9 million based on the proportionate decrease in the right-of-use asset, which resulted in a gain of $1 million recognized in general and administrative expense on the consolidated statements of operations for the nine months ended September 30, 2023.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25"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From time to time, the Company may be subject to potential liability relating to the ownership and operations of the Company’s properties. Accruals are recorded when the outcome is probable and can be reasonably estimated.</w:t>
      </w:r>
    </w:p>
    <w:p>
      <w:pPr>
        <w:spacing w:after="0" w:line="170"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There are various claims and lawsuits arising in the normal course of business pending against the Company, some of which seek damages and other relief which, if granted, may require future cash expenditures. In addition, from time to time the Company receives inquiries and audit requests from various government agencies and fully cooperates with these requests. The Company does not believe that it is reasonably possible that the resolution of these matters would result in any liability that would materially affect the Company’s condensed consolidated results of operations or financial condition except as noted below.</w:t>
      </w:r>
    </w:p>
    <w:p>
      <w:pPr>
        <w:spacing w:after="0" w:line="188"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 xml:space="preserve">On October 7, 2022 and November 22, 2022, purported securities class action lawsuits were filed in the United States District Court for the District of Arizona, captioned </w:t>
      </w:r>
      <w:r>
        <w:rPr>
          <w:rFonts w:ascii="Arial" w:cs="Arial" w:eastAsia="Arial" w:hAnsi="Arial"/>
          <w:sz w:val="18"/>
          <w:szCs w:val="18"/>
          <w:i w:val="1"/>
          <w:iCs w:val="1"/>
          <w:color w:val="auto"/>
        </w:rPr>
        <w:t>Alich v. Opendoor Technologies Inc., et al.</w:t>
      </w:r>
      <w:r>
        <w:rPr>
          <w:rFonts w:ascii="Arial" w:cs="Arial" w:eastAsia="Arial" w:hAnsi="Arial"/>
          <w:sz w:val="18"/>
          <w:szCs w:val="18"/>
          <w:color w:val="auto"/>
        </w:rPr>
        <w:t xml:space="preserve"> (Case No. 2:22-cv-01717-JFM) (“Alich”) and </w:t>
      </w:r>
      <w:r>
        <w:rPr>
          <w:rFonts w:ascii="Arial" w:cs="Arial" w:eastAsia="Arial" w:hAnsi="Arial"/>
          <w:sz w:val="18"/>
          <w:szCs w:val="18"/>
          <w:i w:val="1"/>
          <w:iCs w:val="1"/>
          <w:color w:val="auto"/>
        </w:rPr>
        <w:t>Oakland County Voluntary Employee’s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Beneficiary Association, et al. v. Opendoor Technologies Inc., et al. </w:t>
      </w:r>
      <w:r>
        <w:rPr>
          <w:rFonts w:ascii="Arial" w:cs="Arial" w:eastAsia="Arial" w:hAnsi="Arial"/>
          <w:sz w:val="18"/>
          <w:szCs w:val="18"/>
          <w:color w:val="auto"/>
        </w:rPr>
        <w:t>(Case No. 2:22-cv-01987-GMS) (“Oakland County”), respectively. The lawsuits were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consolidated into a single action, captioned </w:t>
      </w:r>
      <w:r>
        <w:rPr>
          <w:rFonts w:ascii="Arial" w:cs="Arial" w:eastAsia="Arial" w:hAnsi="Arial"/>
          <w:sz w:val="18"/>
          <w:szCs w:val="18"/>
          <w:i w:val="1"/>
          <w:iCs w:val="1"/>
          <w:color w:val="auto"/>
        </w:rPr>
        <w:t>In re Opendoor Technologies Inc. Securities Litigation</w:t>
      </w:r>
      <w:r>
        <w:rPr>
          <w:rFonts w:ascii="Arial" w:cs="Arial" w:eastAsia="Arial" w:hAnsi="Arial"/>
          <w:sz w:val="18"/>
          <w:szCs w:val="18"/>
          <w:color w:val="auto"/>
        </w:rPr>
        <w:t xml:space="preserve"> (Case No. 2:22-CV-01717-MTL). The consolidated amended complaint names as defendants the Company, Social Capital Hedosophia Holdings Corp. II (SCH"), certain of the Company’s current and former officers and directors and the underwriters of a securities offering the Company made in February 2021. The complaint alleges that the Company and certain officers violated Section 10(b) of the Exchange Act and SEC Rule 10b-5, and that the Company, SCH, certain officers and directors and the underwriters violated Section 11 of the Securities Act, in each case by making materially false or misleading statements related to the effectiveness of the Company’s pricing algorithm. The plaintiffs also allege that certain defendants violated Section 20(a) of the Exchange Act and Section 15 of the Securities Act,</w:t>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OPENDOOR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(Tabular amounts in millions, except share and per share amounts, ratios, or as noted)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respectively, which provide for control person liability. The complaint asserts claims on behalf of all persons and entities that purchased, or otherwise acquired, Company common stock between December 21, 2020 and November 3, 2022 or pursuant to offering documents issued in connection with our business combination with SCH and the secondary public offering conducted by the Company in February 2021. The plaintiffs seek class certification, an award of unspecified compensatory damages, an award of interest and reasonable costs and expenses, including attorneys’ fees and expert fees, and other and further relief as the court may deem just and proper. The defendants filed motions to dismiss on June 30, 2023, which are pending before the court. We believe that the allegations in the complaint are without merit and we intend to vigorously defend ourselves in the matter.</w:t>
      </w:r>
    </w:p>
    <w:p>
      <w:pPr>
        <w:spacing w:after="0" w:line="164" w:lineRule="exact"/>
        <w:rPr>
          <w:sz w:val="20"/>
          <w:szCs w:val="20"/>
          <w:color w:val="auto"/>
        </w:rPr>
      </w:pPr>
    </w:p>
    <w:p>
      <w:pPr>
        <w:ind w:right="80" w:firstLine="405"/>
        <w:spacing w:after="0" w:line="268" w:lineRule="auto"/>
        <w:rPr>
          <w:sz w:val="20"/>
          <w:szCs w:val="20"/>
          <w:color w:val="auto"/>
        </w:rPr>
      </w:pPr>
      <w:r>
        <w:rPr>
          <w:rFonts w:ascii="Arial" w:cs="Arial" w:eastAsia="Arial" w:hAnsi="Arial"/>
          <w:sz w:val="17"/>
          <w:szCs w:val="17"/>
          <w:color w:val="auto"/>
        </w:rPr>
        <w:t xml:space="preserve">On March 1, 2023 and March 15, 2023, shareholder derivative lawsuits were filed in the United States District Court for the District of Arizona, captioned </w:t>
      </w:r>
      <w:r>
        <w:rPr>
          <w:rFonts w:ascii="Arial" w:cs="Arial" w:eastAsia="Arial" w:hAnsi="Arial"/>
          <w:sz w:val="17"/>
          <w:szCs w:val="17"/>
          <w:i w:val="1"/>
          <w:iCs w:val="1"/>
          <w:color w:val="auto"/>
        </w:rPr>
        <w:t>Carlson v. Rice, et al.</w:t>
      </w:r>
      <w:r>
        <w:rPr>
          <w:rFonts w:ascii="Arial" w:cs="Arial" w:eastAsia="Arial" w:hAnsi="Arial"/>
          <w:sz w:val="17"/>
          <w:szCs w:val="17"/>
          <w:color w:val="auto"/>
        </w:rPr>
        <w:t xml:space="preserve"> (Case No. 2:23-cv-00367-GMS) and </w:t>
      </w:r>
      <w:r>
        <w:rPr>
          <w:rFonts w:ascii="Arial" w:cs="Arial" w:eastAsia="Arial" w:hAnsi="Arial"/>
          <w:sz w:val="17"/>
          <w:szCs w:val="17"/>
          <w:i w:val="1"/>
          <w:iCs w:val="1"/>
          <w:color w:val="auto"/>
        </w:rPr>
        <w:t>Van Dorn v. Wu, et al.</w:t>
      </w:r>
      <w:r>
        <w:rPr>
          <w:rFonts w:ascii="Arial" w:cs="Arial" w:eastAsia="Arial" w:hAnsi="Arial"/>
          <w:sz w:val="17"/>
          <w:szCs w:val="17"/>
          <w:color w:val="auto"/>
        </w:rPr>
        <w:t xml:space="preserve"> (Case No. 2:23-cv-00455-DMF), respectively, which were subsequently consolidated into a single action, captioned </w:t>
      </w:r>
      <w:r>
        <w:rPr>
          <w:rFonts w:ascii="Arial" w:cs="Arial" w:eastAsia="Arial" w:hAnsi="Arial"/>
          <w:sz w:val="17"/>
          <w:szCs w:val="17"/>
          <w:i w:val="1"/>
          <w:iCs w:val="1"/>
          <w:color w:val="auto"/>
        </w:rPr>
        <w:t>Carlson v. Rice</w:t>
      </w:r>
      <w:r>
        <w:rPr>
          <w:rFonts w:ascii="Arial" w:cs="Arial" w:eastAsia="Arial" w:hAnsi="Arial"/>
          <w:sz w:val="17"/>
          <w:szCs w:val="17"/>
          <w:color w:val="auto"/>
        </w:rPr>
        <w:t xml:space="preserve"> (Case No. 2:23-CV-00367-GMS). Plaintiffs voluntarily dismissed the matter on June 22, 2023, and thereafter re-filed complaints in the Court of Chancery of the State of Delaware, captioned </w:t>
      </w:r>
      <w:r>
        <w:rPr>
          <w:rFonts w:ascii="Arial" w:cs="Arial" w:eastAsia="Arial" w:hAnsi="Arial"/>
          <w:sz w:val="17"/>
          <w:szCs w:val="17"/>
          <w:i w:val="1"/>
          <w:iCs w:val="1"/>
          <w:color w:val="auto"/>
        </w:rPr>
        <w:t>Carlson v. Rice, et al.</w:t>
      </w:r>
      <w:r>
        <w:rPr>
          <w:rFonts w:ascii="Arial" w:cs="Arial" w:eastAsia="Arial" w:hAnsi="Arial"/>
          <w:sz w:val="17"/>
          <w:szCs w:val="17"/>
          <w:color w:val="auto"/>
        </w:rPr>
        <w:t xml:space="preserve"> (Case No. 2023-0642) and </w:t>
      </w:r>
      <w:r>
        <w:rPr>
          <w:rFonts w:ascii="Arial" w:cs="Arial" w:eastAsia="Arial" w:hAnsi="Arial"/>
          <w:sz w:val="17"/>
          <w:szCs w:val="17"/>
          <w:i w:val="1"/>
          <w:iCs w:val="1"/>
          <w:color w:val="auto"/>
        </w:rPr>
        <w:t>Van Dorn v. Rice, et al.</w:t>
      </w:r>
      <w:r>
        <w:rPr>
          <w:rFonts w:ascii="Arial" w:cs="Arial" w:eastAsia="Arial" w:hAnsi="Arial"/>
          <w:sz w:val="17"/>
          <w:szCs w:val="17"/>
          <w:color w:val="auto"/>
        </w:rPr>
        <w:t xml:space="preserve"> (Case No. 2023-0643). The cases have been consolidated into a single action, captioned Opendoor Technologies Inc. Stockholder Derivative Litigation (Case No. 2023-0642). On June 29, 2023, a shareholder derivative lawsuit was filed in the United States District Court for the State of Delaware, captioned </w:t>
      </w:r>
      <w:r>
        <w:rPr>
          <w:rFonts w:ascii="Arial" w:cs="Arial" w:eastAsia="Arial" w:hAnsi="Arial"/>
          <w:sz w:val="17"/>
          <w:szCs w:val="17"/>
          <w:i w:val="1"/>
          <w:iCs w:val="1"/>
          <w:color w:val="auto"/>
        </w:rPr>
        <w:t>Juul v. Wu, et al.</w:t>
      </w:r>
      <w:r>
        <w:rPr>
          <w:rFonts w:ascii="Arial" w:cs="Arial" w:eastAsia="Arial" w:hAnsi="Arial"/>
          <w:sz w:val="17"/>
          <w:szCs w:val="17"/>
          <w:color w:val="auto"/>
        </w:rPr>
        <w:t xml:space="preserve"> (Case No. 1:23-cv-00705-UNA). The complaints in each matter are based on the same facts and circumstances as </w:t>
      </w:r>
      <w:r>
        <w:rPr>
          <w:rFonts w:ascii="Arial" w:cs="Arial" w:eastAsia="Arial" w:hAnsi="Arial"/>
          <w:sz w:val="17"/>
          <w:szCs w:val="17"/>
          <w:i w:val="1"/>
          <w:iCs w:val="1"/>
          <w:color w:val="auto"/>
        </w:rPr>
        <w:t>In re Opendoor Technologies Inc. Securities Litigation</w:t>
      </w:r>
      <w:r>
        <w:rPr>
          <w:rFonts w:ascii="Arial" w:cs="Arial" w:eastAsia="Arial" w:hAnsi="Arial"/>
          <w:sz w:val="17"/>
          <w:szCs w:val="17"/>
          <w:color w:val="auto"/>
        </w:rPr>
        <w:t xml:space="preserve"> and name certain officers and directors of the Company as defendants. The defendants are alleged to have violated Section 10(b) of the Exchange Act and SEC Rule 10b-5 and breached fiduciary duties. The plaintiffs seek to maintain the derivative actions on behalf of the Company, an award of unspecified compensatory damages, an order directing the Company to reform its corporate governance and internal procedures, restitutionary relief, an award of interest and expenses, including attorneys’ fees and expert fees, and other and further relief as the court may deem just and proper. These derivative actions have been stayed pending further developments in </w:t>
      </w:r>
      <w:r>
        <w:rPr>
          <w:rFonts w:ascii="Arial" w:cs="Arial" w:eastAsia="Arial" w:hAnsi="Arial"/>
          <w:sz w:val="17"/>
          <w:szCs w:val="17"/>
          <w:i w:val="1"/>
          <w:iCs w:val="1"/>
          <w:color w:val="auto"/>
        </w:rPr>
        <w:t>In re Opendoor</w:t>
      </w:r>
      <w:r>
        <w:rPr>
          <w:rFonts w:ascii="Arial" w:cs="Arial" w:eastAsia="Arial" w:hAnsi="Arial"/>
          <w:sz w:val="17"/>
          <w:szCs w:val="17"/>
          <w:color w:val="auto"/>
        </w:rPr>
        <w:t xml:space="preserve"> </w:t>
      </w:r>
      <w:r>
        <w:rPr>
          <w:rFonts w:ascii="Arial" w:cs="Arial" w:eastAsia="Arial" w:hAnsi="Arial"/>
          <w:sz w:val="17"/>
          <w:szCs w:val="17"/>
          <w:i w:val="1"/>
          <w:iCs w:val="1"/>
          <w:color w:val="auto"/>
        </w:rPr>
        <w:t>Technologies Inc. Securities Litigation</w:t>
      </w:r>
      <w:r>
        <w:rPr>
          <w:rFonts w:ascii="Arial" w:cs="Arial" w:eastAsia="Arial" w:hAnsi="Arial"/>
          <w:sz w:val="17"/>
          <w:szCs w:val="17"/>
          <w:color w:val="auto"/>
        </w:rPr>
        <w:t>.</w:t>
      </w:r>
    </w:p>
    <w:p>
      <w:pPr>
        <w:spacing w:after="0" w:line="186"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 xml:space="preserve">On October 13, 2023, a shareholder derivative lawsuit was filed in the United States District Court for the District of Delaware, captioned </w:t>
      </w:r>
      <w:r>
        <w:rPr>
          <w:rFonts w:ascii="Arial" w:cs="Arial" w:eastAsia="Arial" w:hAnsi="Arial"/>
          <w:sz w:val="16"/>
          <w:szCs w:val="16"/>
          <w:i w:val="1"/>
          <w:iCs w:val="1"/>
          <w:color w:val="auto"/>
        </w:rPr>
        <w:t>Woods, et</w:t>
      </w:r>
      <w:r>
        <w:rPr>
          <w:rFonts w:ascii="Arial" w:cs="Arial" w:eastAsia="Arial" w:hAnsi="Arial"/>
          <w:sz w:val="16"/>
          <w:szCs w:val="16"/>
          <w:color w:val="auto"/>
        </w:rPr>
        <w:t xml:space="preserve"> </w:t>
      </w:r>
      <w:r>
        <w:rPr>
          <w:rFonts w:ascii="Arial" w:cs="Arial" w:eastAsia="Arial" w:hAnsi="Arial"/>
          <w:sz w:val="16"/>
          <w:szCs w:val="16"/>
          <w:i w:val="1"/>
          <w:iCs w:val="1"/>
          <w:color w:val="auto"/>
        </w:rPr>
        <w:t>al. v. Bain, et al</w:t>
      </w:r>
      <w:r>
        <w:rPr>
          <w:rFonts w:ascii="Arial" w:cs="Arial" w:eastAsia="Arial" w:hAnsi="Arial"/>
          <w:sz w:val="16"/>
          <w:szCs w:val="16"/>
          <w:color w:val="auto"/>
        </w:rPr>
        <w:t>. (Case No. 1:23-cv-01158-UNA). The complaint is based on facts and circumstances related to</w:t>
      </w:r>
      <w:r>
        <w:rPr>
          <w:rFonts w:ascii="Arial" w:cs="Arial" w:eastAsia="Arial" w:hAnsi="Arial"/>
          <w:sz w:val="16"/>
          <w:szCs w:val="16"/>
          <w:i w:val="1"/>
          <w:iCs w:val="1"/>
          <w:color w:val="auto"/>
        </w:rPr>
        <w:t xml:space="preserve"> In re Opendoor Technologies Inc. Securities Litigation</w:t>
      </w:r>
      <w:r>
        <w:rPr>
          <w:rFonts w:ascii="Arial" w:cs="Arial" w:eastAsia="Arial" w:hAnsi="Arial"/>
          <w:sz w:val="16"/>
          <w:szCs w:val="16"/>
          <w:color w:val="auto"/>
        </w:rPr>
        <w:t>. The plaintiffs have brought claims against certain current and former directors and officers of the Company for breach of fiduciary duty,</w:t>
      </w:r>
      <w:r>
        <w:rPr>
          <w:rFonts w:ascii="Arial" w:cs="Arial" w:eastAsia="Arial" w:hAnsi="Arial"/>
          <w:sz w:val="16"/>
          <w:szCs w:val="16"/>
          <w:i w:val="1"/>
          <w:iCs w:val="1"/>
          <w:color w:val="auto"/>
        </w:rPr>
        <w:t xml:space="preserve"> </w:t>
      </w:r>
      <w:r>
        <w:rPr>
          <w:rFonts w:ascii="Arial" w:cs="Arial" w:eastAsia="Arial" w:hAnsi="Arial"/>
          <w:sz w:val="16"/>
          <w:szCs w:val="16"/>
          <w:color w:val="auto"/>
        </w:rPr>
        <w:t>contribution under Sections 10(b) and 21D of the Exchange Act, SEC Rule 10b-5, violations of Section 14(a) of the Exchange Act, and SEC Rule 14a-9 promulgated thereunder. The plaintiffs seek to maintain the derivative action on behalf of the Company, an award of unspecified compensatory damages, an order directing one of the defendants to disgorge monies allegedly obtained from certain Company stock sale, equitable relief, an award of interest and expenses, including attorneys’ fees and expert fees, and other and further relief as the court may deem just and proper.</w:t>
      </w:r>
    </w:p>
    <w:p>
      <w:pPr>
        <w:spacing w:after="0" w:line="166"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 xml:space="preserve">On October 18, 2023, a shareholder derivative lawsuit was filed in the United States District Court for the District of Arizona, captioned </w:t>
      </w:r>
      <w:r>
        <w:rPr>
          <w:rFonts w:ascii="Arial" w:cs="Arial" w:eastAsia="Arial" w:hAnsi="Arial"/>
          <w:sz w:val="18"/>
          <w:szCs w:val="18"/>
          <w:i w:val="1"/>
          <w:iCs w:val="1"/>
          <w:color w:val="auto"/>
        </w:rPr>
        <w:t>Gera v.</w:t>
      </w:r>
      <w:r>
        <w:rPr>
          <w:rFonts w:ascii="Arial" w:cs="Arial" w:eastAsia="Arial" w:hAnsi="Arial"/>
          <w:sz w:val="18"/>
          <w:szCs w:val="18"/>
          <w:color w:val="auto"/>
        </w:rPr>
        <w:t xml:space="preserve"> </w:t>
      </w:r>
      <w:r>
        <w:rPr>
          <w:rFonts w:ascii="Arial" w:cs="Arial" w:eastAsia="Arial" w:hAnsi="Arial"/>
          <w:sz w:val="18"/>
          <w:szCs w:val="18"/>
          <w:i w:val="1"/>
          <w:iCs w:val="1"/>
          <w:color w:val="auto"/>
        </w:rPr>
        <w:t>Palihapitiya, et al</w:t>
      </w:r>
      <w:r>
        <w:rPr>
          <w:rFonts w:ascii="Arial" w:cs="Arial" w:eastAsia="Arial" w:hAnsi="Arial"/>
          <w:sz w:val="18"/>
          <w:szCs w:val="18"/>
          <w:color w:val="auto"/>
        </w:rPr>
        <w:t>. (Case No. 2:23-cv-02164-SMB). The complaint is based on facts and circumstances related to</w:t>
      </w:r>
      <w:r>
        <w:rPr>
          <w:rFonts w:ascii="Arial" w:cs="Arial" w:eastAsia="Arial" w:hAnsi="Arial"/>
          <w:sz w:val="18"/>
          <w:szCs w:val="18"/>
          <w:i w:val="1"/>
          <w:iCs w:val="1"/>
          <w:color w:val="auto"/>
        </w:rPr>
        <w:t xml:space="preserve"> In re Opendoor Technologies Inc. Securities Litigation</w:t>
      </w:r>
      <w:r>
        <w:rPr>
          <w:rFonts w:ascii="Arial" w:cs="Arial" w:eastAsia="Arial" w:hAnsi="Arial"/>
          <w:sz w:val="18"/>
          <w:szCs w:val="18"/>
          <w:color w:val="auto"/>
        </w:rPr>
        <w:t>, and names as defendants certain current and former officers and directors of the Company and SCH Sponsor II LLC. The complaint</w:t>
      </w:r>
      <w:r>
        <w:rPr>
          <w:rFonts w:ascii="Arial" w:cs="Arial" w:eastAsia="Arial" w:hAnsi="Arial"/>
          <w:sz w:val="18"/>
          <w:szCs w:val="18"/>
          <w:i w:val="1"/>
          <w:iCs w:val="1"/>
          <w:color w:val="auto"/>
        </w:rPr>
        <w:t xml:space="preserve"> </w:t>
      </w:r>
      <w:r>
        <w:rPr>
          <w:rFonts w:ascii="Arial" w:cs="Arial" w:eastAsia="Arial" w:hAnsi="Arial"/>
          <w:sz w:val="18"/>
          <w:szCs w:val="18"/>
          <w:color w:val="auto"/>
        </w:rPr>
        <w:t>alleges that the defendants violated Section 14(a) of the Exchange Act, and SEC Rule 14a-9 promulgated thereunder. The plaintiff seeks to maintain the derivative action on behalf of the Company, an award of unspecified compensatory damages, an order directing the Company to reform certain corporate governance and internal procedures, restitution, an award of cost and expenses, including attorneys’ fees and expert fees, and other and further relief as the court may deem just and proper.</w:t>
      </w:r>
    </w:p>
    <w:p>
      <w:pPr>
        <w:spacing w:after="0" w:line="19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15.</w:t>
        <w:tab/>
        <w:t>RESTRUCTURING</w:t>
      </w:r>
    </w:p>
    <w:p>
      <w:pPr>
        <w:spacing w:after="0" w:line="229"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On April 18, 2023, the Company announced a workforce reduction of approximately 560 employees, representing approximately 22% of our workforce at that time and primarily impacting volume-based roles. We provided post-employment benefits to impacted employees for a total expense of approximately $10 million. The December 31, 2022 balance in restructuring liability is related the reduction in workforce that the Company initiated in November 2022.</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0" w:type="dxa"/>
            <w:vAlign w:val="bottom"/>
          </w:tcPr>
          <w:p>
            <w:pPr>
              <w:jc w:val="center"/>
              <w:ind w:left="1374"/>
              <w:spacing w:after="0"/>
              <w:rPr>
                <w:sz w:val="20"/>
                <w:szCs w:val="20"/>
                <w:color w:val="auto"/>
              </w:rPr>
            </w:pPr>
            <w:r>
              <w:rPr>
                <w:rFonts w:ascii="Arial" w:cs="Arial" w:eastAsia="Arial" w:hAnsi="Arial"/>
                <w:sz w:val="18"/>
                <w:szCs w:val="18"/>
                <w:b w:val="1"/>
                <w:bCs w:val="1"/>
                <w:color w:val="auto"/>
              </w:rPr>
              <w:t>OPENDOOR TECHNOLOGIES INC.</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9800" w:type="dxa"/>
            <w:vAlign w:val="bottom"/>
          </w:tcPr>
          <w:p>
            <w:pPr>
              <w:jc w:val="center"/>
              <w:ind w:left="1354"/>
              <w:spacing w:after="0"/>
              <w:rPr>
                <w:sz w:val="20"/>
                <w:szCs w:val="20"/>
                <w:color w:val="auto"/>
              </w:rPr>
            </w:pPr>
            <w:r>
              <w:rPr>
                <w:rFonts w:ascii="Arial" w:cs="Arial" w:eastAsia="Arial" w:hAnsi="Arial"/>
                <w:sz w:val="18"/>
                <w:szCs w:val="18"/>
                <w:b w:val="1"/>
                <w:bCs w:val="1"/>
                <w:color w:val="auto"/>
                <w:w w:val="88"/>
              </w:rPr>
              <w:t>Notes to Condensed Consolidated Financial Statements</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162"/>
        </w:trPr>
        <w:tc>
          <w:tcPr>
            <w:tcW w:w="9800" w:type="dxa"/>
            <w:vAlign w:val="bottom"/>
          </w:tcPr>
          <w:p>
            <w:pPr>
              <w:jc w:val="center"/>
              <w:ind w:left="1354"/>
              <w:spacing w:after="0"/>
              <w:rPr>
                <w:sz w:val="20"/>
                <w:szCs w:val="20"/>
                <w:color w:val="auto"/>
              </w:rPr>
            </w:pPr>
            <w:r>
              <w:rPr>
                <w:rFonts w:ascii="Arial" w:cs="Arial" w:eastAsia="Arial" w:hAnsi="Arial"/>
                <w:sz w:val="14"/>
                <w:szCs w:val="14"/>
                <w:color w:val="auto"/>
                <w:w w:val="91"/>
              </w:rPr>
              <w:t>(Tabular amounts in millions, except share and per share amounts, ratios, or as noted)</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82"/>
        </w:trPr>
        <w:tc>
          <w:tcPr>
            <w:tcW w:w="9800" w:type="dxa"/>
            <w:vAlign w:val="bottom"/>
          </w:tcPr>
          <w:p>
            <w:pPr>
              <w:jc w:val="center"/>
              <w:ind w:left="1374"/>
              <w:spacing w:after="0"/>
              <w:rPr>
                <w:sz w:val="20"/>
                <w:szCs w:val="20"/>
                <w:color w:val="auto"/>
              </w:rPr>
            </w:pPr>
            <w:r>
              <w:rPr>
                <w:rFonts w:ascii="Arial" w:cs="Arial" w:eastAsia="Arial" w:hAnsi="Arial"/>
                <w:sz w:val="14"/>
                <w:szCs w:val="14"/>
                <w:color w:val="auto"/>
                <w:w w:val="95"/>
              </w:rPr>
              <w:t>(Unaudited)</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876"/>
        </w:trPr>
        <w:tc>
          <w:tcPr>
            <w:tcW w:w="9800" w:type="dxa"/>
            <w:vAlign w:val="bottom"/>
          </w:tcPr>
          <w:p>
            <w:pPr>
              <w:ind w:left="420"/>
              <w:spacing w:after="0"/>
              <w:rPr>
                <w:sz w:val="20"/>
                <w:szCs w:val="20"/>
                <w:color w:val="auto"/>
              </w:rPr>
            </w:pPr>
            <w:r>
              <w:rPr>
                <w:rFonts w:ascii="Arial" w:cs="Arial" w:eastAsia="Arial" w:hAnsi="Arial"/>
                <w:sz w:val="18"/>
                <w:szCs w:val="18"/>
                <w:color w:val="auto"/>
              </w:rPr>
              <w:t>The following table presents the activity of the restructuring liability as of September 30, 2023 (in millions):</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15"/>
        </w:trPr>
        <w:tc>
          <w:tcPr>
            <w:tcW w:w="9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ind w:right="196"/>
              <w:spacing w:after="0"/>
              <w:rPr>
                <w:sz w:val="20"/>
                <w:szCs w:val="20"/>
                <w:color w:val="auto"/>
              </w:rPr>
            </w:pPr>
            <w:r>
              <w:rPr>
                <w:rFonts w:ascii="Arial" w:cs="Arial" w:eastAsia="Arial" w:hAnsi="Arial"/>
                <w:sz w:val="14"/>
                <w:szCs w:val="14"/>
                <w:b w:val="1"/>
                <w:bCs w:val="1"/>
                <w:color w:val="auto"/>
                <w:w w:val="98"/>
              </w:rPr>
              <w:t>September 30,</w:t>
            </w:r>
          </w:p>
        </w:tc>
      </w:tr>
      <w:tr>
        <w:trPr>
          <w:trHeight w:val="186"/>
        </w:trPr>
        <w:tc>
          <w:tcPr>
            <w:tcW w:w="9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96"/>
              <w:spacing w:after="0"/>
              <w:rPr>
                <w:sz w:val="20"/>
                <w:szCs w:val="20"/>
                <w:color w:val="auto"/>
              </w:rPr>
            </w:pPr>
            <w:r>
              <w:rPr>
                <w:rFonts w:ascii="Arial" w:cs="Arial" w:eastAsia="Arial" w:hAnsi="Arial"/>
                <w:sz w:val="14"/>
                <w:szCs w:val="14"/>
                <w:b w:val="1"/>
                <w:bCs w:val="1"/>
                <w:color w:val="auto"/>
              </w:rPr>
              <w:t>2023</w:t>
            </w:r>
          </w:p>
        </w:tc>
      </w:tr>
      <w:tr>
        <w:trPr>
          <w:trHeight w:val="39"/>
        </w:trPr>
        <w:tc>
          <w:tcPr>
            <w:tcW w:w="98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43"/>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2022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9800" w:type="dxa"/>
            <w:vAlign w:val="bottom"/>
          </w:tcPr>
          <w:p>
            <w:pPr>
              <w:ind w:left="20"/>
              <w:spacing w:after="0"/>
              <w:rPr>
                <w:sz w:val="20"/>
                <w:szCs w:val="20"/>
                <w:color w:val="auto"/>
              </w:rPr>
            </w:pPr>
            <w:r>
              <w:rPr>
                <w:rFonts w:ascii="Arial" w:cs="Arial" w:eastAsia="Arial" w:hAnsi="Arial"/>
                <w:sz w:val="18"/>
                <w:szCs w:val="18"/>
                <w:color w:val="auto"/>
              </w:rPr>
              <w:t>Additions charged to expense</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9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payments</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63"/>
        </w:trPr>
        <w:tc>
          <w:tcPr>
            <w:tcW w:w="9800" w:type="dxa"/>
            <w:vAlign w:val="bottom"/>
          </w:tcPr>
          <w:p>
            <w:pPr>
              <w:ind w:left="20"/>
              <w:spacing w:after="0"/>
              <w:rPr>
                <w:sz w:val="20"/>
                <w:szCs w:val="20"/>
                <w:color w:val="auto"/>
              </w:rPr>
            </w:pPr>
            <w:r>
              <w:rPr>
                <w:rFonts w:ascii="Arial" w:cs="Arial" w:eastAsia="Arial" w:hAnsi="Arial"/>
                <w:sz w:val="18"/>
                <w:szCs w:val="18"/>
                <w:color w:val="auto"/>
              </w:rPr>
              <w:t>Balance-September 30, 2023</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
        </w:trPr>
        <w:tc>
          <w:tcPr>
            <w:tcW w:w="9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7"/>
          <w:szCs w:val="17"/>
          <w:b w:val="1"/>
          <w:bCs w:val="1"/>
          <w:color w:val="auto"/>
        </w:rPr>
        <w:t>SUBSEQUENT EVENTS</w:t>
      </w:r>
    </w:p>
    <w:p>
      <w:pPr>
        <w:spacing w:after="0" w:line="229" w:lineRule="exact"/>
        <w:rPr>
          <w:sz w:val="20"/>
          <w:szCs w:val="20"/>
          <w:color w:val="auto"/>
        </w:rPr>
      </w:pPr>
    </w:p>
    <w:p>
      <w:pPr>
        <w:ind w:right="100" w:firstLine="405"/>
        <w:spacing w:after="0" w:line="311" w:lineRule="auto"/>
        <w:rPr>
          <w:sz w:val="20"/>
          <w:szCs w:val="20"/>
          <w:color w:val="auto"/>
        </w:rPr>
      </w:pPr>
      <w:r>
        <w:rPr>
          <w:rFonts w:ascii="Arial" w:cs="Arial" w:eastAsia="Arial" w:hAnsi="Arial"/>
          <w:sz w:val="16"/>
          <w:szCs w:val="16"/>
          <w:color w:val="auto"/>
        </w:rPr>
        <w:t>The Company has evaluated the impact of events that have occurred subsequent to September 30, 2023, through the date the condensed consolidated financial statements were filed with the SEC. Based on this evaluation, other than as recorded or disclosed within these condensed consolidated financial statements and related notes, the Company has determined that there are no material subsequent events that would require recognition or disclosure.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8"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40" w:firstLine="405"/>
        <w:spacing w:after="0" w:line="263" w:lineRule="auto"/>
        <w:rPr>
          <w:sz w:val="20"/>
          <w:szCs w:val="20"/>
          <w:color w:val="auto"/>
        </w:rPr>
      </w:pPr>
      <w:r>
        <w:rPr>
          <w:rFonts w:ascii="Arial" w:cs="Arial" w:eastAsia="Arial" w:hAnsi="Arial"/>
          <w:sz w:val="18"/>
          <w:szCs w:val="18"/>
          <w:i w:val="1"/>
          <w:iCs w:val="1"/>
          <w:color w:val="auto"/>
        </w:rPr>
        <w:t>The following discussion and analysis provides information that our management believes is relevant to an assessment and understanding of our condensed consolidated results of operations and financial condition. The discussion should be read together with the historical condensed consolidated financial statements and related notes that appear in this Quarterly Report on Form 10-Q.</w:t>
      </w:r>
    </w:p>
    <w:p>
      <w:pPr>
        <w:spacing w:after="0" w:line="184"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i w:val="1"/>
          <w:iCs w:val="1"/>
          <w:color w:val="auto"/>
        </w:rPr>
        <w:t>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“Forward-Looking Statements,” “Risk Factors” or in other parts of this Quarterly Report on Form 10-Q, and in “Part I - Item 1A. Risk Factors” in the Company's Annual Report on Form 10-K for the year ended December 31, 2022 (the “Annual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Opendoor’s mission is to power life’s progress, one move at a time. Residential real estate is a trillion-dollar industry underpinned by a process that is complicated, time-consuming, stressful, and offline. We believe all consumers deserve to buy, sell, and move between homes with simplicity and confidence, and we have dedicated almost a decade to delivering on this vision. We have built unique pricing and operations capabilities to become one of the largest buyers and sellers of homes in the United States. Since our founding, we have helped customers to buy or sell homes in over 240,000 transactions and have expanded our footprint to 53 markets across the country.</w:t>
      </w:r>
    </w:p>
    <w:p>
      <w:pPr>
        <w:sectPr>
          <w:pgSz w:w="11900" w:h="16838" w:orient="portrait"/>
          <w:cols w:equalWidth="0" w:num="1">
            <w:col w:w="11240"/>
          </w:cols>
          <w:pgMar w:left="320" w:top="139" w:right="339"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00" w:lineRule="exact"/>
        <w:rPr>
          <w:sz w:val="20"/>
          <w:szCs w:val="20"/>
          <w:color w:val="auto"/>
        </w:rPr>
      </w:pPr>
    </w:p>
    <w:p>
      <w:pPr>
        <w:spacing w:after="0" w:line="372" w:lineRule="exact"/>
        <w:rPr>
          <w:sz w:val="20"/>
          <w:szCs w:val="20"/>
          <w:color w:val="auto"/>
        </w:rPr>
      </w:pPr>
    </w:p>
    <w:p>
      <w:pPr>
        <w:ind w:left="20"/>
        <w:spacing w:after="0" w:line="279" w:lineRule="auto"/>
        <w:rPr>
          <w:sz w:val="20"/>
          <w:szCs w:val="20"/>
          <w:color w:val="auto"/>
        </w:rPr>
      </w:pPr>
      <w:r>
        <w:rPr>
          <w:rFonts w:ascii="Arial" w:cs="Arial" w:eastAsia="Arial" w:hAnsi="Arial"/>
          <w:sz w:val="14"/>
          <w:szCs w:val="14"/>
          <w:b w:val="1"/>
          <w:bCs w:val="1"/>
          <w:color w:val="auto"/>
        </w:rPr>
        <w:t>(in millions, except percentages, homes purchased, homes sold, number of markets, and homes in inventory)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2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240" w:type="dxa"/>
            <w:vAlign w:val="bottom"/>
          </w:tcPr>
          <w:p>
            <w:pPr>
              <w:spacing w:after="0"/>
              <w:rPr>
                <w:sz w:val="15"/>
                <w:szCs w:val="15"/>
                <w:color w:val="auto"/>
              </w:rPr>
            </w:pPr>
          </w:p>
        </w:tc>
        <w:tc>
          <w:tcPr>
            <w:tcW w:w="2840" w:type="dxa"/>
            <w:vAlign w:val="bottom"/>
            <w:gridSpan w:val="2"/>
          </w:tcPr>
          <w:p>
            <w:pPr>
              <w:jc w:val="center"/>
              <w:ind w:right="8"/>
              <w:spacing w:after="0"/>
              <w:rPr>
                <w:sz w:val="20"/>
                <w:szCs w:val="20"/>
                <w:color w:val="auto"/>
              </w:rPr>
            </w:pPr>
            <w:r>
              <w:rPr>
                <w:rFonts w:ascii="Arial" w:cs="Arial" w:eastAsia="Arial" w:hAnsi="Arial"/>
                <w:sz w:val="14"/>
                <w:szCs w:val="14"/>
                <w:b w:val="1"/>
                <w:bCs w:val="1"/>
                <w:color w:val="auto"/>
                <w:w w:val="94"/>
              </w:rPr>
              <w:t>Nine Months Ended</w:t>
            </w:r>
          </w:p>
        </w:tc>
        <w:tc>
          <w:tcPr>
            <w:tcW w:w="760" w:type="dxa"/>
            <w:vAlign w:val="bottom"/>
          </w:tcPr>
          <w:p>
            <w:pPr>
              <w:spacing w:after="0"/>
              <w:rPr>
                <w:sz w:val="15"/>
                <w:szCs w:val="15"/>
                <w:color w:val="auto"/>
              </w:rPr>
            </w:pPr>
          </w:p>
        </w:tc>
      </w:tr>
      <w:tr>
        <w:trPr>
          <w:trHeight w:val="186"/>
        </w:trPr>
        <w:tc>
          <w:tcPr>
            <w:tcW w:w="860" w:type="dxa"/>
            <w:vAlign w:val="bottom"/>
          </w:tcPr>
          <w:p>
            <w:pPr>
              <w:spacing w:after="0"/>
              <w:rPr>
                <w:sz w:val="16"/>
                <w:szCs w:val="16"/>
                <w:color w:val="auto"/>
              </w:rPr>
            </w:pPr>
          </w:p>
        </w:tc>
        <w:tc>
          <w:tcPr>
            <w:tcW w:w="1840" w:type="dxa"/>
            <w:vAlign w:val="bottom"/>
          </w:tcPr>
          <w:p>
            <w:pPr>
              <w:jc w:val="center"/>
              <w:ind w:right="768"/>
              <w:spacing w:after="0"/>
              <w:rPr>
                <w:sz w:val="20"/>
                <w:szCs w:val="20"/>
                <w:color w:val="auto"/>
              </w:rPr>
            </w:pPr>
            <w:r>
              <w:rPr>
                <w:rFonts w:ascii="Arial" w:cs="Arial" w:eastAsia="Arial" w:hAnsi="Arial"/>
                <w:sz w:val="14"/>
                <w:szCs w:val="14"/>
                <w:b w:val="1"/>
                <w:bCs w:val="1"/>
                <w:color w:val="auto"/>
                <w:w w:val="91"/>
              </w:rPr>
              <w:t>September 30,</w:t>
            </w:r>
          </w:p>
        </w:tc>
        <w:tc>
          <w:tcPr>
            <w:tcW w:w="1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60" w:type="dxa"/>
            <w:vAlign w:val="bottom"/>
          </w:tcPr>
          <w:p>
            <w:pPr>
              <w:jc w:val="center"/>
              <w:ind w:right="888"/>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Pr>
          <w:p>
            <w:pPr>
              <w:spacing w:after="0"/>
              <w:rPr>
                <w:sz w:val="16"/>
                <w:szCs w:val="16"/>
                <w:color w:val="auto"/>
              </w:rPr>
            </w:pPr>
          </w:p>
        </w:tc>
      </w:tr>
      <w:tr>
        <w:trPr>
          <w:trHeight w:val="39"/>
        </w:trPr>
        <w:tc>
          <w:tcPr>
            <w:tcW w:w="86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24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760" w:type="dxa"/>
            <w:vAlign w:val="bottom"/>
          </w:tcPr>
          <w:p>
            <w:pPr>
              <w:spacing w:after="0"/>
              <w:rPr>
                <w:sz w:val="3"/>
                <w:szCs w:val="3"/>
                <w:color w:val="auto"/>
              </w:rPr>
            </w:pPr>
          </w:p>
        </w:tc>
      </w:tr>
      <w:tr>
        <w:trPr>
          <w:trHeight w:val="508"/>
        </w:trPr>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1840" w:type="dxa"/>
            <w:vAlign w:val="bottom"/>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240" w:type="dxa"/>
            <w:vAlign w:val="bottom"/>
          </w:tcPr>
          <w:p>
            <w:pPr>
              <w:ind w:left="380"/>
              <w:spacing w:after="0"/>
              <w:rPr>
                <w:sz w:val="20"/>
                <w:szCs w:val="20"/>
                <w:color w:val="auto"/>
              </w:rPr>
            </w:pPr>
            <w:r>
              <w:rPr>
                <w:rFonts w:ascii="Arial" w:cs="Arial" w:eastAsia="Arial" w:hAnsi="Arial"/>
                <w:sz w:val="14"/>
                <w:szCs w:val="14"/>
                <w:b w:val="1"/>
                <w:bCs w:val="1"/>
                <w:color w:val="auto"/>
              </w:rPr>
              <w:t>Change</w:t>
            </w: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2023</w:t>
            </w:r>
          </w:p>
        </w:tc>
        <w:tc>
          <w:tcPr>
            <w:tcW w:w="1960" w:type="dxa"/>
            <w:vAlign w:val="bottom"/>
          </w:tcPr>
          <w:p>
            <w:pPr>
              <w:jc w:val="right"/>
              <w:ind w:right="548"/>
              <w:spacing w:after="0"/>
              <w:rPr>
                <w:sz w:val="20"/>
                <w:szCs w:val="20"/>
                <w:color w:val="auto"/>
              </w:rPr>
            </w:pPr>
            <w:r>
              <w:rPr>
                <w:rFonts w:ascii="Arial" w:cs="Arial" w:eastAsia="Arial" w:hAnsi="Arial"/>
                <w:sz w:val="14"/>
                <w:szCs w:val="14"/>
                <w:b w:val="1"/>
                <w:bCs w:val="1"/>
                <w:color w:val="auto"/>
              </w:rPr>
              <w:t>2022</w:t>
            </w:r>
          </w:p>
        </w:tc>
        <w:tc>
          <w:tcPr>
            <w:tcW w:w="760" w:type="dxa"/>
            <w:vAlign w:val="bottom"/>
          </w:tcPr>
          <w:p>
            <w:pPr>
              <w:ind w:left="300"/>
              <w:spacing w:after="0"/>
              <w:rPr>
                <w:sz w:val="20"/>
                <w:szCs w:val="20"/>
                <w:color w:val="auto"/>
              </w:rPr>
            </w:pPr>
            <w:r>
              <w:rPr>
                <w:rFonts w:ascii="Arial" w:cs="Arial" w:eastAsia="Arial" w:hAnsi="Arial"/>
                <w:sz w:val="14"/>
                <w:szCs w:val="14"/>
                <w:b w:val="1"/>
                <w:bCs w:val="1"/>
                <w:color w:val="auto"/>
                <w:w w:val="85"/>
              </w:rPr>
              <w:t>Change</w:t>
            </w:r>
          </w:p>
        </w:tc>
      </w:tr>
    </w:tbl>
    <w:p>
      <w:pPr>
        <w:spacing w:after="0" w:line="38" w:lineRule="exact"/>
        <w:rPr>
          <w:sz w:val="20"/>
          <w:szCs w:val="20"/>
          <w:color w:val="auto"/>
        </w:rPr>
      </w:pPr>
    </w:p>
    <w:p>
      <w:pPr>
        <w:sectPr>
          <w:pgSz w:w="11900" w:h="16838" w:orient="portrait"/>
          <w:cols w:equalWidth="0" w:num="2">
            <w:col w:w="3120" w:space="280"/>
            <w:col w:w="7840"/>
          </w:cols>
          <w:pgMar w:left="320" w:top="139" w:right="339" w:bottom="1440" w:gutter="0" w:footer="0" w:header="0"/>
          <w:type w:val="continuous"/>
        </w:sectPr>
      </w:pPr>
    </w:p>
    <w:tbl>
      <w:tblPr>
        <w:tblLayout w:type="fixed"/>
        <w:tblInd w:w="0" w:type="dxa"/>
        <w:tblCellMar>
          <w:top w:w="0" w:type="dxa"/>
          <w:left w:w="0" w:type="dxa"/>
          <w:bottom w:w="0" w:type="dxa"/>
          <w:right w:w="0" w:type="dxa"/>
        </w:tblCellMar>
      </w:tblPr>
      <w:tr>
        <w:trPr>
          <w:trHeight w:val="245"/>
        </w:trPr>
        <w:tc>
          <w:tcPr>
            <w:tcW w:w="3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3,361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6,076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12,710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(6,634)</w:t>
            </w: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rPr>
              <w:t>Homes sold</w:t>
            </w:r>
          </w:p>
        </w:tc>
        <w:tc>
          <w:tcPr>
            <w:tcW w:w="40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2,687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8,520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16,344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31,671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(15,327)</w:t>
            </w:r>
          </w:p>
        </w:tc>
      </w:tr>
      <w:tr>
        <w:trPr>
          <w:trHeight w:val="27"/>
        </w:trPr>
        <w:tc>
          <w:tcPr>
            <w:tcW w:w="3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 (loss)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596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3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(954)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w:t>
            </w: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rPr>
              <w:t>Adjusted Net Loss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(574)</w:t>
            </w:r>
          </w:p>
        </w:tc>
      </w:tr>
      <w:tr>
        <w:trPr>
          <w:trHeight w:val="27"/>
        </w:trPr>
        <w:tc>
          <w:tcPr>
            <w:tcW w:w="3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Contribution Profit (Loss)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732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w:t>
            </w: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rPr>
              <w:t>Contribution Margin</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3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183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w:t>
            </w: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rPr>
              <w:t>Adjusted EBITDA Margin</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3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Number of markets (at period end)</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rPr>
              <w:t>Homes purchased</w:t>
            </w:r>
          </w:p>
        </w:tc>
        <w:tc>
          <w:tcPr>
            <w:tcW w:w="40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3,136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8,380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7,563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31,535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(23,972)</w:t>
            </w:r>
          </w:p>
        </w:tc>
      </w:tr>
      <w:tr>
        <w:trPr>
          <w:trHeight w:val="27"/>
        </w:trPr>
        <w:tc>
          <w:tcPr>
            <w:tcW w:w="3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Inventory (at period end)</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6,093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6,093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(4,782)</w:t>
            </w: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rPr>
              <w:t>Homes in inventory (at period end)</w:t>
            </w:r>
          </w:p>
        </w:tc>
        <w:tc>
          <w:tcPr>
            <w:tcW w:w="40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4,007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16,873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4,007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16,873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(12,866)</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Housing Environment</w:t>
      </w:r>
    </w:p>
    <w:p>
      <w:pPr>
        <w:spacing w:after="0" w:line="229"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In the first half of 2023, home prices performed better than expected on the back of historically low listing volumes that were approximately half the levels of 2014 to 2019. Against this backdrop of constrained supply, market clearance exceeded levels seen historically over the same time period. However, there continued to be uncertainty in how housing would perform for the remainder of the year given persistently low supply, the prospect of additional Fed rate action and recession risk.</w:t>
      </w:r>
    </w:p>
    <w:p>
      <w:pPr>
        <w:spacing w:after="0" w:line="187" w:lineRule="exact"/>
        <w:rPr>
          <w:sz w:val="20"/>
          <w:szCs w:val="20"/>
          <w:color w:val="auto"/>
        </w:rPr>
      </w:pPr>
    </w:p>
    <w:p>
      <w:pPr>
        <w:ind w:right="200" w:firstLine="405"/>
        <w:spacing w:after="0" w:line="263" w:lineRule="auto"/>
        <w:rPr>
          <w:sz w:val="20"/>
          <w:szCs w:val="20"/>
          <w:color w:val="auto"/>
        </w:rPr>
      </w:pPr>
      <w:r>
        <w:rPr>
          <w:rFonts w:ascii="Arial" w:cs="Arial" w:eastAsia="Arial" w:hAnsi="Arial"/>
          <w:sz w:val="18"/>
          <w:szCs w:val="18"/>
          <w:color w:val="auto"/>
        </w:rPr>
        <w:t>In July 2023, the Fed raised interest rates an additional 25 bps and mortgage rates followed suit, reaching 8% in October 2023, their highest level in over 20 years and up over 100 bps since we reported results for the three months ended June 30, 2023. The increase in rates further depressed buyer demand, amplifying the typical seasonal decline in market</w:t>
      </w:r>
    </w:p>
    <w:p>
      <w:pPr>
        <w:sectPr>
          <w:pgSz w:w="11900" w:h="16838" w:orient="portrait"/>
          <w:cols w:equalWidth="0" w:num="1">
            <w:col w:w="11240"/>
          </w:cols>
          <w:pgMar w:left="320" w:top="139" w:right="339" w:bottom="1440" w:gutter="0" w:footer="0" w:header="0"/>
          <w:type w:val="continuous"/>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8"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clearance rates. We expect the slowing market clearance rates will impact our financial outlook for the balance of 2023 in the following three ways. First, as market clearance rates have slowed, we expect our pace of resales, and therefore revenue, will be reduced. Second, we expect to reduce home-level list prices in order to stay inline with our clearance targets, which would flow through to revenue, gross profit, gross margin and contribution margin. Third, as a result of slower resale clearance rates, some sales from the old book of inventory shifted out of the third quarter of 2023 and will be a drag on overall margins when they sell through given their negative margin profile.</w:t>
      </w:r>
    </w:p>
    <w:p>
      <w:pPr>
        <w:spacing w:after="0" w:line="188"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Given this macro environment, we are continuing to operate with caution and discipline. We continue to drive operational efficiencies to make durable improvements to our cost structure so that we can deliver higher unit economics long term.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Impact of COVID-19</w:t>
      </w:r>
    </w:p>
    <w:p>
      <w:pPr>
        <w:spacing w:after="0" w:line="229"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While we believe we have adapted our operations to function effectively during the ongoing COVID-19 pandemic, our business remains sensitive to potential future disruptions of the real estate market caused by COVID-19 and its variants.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Business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Penetration in Existing Markets</w:t>
      </w:r>
    </w:p>
    <w:p>
      <w:pPr>
        <w:spacing w:after="0" w:line="225" w:lineRule="exact"/>
        <w:rPr>
          <w:sz w:val="20"/>
          <w:szCs w:val="20"/>
          <w:color w:val="auto"/>
        </w:rPr>
      </w:pPr>
    </w:p>
    <w:p>
      <w:pPr>
        <w:ind w:right="240" w:firstLine="405"/>
        <w:spacing w:after="0" w:line="257" w:lineRule="auto"/>
        <w:rPr>
          <w:sz w:val="20"/>
          <w:szCs w:val="20"/>
          <w:color w:val="auto"/>
        </w:rPr>
      </w:pPr>
      <w:r>
        <w:rPr>
          <w:rFonts w:ascii="Arial" w:cs="Arial" w:eastAsia="Arial" w:hAnsi="Arial"/>
          <w:sz w:val="18"/>
          <w:szCs w:val="18"/>
          <w:color w:val="auto"/>
        </w:rPr>
        <w:t>Residential real estate is one of the largest consumer markets in the United States, of which only approximately 1% of the estimated $1.9 trillion of home value transacted annually is conducted online. Given the fact that we operate in a highly fragmented industry and offer a differentiated value proposition to the traditional offline selling process, we believe there is significant opportunity to expand our share in our existing cities. By providing a consistent, high-quality and differentiated experience to our customers, we hope to continue to drive positive word-of-mouth awareness and trust in our platform.</w:t>
      </w:r>
    </w:p>
    <w:p>
      <w:pPr>
        <w:spacing w:after="0" w:line="188"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We are steadily growing our reach via our partnership channels with homebuilders, agents, and online real estate platforms. We have relationships with the three largest online real estate platforms, Zillow, Redfin and Realtor.com, which collectively reach millions of unique monthly visitors. We launched our new partnership agreement with Zillow, Inc. in early 2023, allowing home sellers on the Zillow, Inc. platform to request an offer directly from Opendoor, and creating an additional channel for us to drive brand awareness and acquire customers. As of September 30, 2023, our partnership was live in 34 markets.</w:t>
      </w:r>
    </w:p>
    <w:p>
      <w:pPr>
        <w:spacing w:after="0" w:line="188"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A continued source of growth is re-engagement with our base of registered sellers, meaning sellers that have received an offer from Opendoor but have not yet sold their home. In the last nine years, we have sent millions of offers and, while not everyone is ready to act when they request an offer, we treat everyone as a potential future seller. We have substantially improved our reengagement strategies over the last two years and believe that our registered customer base will continue to be an important source of home acquisition volumes.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Footprint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represents the number of markets we operated in as of the periods presented: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20" w:type="dxa"/>
            <w:vAlign w:val="bottom"/>
          </w:tcPr>
          <w:p>
            <w:pPr>
              <w:spacing w:after="0"/>
              <w:rPr>
                <w:sz w:val="16"/>
                <w:szCs w:val="16"/>
                <w:color w:val="auto"/>
              </w:rPr>
            </w:pP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gridSpan w:val="2"/>
          </w:tcPr>
          <w:p>
            <w:pPr>
              <w:ind w:left="300"/>
              <w:spacing w:after="0"/>
              <w:rPr>
                <w:sz w:val="20"/>
                <w:szCs w:val="20"/>
                <w:color w:val="auto"/>
              </w:rPr>
            </w:pPr>
            <w:r>
              <w:rPr>
                <w:rFonts w:ascii="Arial" w:cs="Arial" w:eastAsia="Arial" w:hAnsi="Arial"/>
                <w:sz w:val="14"/>
                <w:szCs w:val="14"/>
                <w:b w:val="1"/>
                <w:bCs w:val="1"/>
                <w:color w:val="auto"/>
              </w:rPr>
              <w:t>June 30,</w:t>
            </w:r>
          </w:p>
        </w:tc>
        <w:tc>
          <w:tcPr>
            <w:tcW w:w="1240" w:type="dxa"/>
            <w:vAlign w:val="bottom"/>
            <w:gridSpan w:val="2"/>
          </w:tcPr>
          <w:p>
            <w:pPr>
              <w:ind w:left="260"/>
              <w:spacing w:after="0"/>
              <w:rPr>
                <w:sz w:val="20"/>
                <w:szCs w:val="20"/>
                <w:color w:val="auto"/>
              </w:rPr>
            </w:pPr>
            <w:r>
              <w:rPr>
                <w:rFonts w:ascii="Arial" w:cs="Arial" w:eastAsia="Arial" w:hAnsi="Arial"/>
                <w:sz w:val="14"/>
                <w:szCs w:val="14"/>
                <w:b w:val="1"/>
                <w:bCs w:val="1"/>
                <w:color w:val="auto"/>
              </w:rPr>
              <w:t>March 31,</w:t>
            </w:r>
          </w:p>
        </w:tc>
        <w:tc>
          <w:tcPr>
            <w:tcW w:w="880" w:type="dxa"/>
            <w:vAlign w:val="bottom"/>
          </w:tcPr>
          <w:p>
            <w:pPr>
              <w:spacing w:after="0"/>
              <w:rPr>
                <w:sz w:val="16"/>
                <w:szCs w:val="16"/>
                <w:color w:val="auto"/>
              </w:rPr>
            </w:pPr>
          </w:p>
        </w:tc>
        <w:tc>
          <w:tcPr>
            <w:tcW w:w="1920" w:type="dxa"/>
            <w:vAlign w:val="bottom"/>
            <w:gridSpan w:val="5"/>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whole numbers)</w:t>
            </w:r>
          </w:p>
        </w:tc>
        <w:tc>
          <w:tcPr>
            <w:tcW w:w="1260" w:type="dxa"/>
            <w:vAlign w:val="bottom"/>
            <w:vMerge w:val="restart"/>
          </w:tcPr>
          <w:p>
            <w:pPr>
              <w:jc w:val="right"/>
              <w:ind w:right="40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3"/>
                <w:szCs w:val="3"/>
                <w:color w:val="auto"/>
              </w:rPr>
            </w:pPr>
          </w:p>
        </w:tc>
        <w:tc>
          <w:tcPr>
            <w:tcW w:w="1140" w:type="dxa"/>
            <w:vAlign w:val="bottom"/>
            <w:vMerge w:val="restart"/>
          </w:tcPr>
          <w:p>
            <w:pPr>
              <w:jc w:val="right"/>
              <w:ind w:right="36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3"/>
                <w:szCs w:val="3"/>
                <w:color w:val="auto"/>
              </w:rPr>
            </w:pPr>
          </w:p>
        </w:tc>
        <w:tc>
          <w:tcPr>
            <w:tcW w:w="1160" w:type="dxa"/>
            <w:vAlign w:val="bottom"/>
            <w:vMerge w:val="restart"/>
          </w:tcPr>
          <w:p>
            <w:pPr>
              <w:jc w:val="right"/>
              <w:ind w:right="36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372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Arial" w:cs="Arial" w:eastAsia="Arial" w:hAnsi="Arial"/>
                <w:sz w:val="14"/>
                <w:szCs w:val="14"/>
                <w:b w:val="1"/>
                <w:bCs w:val="1"/>
                <w:color w:val="auto"/>
              </w:rPr>
              <w:t>2022</w:t>
            </w:r>
          </w:p>
        </w:tc>
        <w:tc>
          <w:tcPr>
            <w:tcW w:w="15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5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39"/>
        </w:trPr>
        <w:tc>
          <w:tcPr>
            <w:tcW w:w="372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markets (at period end)</w:t>
            </w:r>
          </w:p>
        </w:tc>
        <w:tc>
          <w:tcPr>
            <w:tcW w:w="1260" w:type="dxa"/>
            <w:vAlign w:val="bottom"/>
            <w:shd w:val="clear" w:color="auto" w:fill="CCEEFF"/>
          </w:tcPr>
          <w:p>
            <w:pPr>
              <w:jc w:val="right"/>
              <w:ind w:right="462"/>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402"/>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422"/>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53</w:t>
            </w:r>
          </w:p>
        </w:tc>
        <w:tc>
          <w:tcPr>
            <w:tcW w:w="15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419"/>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7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Due to the deteriorating macro environment in 2022, we slowed down our new market expansion plans.</w:t>
      </w:r>
    </w:p>
    <w:p>
      <w:pPr>
        <w:spacing w:after="0" w:line="225"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We view the first year of a market launch as an investment period during which we refine our pricing models, renovation strategies and cost structure. Historically, we have seen underwriting performance for purchase cohorts in new markets improve approximately one year after initial launch. However, given our “risk-off” stance and our reduced acquisition pace, we expect our newer markets will grow slower than prior cohorts.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8"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Adjacent Services</w:t>
      </w:r>
    </w:p>
    <w:p>
      <w:pPr>
        <w:spacing w:after="0" w:line="225"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We believe home sellers and buyers value simplicity and certainty. To that end, we are building an online, integrated suite of home services, which currently includes title insurance, escrow services and brokerage services.</w:t>
      </w:r>
    </w:p>
    <w:p>
      <w:pPr>
        <w:spacing w:after="0" w:line="170" w:lineRule="exact"/>
        <w:rPr>
          <w:sz w:val="20"/>
          <w:szCs w:val="20"/>
          <w:color w:val="auto"/>
        </w:rPr>
      </w:pPr>
    </w:p>
    <w:p>
      <w:pPr>
        <w:ind w:right="120" w:firstLine="405"/>
        <w:spacing w:after="0" w:line="263" w:lineRule="auto"/>
        <w:rPr>
          <w:sz w:val="20"/>
          <w:szCs w:val="20"/>
          <w:color w:val="auto"/>
        </w:rPr>
      </w:pPr>
      <w:r>
        <w:rPr>
          <w:rFonts w:ascii="Arial" w:cs="Arial" w:eastAsia="Arial" w:hAnsi="Arial"/>
          <w:sz w:val="18"/>
          <w:szCs w:val="18"/>
          <w:color w:val="auto"/>
        </w:rPr>
        <w:t>Our success with title insurance and escrow services helps validate our view that customers prefer an online, integrated experience. We will continue to evaluate new ways to improve our end-to-end solution and expect to invest in additional adjacent products and services over time with the expectation that these adjacent services will continue to improve our unit economics and Contribution Margin.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 Economics</w:t>
      </w:r>
    </w:p>
    <w:p>
      <w:pPr>
        <w:spacing w:after="0" w:line="225"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We view Contribution Margin as a key measure of unit economic performance. Our long-term financial performance depends, in part, on continuing to maintain and expand unit margins through the following initiatives:</w:t>
      </w:r>
    </w:p>
    <w:p>
      <w:pPr>
        <w:spacing w:after="0" w:line="6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Optimization and enhancements of our pricing engine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Platform efficiency improvements through greater automation and self-service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Incremental attach of services, which supplement the core transaction margin profile</w:t>
      </w:r>
    </w:p>
    <w:p>
      <w:pPr>
        <w:spacing w:after="0" w:line="63"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Expansion of our marketplace product offering, which will reduce our inventory exposure and capital intensity, and eliminate the holding and selling costs associated with taking ownership of the home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Management</w:t>
      </w:r>
    </w:p>
    <w:p>
      <w:pPr>
        <w:spacing w:after="0" w:line="225"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Effectively managing our overall inventory position and balancing growth, margin, and risk are critical to our financial performance. Since our inception, we have prioritized investment in our pricing capabilities across our home acquisition processes and our forecasting and resale systems, and will continue to do so. As part of our overall risk management framework, we consider both individual market and aggregate portfolio exposures. We typically seek to maximize the resale margin performance of our inventory in the context of managing overall risk and inventory health through monitoring sell-through rates, holding periods, and portfolio aging.</w:t>
      </w:r>
    </w:p>
    <w:p>
      <w:pPr>
        <w:spacing w:after="0" w:line="188"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Our performance in the first nine months of 2023 reflects the sharp transition in the housing market from peak levels earlier in 2022 to lower transaction velocity and home price appreciation well beyond typical seasonal trends. Given these macroeconomic pressures, we have been focused on managing for overall inventory health and risk, particularly on homes that we acquired based on offers made in the first half of 2022 and prior (“old book”). As part of that focus, we have continued to adjust down listed prices on our inventory to stay in-line with market sell-through rates and drive resale clearance. As of September 30, 2023, we had $82 million of old book homes in inventory, down 68% from $254 million at June 30, 2023 and 98% from $3.5 billion at December 31, 2022. We have also proactively reduced our acquisition pace via higher spreads embedded in our offers and lower marketing investment. Margins on acquisitions arising from offers made in the second half of 2022 onward have, as of September 30, 2023, exceeded our expectations at an acquisition cohort level. We expect to achieve positive gross margins and contribution margins on those acquisition cohorts once fully sold through and we expect to resume a higher acquisition pace as the housing market stabilizes.</w:t>
      </w:r>
    </w:p>
    <w:p>
      <w:pPr>
        <w:spacing w:after="0" w:line="181"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Related primarily to the sharp transition in the housing market, we recorded inventory valuation adjustments of $737 million during the year ended December 31, 2022. In 2023, resale clearance is trending better than the back half of 2022 and a lack of supply of new listings has helped to stabilize home prices. As such, inventory valuation adjustments recorded year to date in 2023 are significantly lower than 2022, at $17 million and $54 million during the three and nine months ended September 30, 2023, respectively.</w:t>
      </w:r>
    </w:p>
    <w:p>
      <w:pPr>
        <w:spacing w:after="0" w:line="187"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As one key measure of inventory management performance, we evaluate our portfolio metrics relative to the broader market (as observed on the multiple listing services (“MLS”)). One such metric is our percentage of homes “on the market” for greater than 120 days as measured from initial listing date. As of September 30, 2023, such homes represented 12% of our portfolio, compared to 15% for the broader market when filtered for the types of homes we are able to underwrite and acquire in a given market based on characteristics such as price range, home type, home location, year built and lot size (which we refer to as our “buybox”).</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8"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Financing</w:t>
      </w:r>
    </w:p>
    <w:p>
      <w:pPr>
        <w:spacing w:after="0" w:line="225" w:lineRule="exact"/>
        <w:rPr>
          <w:sz w:val="20"/>
          <w:szCs w:val="20"/>
          <w:color w:val="auto"/>
        </w:rPr>
      </w:pPr>
    </w:p>
    <w:p>
      <w:pPr>
        <w:jc w:val="both"/>
        <w:ind w:right="400" w:firstLine="405"/>
        <w:spacing w:after="0" w:line="263" w:lineRule="auto"/>
        <w:rPr>
          <w:sz w:val="20"/>
          <w:szCs w:val="20"/>
          <w:color w:val="auto"/>
        </w:rPr>
      </w:pPr>
      <w:r>
        <w:rPr>
          <w:rFonts w:ascii="Arial" w:cs="Arial" w:eastAsia="Arial" w:hAnsi="Arial"/>
          <w:sz w:val="18"/>
          <w:szCs w:val="18"/>
          <w:color w:val="auto"/>
        </w:rPr>
        <w:t>Our business model is working capital intensive and inventory financing is a key enabler of our growth. We primarily rely on our access to non-recourse asset-backed debt, which consists of asset-backed senior debt facilities and asset-backed mezzanine term debt facilities, to finance our home acquisitions. See “—</w:t>
      </w:r>
      <w:r>
        <w:rPr>
          <w:rFonts w:ascii="Arial" w:cs="Arial" w:eastAsia="Arial" w:hAnsi="Arial"/>
          <w:sz w:val="18"/>
          <w:szCs w:val="18"/>
          <w:i w:val="1"/>
          <w:iCs w:val="1"/>
          <w:color w:val="auto"/>
        </w:rPr>
        <w:t>Liquidity and Capital Resources — Debt and Financing Arrangements.</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The residential real estate market is seasonal, with greater demand and home price appreciation from home buyers in the spring and summer, and typically weaker demand and lower home price appreciation in late fall and winter. In general, we expect our financial results and working capital requirements to reflect seasonal variations over time. However, other factors, including growth, market expansion and changes in macroeconomic conditions, such as rising inflation and interest rate increases as recently observed, have obscured the impact of seasonality in our historical financials and we expect may continue to do so.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addition to our results of operations below, we report certain financial measures that are not required by, or presented in accordance with,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generally accepted accounting principles (“GAAP”).</w:t>
      </w:r>
    </w:p>
    <w:p>
      <w:pPr>
        <w:spacing w:after="0" w:line="21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These measures have limitations as analytical tools when assessing our operating performance and should not be considered in isolation or as a substitute for GAAP measures, including gross profit (loss) and net loss. We may calculate or present our non-GAAP financial measures differently than other companies who report measures with similar titles and, as a result, the non-GAAP financial measures we report may not be comparable with those of companies in our industry or in other industries.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Gross Profit (Loss) and Contribution Profit (Loss)</w:t>
      </w:r>
    </w:p>
    <w:p>
      <w:pPr>
        <w:spacing w:after="0" w:line="225" w:lineRule="exact"/>
        <w:rPr>
          <w:sz w:val="20"/>
          <w:szCs w:val="20"/>
          <w:color w:val="auto"/>
        </w:rPr>
      </w:pPr>
    </w:p>
    <w:p>
      <w:pPr>
        <w:ind w:right="260" w:firstLine="405"/>
        <w:spacing w:after="0" w:line="291" w:lineRule="auto"/>
        <w:rPr>
          <w:sz w:val="20"/>
          <w:szCs w:val="20"/>
          <w:color w:val="auto"/>
        </w:rPr>
      </w:pPr>
      <w:r>
        <w:rPr>
          <w:rFonts w:ascii="Arial" w:cs="Arial" w:eastAsia="Arial" w:hAnsi="Arial"/>
          <w:sz w:val="16"/>
          <w:szCs w:val="16"/>
          <w:color w:val="auto"/>
        </w:rPr>
        <w:t>To provide investors with additional information regarding our margins and return on inventory acquired, we have included Adjusted Gross Profit (Loss) and Contribution Profit (Loss), which are non-GAAP financial measures. We believe that Adjusted Gross Profit (Loss) and Contribution Profit</w:t>
      </w:r>
    </w:p>
    <w:p>
      <w:pPr>
        <w:ind w:right="20"/>
        <w:spacing w:after="0" w:line="270" w:lineRule="auto"/>
        <w:rPr>
          <w:sz w:val="20"/>
          <w:szCs w:val="20"/>
          <w:color w:val="auto"/>
        </w:rPr>
      </w:pPr>
      <w:r>
        <w:rPr>
          <w:rFonts w:ascii="Arial" w:cs="Arial" w:eastAsia="Arial" w:hAnsi="Arial"/>
          <w:sz w:val="17"/>
          <w:szCs w:val="17"/>
          <w:color w:val="auto"/>
        </w:rPr>
        <w:t>(Loss) are useful financial measures for investors as they are supplemental measures used by management in evaluating unit level economics and our operating performance. Each of these measures is intended to present the economics related to homes sold during a given period. We do so by including revenue generated from homes sold (and adjacent services) in the period and only the expenses that are directly attributable to such home sales, even if such expenses were recognized in prior periods, and excluding expenses related to homes that remain in inventory as of the end of the period. Contribution Profit (Loss) provides investors a measure to assess Opendoor’s ability to generate returns on homes sold during a reporting period after considering home purchase costs, renovation and repair costs, holding costs and selling costs.</w:t>
      </w:r>
    </w:p>
    <w:p>
      <w:pPr>
        <w:spacing w:after="0" w:line="178"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Adjusted Gross Profit (Loss) and Contribution Profit (Loss) are supplemental measures of our operating performance and have limitations as analytical tools. For example, these measures include costs that were recorded in prior periods under GAAP and exclude, in connection with homes held in inventory at the end of the period, costs required to be recorded under GAAP in the same period. Accordingly, these measures should not be considered in isolation or as a substitute for analysis of our results as reported under GAAP. We include a reconciliation of these measures to the most directly comparable GAAP financial measure, which is gross profit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Gross Profit (Loss) / Margin</w:t>
      </w:r>
    </w:p>
    <w:p>
      <w:pPr>
        <w:spacing w:after="0" w:line="225" w:lineRule="exact"/>
        <w:rPr>
          <w:sz w:val="20"/>
          <w:szCs w:val="20"/>
          <w:color w:val="auto"/>
        </w:rPr>
      </w:pPr>
    </w:p>
    <w:p>
      <w:pPr>
        <w:ind w:right="240" w:firstLine="405"/>
        <w:spacing w:after="0" w:line="257" w:lineRule="auto"/>
        <w:rPr>
          <w:sz w:val="20"/>
          <w:szCs w:val="20"/>
          <w:color w:val="auto"/>
        </w:rPr>
      </w:pPr>
      <w:r>
        <w:rPr>
          <w:rFonts w:ascii="Arial" w:cs="Arial" w:eastAsia="Arial" w:hAnsi="Arial"/>
          <w:sz w:val="18"/>
          <w:szCs w:val="18"/>
          <w:color w:val="auto"/>
        </w:rPr>
        <w:t>We calculate Adjusted Gross Profit (Loss) as gross profit (loss) under GAAP adjusted for (1) inventory valuation adjustment in the current period, and (2) inventory valuation adjustment in prior periods. Inventory valuation adjustment in the current period is calculated by adding back the inventory valuation adjustments recorded during the period on homes that remain in inventory at period end. Inventory valuation adjustment in prior periods is calculated by subtracting the inventory valuation adjustments recorded in prior periods on homes sold in the current period. We define Adjusted Gross Margin as Adjusted Gross Profit (Loss) as a percentage of revenue.</w:t>
      </w:r>
    </w:p>
    <w:p>
      <w:pPr>
        <w:spacing w:after="0" w:line="200" w:lineRule="exact"/>
        <w:rPr>
          <w:sz w:val="20"/>
          <w:szCs w:val="20"/>
          <w:color w:val="auto"/>
        </w:rPr>
      </w:pPr>
    </w:p>
    <w:p>
      <w:pPr>
        <w:spacing w:after="0" w:line="3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9" w:right="39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8"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460" w:firstLine="405"/>
        <w:spacing w:after="0" w:line="263" w:lineRule="auto"/>
        <w:rPr>
          <w:sz w:val="20"/>
          <w:szCs w:val="20"/>
          <w:color w:val="auto"/>
        </w:rPr>
      </w:pPr>
      <w:r>
        <w:rPr>
          <w:rFonts w:ascii="Arial" w:cs="Arial" w:eastAsia="Arial" w:hAnsi="Arial"/>
          <w:sz w:val="18"/>
          <w:szCs w:val="18"/>
          <w:color w:val="auto"/>
        </w:rPr>
        <w:t>We view this metric as an important measure of business performance as it captures gross margin performance isolated to homes sold in a given period and provides comparability across reporting periods. Adjusted Gross Profit (Loss) helps management assess home pricing, service fees and renovation performance for a specific resale cohort.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Contribution Profit (Loss) / Margin</w:t>
      </w:r>
    </w:p>
    <w:p>
      <w:pPr>
        <w:spacing w:after="0" w:line="225" w:lineRule="exact"/>
        <w:rPr>
          <w:sz w:val="20"/>
          <w:szCs w:val="20"/>
          <w:color w:val="auto"/>
        </w:rPr>
      </w:pPr>
    </w:p>
    <w:p>
      <w:pPr>
        <w:jc w:val="center"/>
        <w:ind w:right="200"/>
        <w:spacing w:after="0" w:line="311" w:lineRule="auto"/>
        <w:rPr>
          <w:sz w:val="20"/>
          <w:szCs w:val="20"/>
          <w:color w:val="auto"/>
        </w:rPr>
      </w:pPr>
      <w:r>
        <w:rPr>
          <w:rFonts w:ascii="Arial" w:cs="Arial" w:eastAsia="Arial" w:hAnsi="Arial"/>
          <w:sz w:val="16"/>
          <w:szCs w:val="16"/>
          <w:color w:val="auto"/>
        </w:rPr>
        <w:t>We calculate Contribution Profit (Loss) as Adjusted Gross Profit (Loss), minus certain costs incurred on homes sold during the current period including: (1) holding costs incurred in the current period, (2) holding costs incurred in prior periods, and (3) direct selling costs. The composition of our holding costs is described in the footnotes to the reconciliation table below. Contribution Margin is Contribution Profit (Loss) as a percentage of revenue.</w:t>
      </w:r>
    </w:p>
    <w:p>
      <w:pPr>
        <w:spacing w:after="0" w:line="149" w:lineRule="exact"/>
        <w:rPr>
          <w:sz w:val="20"/>
          <w:szCs w:val="20"/>
          <w:color w:val="auto"/>
        </w:rPr>
      </w:pPr>
    </w:p>
    <w:p>
      <w:pPr>
        <w:ind w:right="200" w:firstLine="405"/>
        <w:spacing w:after="0" w:line="263" w:lineRule="auto"/>
        <w:rPr>
          <w:sz w:val="20"/>
          <w:szCs w:val="20"/>
          <w:color w:val="auto"/>
        </w:rPr>
      </w:pPr>
      <w:r>
        <w:rPr>
          <w:rFonts w:ascii="Arial" w:cs="Arial" w:eastAsia="Arial" w:hAnsi="Arial"/>
          <w:sz w:val="18"/>
          <w:szCs w:val="18"/>
          <w:color w:val="auto"/>
        </w:rPr>
        <w:t>We view this metric as an important measure of business performance as it captures the unit level performance isolated to homes sold in a given period and provides comparability across reporting periods. Contribution Profit (Loss) helps management assess inflows and outflows directly associated with a specific resale cohort.</w:t>
      </w:r>
    </w:p>
    <w:p>
      <w:pPr>
        <w:spacing w:after="0" w:line="184"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following table presents a reconciliation of our Adjusted Gross Profit (Loss) and Contribution Profit (Loss) to our gross profit (loss), which is the most directly comparable GAAP measure, for the periods indicated: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20" w:type="dxa"/>
            <w:vAlign w:val="bottom"/>
            <w:gridSpan w:val="5"/>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5"/>
                <w:szCs w:val="15"/>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9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34"/>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jc w:val="right"/>
              <w:ind w:right="532"/>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39"/>
        </w:trPr>
        <w:tc>
          <w:tcPr>
            <w:tcW w:w="49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 (loss) (GAAP)</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415</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596</w:t>
            </w: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i w:val="1"/>
                <w:iCs w:val="1"/>
                <w:color w:val="auto"/>
              </w:rPr>
              <w:t>Gross Margin</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9.8 %</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6.8 %</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980" w:type="dxa"/>
            <w:vAlign w:val="bottom"/>
          </w:tcPr>
          <w:p>
            <w:pPr>
              <w:ind w:left="240"/>
              <w:spacing w:after="0"/>
              <w:rPr>
                <w:sz w:val="20"/>
                <w:szCs w:val="20"/>
                <w:color w:val="auto"/>
              </w:rPr>
            </w:pPr>
            <w:r>
              <w:rPr>
                <w:rFonts w:ascii="Arial" w:cs="Arial" w:eastAsia="Arial" w:hAnsi="Arial"/>
                <w:sz w:val="18"/>
                <w:szCs w:val="18"/>
                <w:color w:val="auto"/>
              </w:rPr>
              <w:t>Inventory valuation adjustment – Current Period</w:t>
            </w:r>
            <w:r>
              <w:rPr>
                <w:rFonts w:ascii="Arial" w:cs="Arial" w:eastAsia="Arial" w:hAnsi="Arial"/>
                <w:sz w:val="23"/>
                <w:szCs w:val="23"/>
                <w:color w:val="auto"/>
                <w:vertAlign w:val="superscript"/>
              </w:rPr>
              <w:t>(1)(2)</w:t>
            </w:r>
          </w:p>
        </w:tc>
        <w:tc>
          <w:tcPr>
            <w:tcW w:w="340" w:type="dxa"/>
            <w:vAlign w:val="bottom"/>
          </w:tcPr>
          <w:p>
            <w:pPr>
              <w:spacing w:after="0"/>
              <w:rPr>
                <w:sz w:val="23"/>
                <w:szCs w:val="23"/>
                <w:color w:val="auto"/>
              </w:rPr>
            </w:pPr>
          </w:p>
        </w:tc>
        <w:tc>
          <w:tcPr>
            <w:tcW w:w="1120" w:type="dxa"/>
            <w:vAlign w:val="bottom"/>
          </w:tcPr>
          <w:p>
            <w:pPr>
              <w:jc w:val="right"/>
              <w:ind w:right="134"/>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70"/>
        </w:trPr>
        <w:tc>
          <w:tcPr>
            <w:tcW w:w="4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Inventory valuation adjustment – Prior Periods</w:t>
            </w:r>
            <w:r>
              <w:rPr>
                <w:rFonts w:ascii="Arial" w:cs="Arial" w:eastAsia="Arial" w:hAnsi="Arial"/>
                <w:sz w:val="23"/>
                <w:szCs w:val="23"/>
                <w:color w:val="auto"/>
                <w:vertAlign w:val="superscript"/>
              </w:rPr>
              <w:t>(1)(3)</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(450)</w:t>
            </w:r>
          </w:p>
        </w:tc>
        <w:tc>
          <w:tcPr>
            <w:tcW w:w="8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7"/>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Adjusted Gross Profit (Loss)</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134"/>
              <w:spacing w:after="0"/>
              <w:rPr>
                <w:sz w:val="20"/>
                <w:szCs w:val="20"/>
                <w:color w:val="auto"/>
              </w:rPr>
            </w:pPr>
            <w:r>
              <w:rPr>
                <w:rFonts w:ascii="Arial" w:cs="Arial" w:eastAsia="Arial" w:hAnsi="Arial"/>
                <w:sz w:val="18"/>
                <w:szCs w:val="18"/>
                <w:b w:val="1"/>
                <w:bCs w:val="1"/>
                <w:color w:val="auto"/>
              </w:rPr>
              <w:t>84</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132"/>
              <w:spacing w:after="0"/>
              <w:rPr>
                <w:sz w:val="20"/>
                <w:szCs w:val="20"/>
                <w:color w:val="auto"/>
              </w:rPr>
            </w:pPr>
            <w:r>
              <w:rPr>
                <w:rFonts w:ascii="Arial" w:cs="Arial" w:eastAsia="Arial" w:hAnsi="Arial"/>
                <w:sz w:val="18"/>
                <w:szCs w:val="18"/>
                <w:b w:val="1"/>
                <w:bCs w:val="1"/>
                <w:color w:val="auto"/>
              </w:rPr>
              <w:t>110</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ind w:right="94"/>
              <w:spacing w:after="0"/>
              <w:rPr>
                <w:sz w:val="20"/>
                <w:szCs w:val="20"/>
                <w:color w:val="auto"/>
              </w:rPr>
            </w:pPr>
            <w:r>
              <w:rPr>
                <w:rFonts w:ascii="Arial" w:cs="Arial" w:eastAsia="Arial" w:hAnsi="Arial"/>
                <w:sz w:val="18"/>
                <w:szCs w:val="18"/>
                <w:b w:val="1"/>
                <w:bCs w:val="1"/>
                <w:color w:val="auto"/>
              </w:rPr>
              <w:t>(11)</w:t>
            </w:r>
          </w:p>
        </w:tc>
        <w:tc>
          <w:tcPr>
            <w:tcW w:w="80" w:type="dxa"/>
            <w:vAlign w:val="bottom"/>
          </w:tcPr>
          <w:p>
            <w:pPr>
              <w:spacing w:after="0"/>
              <w:rPr>
                <w:sz w:val="20"/>
                <w:szCs w:val="20"/>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132"/>
              <w:spacing w:after="0"/>
              <w:rPr>
                <w:sz w:val="20"/>
                <w:szCs w:val="20"/>
                <w:color w:val="auto"/>
              </w:rPr>
            </w:pPr>
            <w:r>
              <w:rPr>
                <w:rFonts w:ascii="Arial" w:cs="Arial" w:eastAsia="Arial" w:hAnsi="Arial"/>
                <w:sz w:val="18"/>
                <w:szCs w:val="18"/>
                <w:b w:val="1"/>
                <w:bCs w:val="1"/>
                <w:color w:val="auto"/>
              </w:rPr>
              <w:t>1,178</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Adjusted Gross Margin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Direct selling costs</w:t>
            </w:r>
            <w:r>
              <w:rPr>
                <w:rFonts w:ascii="Arial" w:cs="Arial" w:eastAsia="Arial" w:hAnsi="Arial"/>
                <w:sz w:val="23"/>
                <w:szCs w:val="23"/>
                <w:color w:val="auto"/>
                <w:vertAlign w:val="superscript"/>
              </w:rPr>
              <w:t>(4)</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(171)</w:t>
            </w: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70"/>
        </w:trPr>
        <w:tc>
          <w:tcPr>
            <w:tcW w:w="4980" w:type="dxa"/>
            <w:vAlign w:val="bottom"/>
          </w:tcPr>
          <w:p>
            <w:pPr>
              <w:ind w:left="240"/>
              <w:spacing w:after="0"/>
              <w:rPr>
                <w:sz w:val="20"/>
                <w:szCs w:val="20"/>
                <w:color w:val="auto"/>
              </w:rPr>
            </w:pPr>
            <w:r>
              <w:rPr>
                <w:rFonts w:ascii="Arial" w:cs="Arial" w:eastAsia="Arial" w:hAnsi="Arial"/>
                <w:sz w:val="18"/>
                <w:szCs w:val="18"/>
                <w:color w:val="auto"/>
              </w:rPr>
              <w:t>Holding costs on sales – Current Period</w:t>
            </w:r>
            <w:r>
              <w:rPr>
                <w:rFonts w:ascii="Arial" w:cs="Arial" w:eastAsia="Arial" w:hAnsi="Arial"/>
                <w:sz w:val="23"/>
                <w:szCs w:val="23"/>
                <w:color w:val="auto"/>
                <w:vertAlign w:val="superscript"/>
              </w:rPr>
              <w:t>(5)(6)</w:t>
            </w:r>
          </w:p>
        </w:tc>
        <w:tc>
          <w:tcPr>
            <w:tcW w:w="340" w:type="dxa"/>
            <w:vAlign w:val="bottom"/>
          </w:tcPr>
          <w:p>
            <w:pPr>
              <w:spacing w:after="0"/>
              <w:rPr>
                <w:sz w:val="23"/>
                <w:szCs w:val="23"/>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0"/>
        </w:trPr>
        <w:tc>
          <w:tcPr>
            <w:tcW w:w="4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Holding costs on sales – Prior Periods</w:t>
            </w:r>
            <w:r>
              <w:rPr>
                <w:rFonts w:ascii="Arial" w:cs="Arial" w:eastAsia="Arial" w:hAnsi="Arial"/>
                <w:sz w:val="23"/>
                <w:szCs w:val="23"/>
                <w:color w:val="auto"/>
                <w:vertAlign w:val="superscript"/>
              </w:rPr>
              <w:t>(5)(7)</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6"/>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Contribution Profit (Loss)</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134"/>
              <w:spacing w:after="0"/>
              <w:rPr>
                <w:sz w:val="20"/>
                <w:szCs w:val="20"/>
                <w:color w:val="auto"/>
              </w:rPr>
            </w:pPr>
            <w:r>
              <w:rPr>
                <w:rFonts w:ascii="Arial" w:cs="Arial" w:eastAsia="Arial" w:hAnsi="Arial"/>
                <w:sz w:val="18"/>
                <w:szCs w:val="18"/>
                <w:b w:val="1"/>
                <w:bCs w:val="1"/>
                <w:color w:val="auto"/>
              </w:rPr>
              <w:t>43</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92"/>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ind w:right="94"/>
              <w:spacing w:after="0"/>
              <w:rPr>
                <w:sz w:val="20"/>
                <w:szCs w:val="20"/>
                <w:color w:val="auto"/>
              </w:rPr>
            </w:pPr>
            <w:r>
              <w:rPr>
                <w:rFonts w:ascii="Arial" w:cs="Arial" w:eastAsia="Arial" w:hAnsi="Arial"/>
                <w:sz w:val="18"/>
                <w:szCs w:val="18"/>
                <w:b w:val="1"/>
                <w:bCs w:val="1"/>
                <w:color w:val="auto"/>
              </w:rPr>
              <w:t>(288)</w:t>
            </w:r>
          </w:p>
        </w:tc>
        <w:tc>
          <w:tcPr>
            <w:tcW w:w="80" w:type="dxa"/>
            <w:vAlign w:val="bottom"/>
          </w:tcPr>
          <w:p>
            <w:pPr>
              <w:spacing w:after="0"/>
              <w:rPr>
                <w:sz w:val="20"/>
                <w:szCs w:val="20"/>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132"/>
              <w:spacing w:after="0"/>
              <w:rPr>
                <w:sz w:val="20"/>
                <w:szCs w:val="20"/>
                <w:color w:val="auto"/>
              </w:rPr>
            </w:pPr>
            <w:r>
              <w:rPr>
                <w:rFonts w:ascii="Arial" w:cs="Arial" w:eastAsia="Arial" w:hAnsi="Arial"/>
                <w:sz w:val="18"/>
                <w:szCs w:val="18"/>
                <w:b w:val="1"/>
                <w:bCs w:val="1"/>
                <w:color w:val="auto"/>
              </w:rPr>
              <w:t>732</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Contribution Margin</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7"/>
        </w:trPr>
        <w:tc>
          <w:tcPr>
            <w:tcW w:w="49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w:t>
      </w:r>
    </w:p>
    <w:p>
      <w:pPr>
        <w:spacing w:after="0" w:line="84"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22"/>
          <w:szCs w:val="22"/>
          <w:color w:val="auto"/>
          <w:vertAlign w:val="superscript"/>
        </w:rPr>
      </w:pPr>
      <w:r>
        <w:rPr>
          <w:rFonts w:ascii="Arial" w:cs="Arial" w:eastAsia="Arial" w:hAnsi="Arial"/>
          <w:sz w:val="17"/>
          <w:szCs w:val="17"/>
          <w:color w:val="auto"/>
        </w:rPr>
        <w:t>Inventory valuation adjustment includes adjustments to record real estate inventory at the lower of its carrying amount or its net realizable value.</w:t>
      </w:r>
    </w:p>
    <w:p>
      <w:pPr>
        <w:spacing w:after="0" w:line="93" w:lineRule="exact"/>
        <w:rPr>
          <w:rFonts w:ascii="Arial" w:cs="Arial" w:eastAsia="Arial" w:hAnsi="Arial"/>
          <w:sz w:val="22"/>
          <w:szCs w:val="22"/>
          <w:color w:val="auto"/>
          <w:vertAlign w:val="superscript"/>
        </w:rPr>
      </w:pPr>
    </w:p>
    <w:p>
      <w:pPr>
        <w:ind w:left="340" w:right="220" w:hanging="332"/>
        <w:spacing w:after="0" w:line="227" w:lineRule="auto"/>
        <w:tabs>
          <w:tab w:leader="none" w:pos="328"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Inventory valuation adjustment — Current Period is the inventory valuation adjustments recorded during the period presented associated with homes that remain in inventory at period end.</w:t>
      </w:r>
    </w:p>
    <w:p>
      <w:pPr>
        <w:spacing w:after="0" w:line="94" w:lineRule="exact"/>
        <w:rPr>
          <w:rFonts w:ascii="Arial" w:cs="Arial" w:eastAsia="Arial" w:hAnsi="Arial"/>
          <w:sz w:val="23"/>
          <w:szCs w:val="23"/>
          <w:color w:val="auto"/>
          <w:vertAlign w:val="superscript"/>
        </w:rPr>
      </w:pPr>
    </w:p>
    <w:p>
      <w:pPr>
        <w:ind w:left="340" w:right="80" w:hanging="332"/>
        <w:spacing w:after="0" w:line="227" w:lineRule="auto"/>
        <w:tabs>
          <w:tab w:leader="none" w:pos="328"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Inventory valuation adjustment — Prior Periods is the inventory valuation adjustments recorded in prior periods associated with homes that sold in the period presented.</w:t>
      </w:r>
    </w:p>
    <w:p>
      <w:pPr>
        <w:spacing w:after="0" w:line="94" w:lineRule="exact"/>
        <w:rPr>
          <w:rFonts w:ascii="Arial" w:cs="Arial" w:eastAsia="Arial" w:hAnsi="Arial"/>
          <w:sz w:val="23"/>
          <w:szCs w:val="23"/>
          <w:color w:val="auto"/>
          <w:vertAlign w:val="superscript"/>
        </w:rPr>
      </w:pPr>
    </w:p>
    <w:p>
      <w:pPr>
        <w:ind w:left="340" w:right="220" w:hanging="332"/>
        <w:spacing w:after="0" w:line="227" w:lineRule="auto"/>
        <w:tabs>
          <w:tab w:leader="none" w:pos="328"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Represents selling costs incurred related to homes sold in the relevant period. This primarily includes broker commissions, external title and escrow-related fees and transfer taxes.</w:t>
      </w:r>
    </w:p>
    <w:p>
      <w:pPr>
        <w:spacing w:after="0" w:line="94" w:lineRule="exact"/>
        <w:rPr>
          <w:rFonts w:ascii="Arial" w:cs="Arial" w:eastAsia="Arial" w:hAnsi="Arial"/>
          <w:sz w:val="23"/>
          <w:szCs w:val="23"/>
          <w:color w:val="auto"/>
          <w:vertAlign w:val="superscript"/>
        </w:rPr>
      </w:pPr>
    </w:p>
    <w:p>
      <w:pPr>
        <w:ind w:left="340" w:right="380" w:hanging="332"/>
        <w:spacing w:after="0" w:line="227" w:lineRule="auto"/>
        <w:tabs>
          <w:tab w:leader="none" w:pos="328"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Holding costs include mainly property taxes, insurance, utilities, homeowners association dues, cleaning and maintenance costs. Holding costs are included in Sales, marketing, and operations on the Condensed Consolidated Statements of Operations.</w:t>
      </w:r>
    </w:p>
    <w:p>
      <w:pPr>
        <w:spacing w:after="0" w:line="59"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Represents holding costs incurred in the period presented on homes sold in the period presented.</w:t>
      </w:r>
    </w:p>
    <w:p>
      <w:pPr>
        <w:spacing w:after="0" w:line="68" w:lineRule="exact"/>
        <w:rPr>
          <w:rFonts w:ascii="Arial" w:cs="Arial" w:eastAsia="Arial" w:hAnsi="Arial"/>
          <w:sz w:val="23"/>
          <w:szCs w:val="23"/>
          <w:color w:val="auto"/>
          <w:vertAlign w:val="superscript"/>
        </w:rPr>
      </w:pPr>
    </w:p>
    <w:p>
      <w:pPr>
        <w:ind w:left="320" w:hanging="312"/>
        <w:spacing w:after="0" w:line="231" w:lineRule="auto"/>
        <w:tabs>
          <w:tab w:leader="none" w:pos="32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Represents holding costs incurred in prior periods on homes sold in the period presented.</w:t>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8"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Loss and Adjusted EBITDA</w:t>
      </w:r>
    </w:p>
    <w:p>
      <w:pPr>
        <w:spacing w:after="0" w:line="225"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We also present Adjusted Net Loss and Adjusted EBITDA, which are non-GAAP financial measures that management uses to assess our underlying financial performance. These measures are also commonly used by investors and analysts to compare the underlying performance of companies in our industry. We believe these measures provide investors with meaningful period over period comparisons of our underlying performance, adjusted for certain charges that are non-recurring, non-cash, not directly related to our revenue-generating operations, not aligned to related revenue, or not reflective of ongoing operating results that vary in frequency and amount.</w:t>
      </w:r>
    </w:p>
    <w:p>
      <w:pPr>
        <w:spacing w:after="0" w:line="188"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Adjusted Net Loss and Adjusted EBITDA are supplemental measures of our operating performance and have important limitations. For example, these measures exclude the impact of certain costs required to be recorded under GAAP. These measures also include inventory valuation adjustments that were recorded in prior periods under GAAP and exclude, in connection with homes held in inventory at the end of the period, inventory valuation adjustments required to be recorded under GAAP in the same period. These measures could differ substantially from similarly titled measures presented by other companies in our industry or companies in other industries. Accordingly, these measures should not be considered in isolation or as a substitute for analysis of our results as reported under GAAP. We include a reconciliation of these measures to the most directly comparable GAAP financial measure, which is net loss.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Loss</w:t>
      </w:r>
    </w:p>
    <w:p>
      <w:pPr>
        <w:spacing w:after="0" w:line="225"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We calculate Adjusted Net Loss as GAAP net loss adjusted to exclude non-cash expenses of stock-based compensation, equity securities fair value adjustment, and intangibles amortization expense. It excludes expenses that are not directly related to our revenue-generating operations such as restructuring and legal contingency accruals. It excludes (gain) loss on extinguishment of debt as these expenses were incurred as a result of decisions made by management to repay portions of our outstanding credit facilities early; these expenses are not reflective of ongoing operating results and vary in frequency and amount. Adjusted Net Loss also aligns the timing of inventory valuation adjustments recorded under GAAP to the period in which the related revenue is recorded in order to improve the comparability of this measure to our non-GAAP financial measures of unit economics, as described above. Our calculation of Adjusted Net Loss does not currently include the tax effects of the non-GAAP adjustments because our taxes and such tax effects have not been material to date.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225" w:lineRule="exact"/>
        <w:rPr>
          <w:sz w:val="20"/>
          <w:szCs w:val="20"/>
          <w:color w:val="auto"/>
        </w:rPr>
      </w:pPr>
    </w:p>
    <w:p>
      <w:pPr>
        <w:jc w:val="both"/>
        <w:ind w:right="360" w:firstLine="405"/>
        <w:spacing w:after="0" w:line="263" w:lineRule="auto"/>
        <w:rPr>
          <w:sz w:val="20"/>
          <w:szCs w:val="20"/>
          <w:color w:val="auto"/>
        </w:rPr>
      </w:pPr>
      <w:r>
        <w:rPr>
          <w:rFonts w:ascii="Arial" w:cs="Arial" w:eastAsia="Arial" w:hAnsi="Arial"/>
          <w:sz w:val="18"/>
          <w:szCs w:val="18"/>
          <w:color w:val="auto"/>
        </w:rPr>
        <w:t>We calculated Adjusted EBITDA as Adjusted Net Loss adjusted for depreciation and amortization, property financing and other interest expense, interest income, and income tax expense. Adjusted EBITDA is a supplemental performance measure that our management uses to assess our operating performance and the operating leverage in our business.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8"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presents a reconciliation of our Adjusted Net Loss and Adjusted EBITDA to our net loss, which is the most directly comparable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GAAP measure, for the periods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20" w:type="dxa"/>
            <w:vAlign w:val="bottom"/>
            <w:gridSpan w:val="5"/>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5"/>
                <w:szCs w:val="15"/>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9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jc w:val="right"/>
              <w:ind w:right="511"/>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39"/>
        </w:trPr>
        <w:tc>
          <w:tcPr>
            <w:tcW w:w="49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(GAAP)</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(928)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(954)</w:t>
            </w: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0"/>
        </w:trPr>
        <w:tc>
          <w:tcPr>
            <w:tcW w:w="4980" w:type="dxa"/>
            <w:vAlign w:val="bottom"/>
          </w:tcPr>
          <w:p>
            <w:pPr>
              <w:ind w:left="180"/>
              <w:spacing w:after="0"/>
              <w:rPr>
                <w:sz w:val="20"/>
                <w:szCs w:val="20"/>
                <w:color w:val="auto"/>
              </w:rPr>
            </w:pPr>
            <w:r>
              <w:rPr>
                <w:rFonts w:ascii="Arial" w:cs="Arial" w:eastAsia="Arial" w:hAnsi="Arial"/>
                <w:sz w:val="18"/>
                <w:szCs w:val="18"/>
                <w:color w:val="auto"/>
              </w:rPr>
              <w:t>Equity securities fair value adjustment</w:t>
            </w:r>
            <w:r>
              <w:rPr>
                <w:rFonts w:ascii="Arial" w:cs="Arial" w:eastAsia="Arial" w:hAnsi="Arial"/>
                <w:sz w:val="23"/>
                <w:szCs w:val="23"/>
                <w:color w:val="auto"/>
                <w:vertAlign w:val="superscript"/>
              </w:rPr>
              <w:t>(1)</w:t>
            </w:r>
          </w:p>
        </w:tc>
        <w:tc>
          <w:tcPr>
            <w:tcW w:w="340" w:type="dxa"/>
            <w:vAlign w:val="bottom"/>
          </w:tcPr>
          <w:p>
            <w:pPr>
              <w:spacing w:after="0"/>
              <w:rPr>
                <w:sz w:val="23"/>
                <w:szCs w:val="23"/>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0"/>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Intangibles amortization expense</w:t>
            </w:r>
            <w:r>
              <w:rPr>
                <w:rFonts w:ascii="Arial" w:cs="Arial" w:eastAsia="Arial" w:hAnsi="Arial"/>
                <w:sz w:val="23"/>
                <w:szCs w:val="23"/>
                <w:color w:val="auto"/>
                <w:vertAlign w:val="superscript"/>
              </w:rPr>
              <w:t>(2)</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4980" w:type="dxa"/>
            <w:vAlign w:val="bottom"/>
          </w:tcPr>
          <w:p>
            <w:pPr>
              <w:ind w:left="180"/>
              <w:spacing w:after="0"/>
              <w:rPr>
                <w:sz w:val="20"/>
                <w:szCs w:val="20"/>
                <w:color w:val="auto"/>
              </w:rPr>
            </w:pPr>
            <w:r>
              <w:rPr>
                <w:rFonts w:ascii="Arial" w:cs="Arial" w:eastAsia="Arial" w:hAnsi="Arial"/>
                <w:sz w:val="18"/>
                <w:szCs w:val="18"/>
                <w:color w:val="auto"/>
              </w:rPr>
              <w:t>Inventory valuation adjustment – Current Period</w:t>
            </w:r>
            <w:r>
              <w:rPr>
                <w:rFonts w:ascii="Arial" w:cs="Arial" w:eastAsia="Arial" w:hAnsi="Arial"/>
                <w:sz w:val="23"/>
                <w:szCs w:val="23"/>
                <w:color w:val="auto"/>
                <w:vertAlign w:val="superscript"/>
              </w:rPr>
              <w:t>(3)(4)</w:t>
            </w:r>
          </w:p>
        </w:tc>
        <w:tc>
          <w:tcPr>
            <w:tcW w:w="340" w:type="dxa"/>
            <w:vAlign w:val="bottom"/>
          </w:tcPr>
          <w:p>
            <w:pPr>
              <w:spacing w:after="0"/>
              <w:rPr>
                <w:sz w:val="23"/>
                <w:szCs w:val="23"/>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573</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70"/>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 valuation adjustment — Prior Periods</w:t>
            </w:r>
            <w:r>
              <w:rPr>
                <w:rFonts w:ascii="Arial" w:cs="Arial" w:eastAsia="Arial" w:hAnsi="Arial"/>
                <w:sz w:val="23"/>
                <w:szCs w:val="23"/>
                <w:color w:val="auto"/>
                <w:vertAlign w:val="superscript"/>
              </w:rPr>
              <w:t>(3)(5)</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0"/>
        </w:trPr>
        <w:tc>
          <w:tcPr>
            <w:tcW w:w="4980" w:type="dxa"/>
            <w:vAlign w:val="bottom"/>
          </w:tcPr>
          <w:p>
            <w:pPr>
              <w:ind w:left="180"/>
              <w:spacing w:after="0"/>
              <w:rPr>
                <w:sz w:val="20"/>
                <w:szCs w:val="20"/>
                <w:color w:val="auto"/>
              </w:rPr>
            </w:pPr>
            <w:r>
              <w:rPr>
                <w:rFonts w:ascii="Arial" w:cs="Arial" w:eastAsia="Arial" w:hAnsi="Arial"/>
                <w:sz w:val="18"/>
                <w:szCs w:val="18"/>
                <w:color w:val="auto"/>
              </w:rPr>
              <w:t>Restructuring</w:t>
            </w:r>
            <w:r>
              <w:rPr>
                <w:rFonts w:ascii="Arial" w:cs="Arial" w:eastAsia="Arial" w:hAnsi="Arial"/>
                <w:sz w:val="23"/>
                <w:szCs w:val="23"/>
                <w:color w:val="auto"/>
                <w:vertAlign w:val="superscript"/>
              </w:rPr>
              <w:t>(6)</w:t>
            </w:r>
          </w:p>
        </w:tc>
        <w:tc>
          <w:tcPr>
            <w:tcW w:w="340" w:type="dxa"/>
            <w:vAlign w:val="bottom"/>
          </w:tcPr>
          <w:p>
            <w:pPr>
              <w:spacing w:after="0"/>
              <w:rPr>
                <w:sz w:val="23"/>
                <w:szCs w:val="23"/>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extinguishment of debt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80" w:type="dxa"/>
            <w:vAlign w:val="bottom"/>
          </w:tcPr>
          <w:p>
            <w:pPr>
              <w:ind w:left="180"/>
              <w:spacing w:after="0"/>
              <w:rPr>
                <w:sz w:val="20"/>
                <w:szCs w:val="20"/>
                <w:color w:val="auto"/>
              </w:rPr>
            </w:pPr>
            <w:r>
              <w:rPr>
                <w:rFonts w:ascii="Arial" w:cs="Arial" w:eastAsia="Arial" w:hAnsi="Arial"/>
                <w:sz w:val="18"/>
                <w:szCs w:val="18"/>
                <w:color w:val="auto"/>
              </w:rPr>
              <w:t>Legal contingency accrual and related expenses</w:t>
            </w:r>
          </w:p>
        </w:tc>
        <w:tc>
          <w:tcPr>
            <w:tcW w:w="34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(7)</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6"/>
        </w:trPr>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Adjusted Net Loss</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(75)</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(328)</w:t>
            </w:r>
          </w:p>
        </w:tc>
        <w:tc>
          <w:tcPr>
            <w:tcW w:w="8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(681)</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(107)</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180"/>
              <w:spacing w:after="0"/>
              <w:rPr>
                <w:sz w:val="20"/>
                <w:szCs w:val="20"/>
                <w:color w:val="auto"/>
              </w:rPr>
            </w:pPr>
            <w:r>
              <w:rPr>
                <w:rFonts w:ascii="Arial" w:cs="Arial" w:eastAsia="Arial" w:hAnsi="Arial"/>
                <w:sz w:val="18"/>
                <w:szCs w:val="18"/>
                <w:color w:val="auto"/>
              </w:rPr>
              <w:t>Depreciation and amortization, excluding amortization of</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360"/>
              <w:spacing w:after="0"/>
              <w:rPr>
                <w:sz w:val="20"/>
                <w:szCs w:val="20"/>
                <w:color w:val="auto"/>
              </w:rPr>
            </w:pPr>
            <w:r>
              <w:rPr>
                <w:rFonts w:ascii="Arial" w:cs="Arial" w:eastAsia="Arial" w:hAnsi="Arial"/>
                <w:sz w:val="18"/>
                <w:szCs w:val="18"/>
                <w:color w:val="auto"/>
              </w:rPr>
              <w:t>intangibles</w:t>
            </w:r>
          </w:p>
        </w:tc>
        <w:tc>
          <w:tcPr>
            <w:tcW w:w="340" w:type="dxa"/>
            <w:vAlign w:val="bottom"/>
          </w:tcPr>
          <w:p>
            <w:pPr>
              <w:spacing w:after="0"/>
              <w:rPr>
                <w:sz w:val="20"/>
                <w:szCs w:val="20"/>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financing</w:t>
            </w:r>
            <w:r>
              <w:rPr>
                <w:rFonts w:ascii="Arial" w:cs="Arial" w:eastAsia="Arial" w:hAnsi="Arial"/>
                <w:sz w:val="23"/>
                <w:szCs w:val="23"/>
                <w:color w:val="auto"/>
                <w:vertAlign w:val="superscript"/>
              </w:rPr>
              <w:t>(8)</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70"/>
        </w:trPr>
        <w:tc>
          <w:tcPr>
            <w:tcW w:w="4980" w:type="dxa"/>
            <w:vAlign w:val="bottom"/>
          </w:tcPr>
          <w:p>
            <w:pPr>
              <w:ind w:left="180"/>
              <w:spacing w:after="0"/>
              <w:rPr>
                <w:sz w:val="20"/>
                <w:szCs w:val="20"/>
                <w:color w:val="auto"/>
              </w:rPr>
            </w:pPr>
            <w:r>
              <w:rPr>
                <w:rFonts w:ascii="Arial" w:cs="Arial" w:eastAsia="Arial" w:hAnsi="Arial"/>
                <w:sz w:val="18"/>
                <w:szCs w:val="18"/>
                <w:color w:val="auto"/>
              </w:rPr>
              <w:t>Other interest expense</w:t>
            </w:r>
            <w:r>
              <w:rPr>
                <w:rFonts w:ascii="Arial" w:cs="Arial" w:eastAsia="Arial" w:hAnsi="Arial"/>
                <w:sz w:val="23"/>
                <w:szCs w:val="23"/>
                <w:color w:val="auto"/>
                <w:vertAlign w:val="superscript"/>
              </w:rPr>
              <w:t>(9)</w:t>
            </w:r>
          </w:p>
        </w:tc>
        <w:tc>
          <w:tcPr>
            <w:tcW w:w="340" w:type="dxa"/>
            <w:vAlign w:val="bottom"/>
          </w:tcPr>
          <w:p>
            <w:pPr>
              <w:spacing w:after="0"/>
              <w:rPr>
                <w:sz w:val="23"/>
                <w:szCs w:val="23"/>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0"/>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r>
              <w:rPr>
                <w:rFonts w:ascii="Arial" w:cs="Arial" w:eastAsia="Arial" w:hAnsi="Arial"/>
                <w:sz w:val="23"/>
                <w:szCs w:val="23"/>
                <w:color w:val="auto"/>
                <w:vertAlign w:val="superscript"/>
              </w:rPr>
              <w:t>(10)</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98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(211)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(558)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183</w:t>
            </w: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i w:val="1"/>
                <w:iCs w:val="1"/>
                <w:color w:val="auto"/>
              </w:rPr>
              <w:t>Adjusted EBITDA Margin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w:t>
      </w:r>
    </w:p>
    <w:p>
      <w:pPr>
        <w:spacing w:after="0" w:line="72"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Represents the gains and losses on certain financial instruments, which are marked to fair value at the end of each period.</w:t>
      </w:r>
    </w:p>
    <w:p>
      <w:pPr>
        <w:spacing w:after="0" w:line="93" w:lineRule="exact"/>
        <w:rPr>
          <w:rFonts w:ascii="Arial" w:cs="Arial" w:eastAsia="Arial" w:hAnsi="Arial"/>
          <w:sz w:val="23"/>
          <w:szCs w:val="23"/>
          <w:color w:val="auto"/>
          <w:vertAlign w:val="superscript"/>
        </w:rPr>
      </w:pPr>
    </w:p>
    <w:p>
      <w:pPr>
        <w:ind w:left="340" w:right="680" w:hanging="332"/>
        <w:spacing w:after="0" w:line="227" w:lineRule="auto"/>
        <w:tabs>
          <w:tab w:leader="none" w:pos="328"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Represents amortization of acquisition-related intangible assets. The acquired intangible assets have useful lives ranging from 1 to 5 years and amortization is expected until the intangible assets are fully amortized.</w:t>
      </w:r>
    </w:p>
    <w:p>
      <w:pPr>
        <w:spacing w:after="0" w:line="71"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18"/>
        </w:numPr>
        <w:rPr>
          <w:rFonts w:ascii="Arial" w:cs="Arial" w:eastAsia="Arial" w:hAnsi="Arial"/>
          <w:sz w:val="22"/>
          <w:szCs w:val="22"/>
          <w:color w:val="auto"/>
          <w:vertAlign w:val="superscript"/>
        </w:rPr>
      </w:pPr>
      <w:r>
        <w:rPr>
          <w:rFonts w:ascii="Arial" w:cs="Arial" w:eastAsia="Arial" w:hAnsi="Arial"/>
          <w:sz w:val="17"/>
          <w:szCs w:val="17"/>
          <w:color w:val="auto"/>
        </w:rPr>
        <w:t>Inventory valuation adjustment includes adjustments to record real estate inventory at the lower of its carrying amount or its net realizable value.</w:t>
      </w:r>
    </w:p>
    <w:p>
      <w:pPr>
        <w:spacing w:after="0" w:line="93" w:lineRule="exact"/>
        <w:rPr>
          <w:rFonts w:ascii="Arial" w:cs="Arial" w:eastAsia="Arial" w:hAnsi="Arial"/>
          <w:sz w:val="22"/>
          <w:szCs w:val="22"/>
          <w:color w:val="auto"/>
          <w:vertAlign w:val="superscript"/>
        </w:rPr>
      </w:pPr>
    </w:p>
    <w:p>
      <w:pPr>
        <w:ind w:left="340" w:right="220" w:hanging="332"/>
        <w:spacing w:after="0" w:line="227" w:lineRule="auto"/>
        <w:tabs>
          <w:tab w:leader="none" w:pos="328"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Inventory valuation adjustment — Current Period is the inventory valuation adjustments recorded during the period presented associated with homes that remain in inventory at period end.</w:t>
      </w:r>
    </w:p>
    <w:p>
      <w:pPr>
        <w:spacing w:after="0" w:line="94" w:lineRule="exact"/>
        <w:rPr>
          <w:rFonts w:ascii="Arial" w:cs="Arial" w:eastAsia="Arial" w:hAnsi="Arial"/>
          <w:sz w:val="23"/>
          <w:szCs w:val="23"/>
          <w:color w:val="auto"/>
          <w:vertAlign w:val="superscript"/>
        </w:rPr>
      </w:pPr>
    </w:p>
    <w:p>
      <w:pPr>
        <w:ind w:left="340" w:right="80" w:hanging="332"/>
        <w:spacing w:after="0" w:line="227" w:lineRule="auto"/>
        <w:tabs>
          <w:tab w:leader="none" w:pos="328"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Inventory valuation adjustment — Prior Periods is the inventory valuation adjustments recorded in prior periods associated with homes that sold in the period presented.</w:t>
      </w:r>
    </w:p>
    <w:p>
      <w:pPr>
        <w:sectPr>
          <w:pgSz w:w="11900" w:h="16838" w:orient="portrait"/>
          <w:cols w:equalWidth="0" w:num="1">
            <w:col w:w="11240"/>
          </w:cols>
          <w:pgMar w:left="320" w:top="139" w:right="339" w:bottom="1440" w:gutter="0" w:footer="0" w:header="0"/>
        </w:sectPr>
      </w:pPr>
    </w:p>
    <w:p>
      <w:pPr>
        <w:spacing w:after="0" w:line="89"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(8)</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Restructuring costs consist primarily of severance and employee termination benefits related to the Company’s April 2023 workforce reduction.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Includes primarily sublease income, income from equity method investments, and gain on lease termination.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Includes interest expense on our non-recourse asset-backed debt facilities.</w:t>
      </w:r>
    </w:p>
    <w:p>
      <w:pPr>
        <w:spacing w:after="0" w:line="117" w:lineRule="exact"/>
        <w:rPr>
          <w:sz w:val="20"/>
          <w:szCs w:val="20"/>
          <w:color w:val="auto"/>
        </w:rPr>
      </w:pPr>
    </w:p>
    <w:p>
      <w:pPr>
        <w:sectPr>
          <w:pgSz w:w="11900" w:h="16838" w:orient="portrait"/>
          <w:cols w:equalWidth="0" w:num="2">
            <w:col w:w="140" w:space="180"/>
            <w:col w:w="10920"/>
          </w:cols>
          <w:pgMar w:left="320" w:top="139" w:right="339" w:bottom="1440" w:gutter="0" w:footer="0" w:header="0"/>
          <w:type w:val="continuous"/>
        </w:sectPr>
      </w:pPr>
    </w:p>
    <w:p>
      <w:pPr>
        <w:ind w:left="340" w:right="200" w:hanging="332"/>
        <w:spacing w:after="0" w:line="267" w:lineRule="auto"/>
        <w:tabs>
          <w:tab w:leader="none" w:pos="328"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Includes amortization of debt issuance costs and loan origination fees, commitment fees, unused fees, other interest related costs on our asset-backed debt facilities, interest expense related to the 2026 convertible senior notes outstanding, and interest expense on other secured borrowings.</w:t>
      </w:r>
    </w:p>
    <w:p>
      <w:pPr>
        <w:spacing w:after="0" w:line="32" w:lineRule="exact"/>
        <w:rPr>
          <w:rFonts w:ascii="Arial" w:cs="Arial" w:eastAsia="Arial" w:hAnsi="Arial"/>
          <w:sz w:val="21"/>
          <w:szCs w:val="21"/>
          <w:color w:val="auto"/>
          <w:vertAlign w:val="superscript"/>
        </w:rPr>
      </w:pPr>
    </w:p>
    <w:p>
      <w:pPr>
        <w:ind w:left="320" w:hanging="312"/>
        <w:spacing w:after="0"/>
        <w:tabs>
          <w:tab w:leader="none" w:pos="320"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Consists mainly of interest earned on cash, cash equivalents, restricted cash and marketable securities.</w:t>
      </w:r>
    </w:p>
    <w:p>
      <w:pPr>
        <w:sectPr>
          <w:pgSz w:w="11900" w:h="16838" w:orient="portrait"/>
          <w:cols w:equalWidth="0" w:num="1">
            <w:col w:w="11240"/>
          </w:cols>
          <w:pgMar w:left="320" w:top="139" w:right="339" w:bottom="1440" w:gutter="0" w:footer="0" w:header="0"/>
          <w:type w:val="continuous"/>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8"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360" w:firstLine="405"/>
        <w:spacing w:after="0" w:line="263" w:lineRule="auto"/>
        <w:rPr>
          <w:sz w:val="20"/>
          <w:szCs w:val="20"/>
          <w:color w:val="auto"/>
        </w:rPr>
      </w:pPr>
      <w:r>
        <w:rPr>
          <w:rFonts w:ascii="Arial" w:cs="Arial" w:eastAsia="Arial" w:hAnsi="Arial"/>
          <w:sz w:val="18"/>
          <w:szCs w:val="18"/>
          <w:color w:val="auto"/>
        </w:rPr>
        <w:t>We generate the majority of our revenue from the sale of homes that we previously acquired from homeowners. In addition, we generate revenue from additional services we provide to both home sellers and buyers, which consists primarily of title insurance and escrow services and brokerage services.</w:t>
      </w:r>
    </w:p>
    <w:p>
      <w:pPr>
        <w:spacing w:after="0" w:line="184"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Home sales revenue from selling residential real estate is recognized when title to and possession of the property has transferred to the buyer and we have no continuing involvement with the property, which is generally the close of escrow. The amount of revenue recognized for each home sale is equal to the sale price of the home net of any concessions.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Cost of revenue includes the property purchase price, acquisition costs, and direct costs to renovate or repair the home. These costs are accumulated in real estate inventory during the property holding period and charged to cost of revenue under the specific identification method when the property is sold. Real estate inventory is reviewed for valuation adjustments at least quarterly. If the carrying amount for a given home is not expected to be recovered, an inventory valuation adjustment is recorded to cost of revenue and the home’s carrying value is adjusted to its net realizable value. Additionally, for our revenue other than home sales revenue, cost of revenue consists of any costs incurred in delivering the service, including associated headcount expenses such as salaries, benefits, and stock-based compensation.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Marketing and Operations Expense</w:t>
      </w:r>
    </w:p>
    <w:p>
      <w:pPr>
        <w:spacing w:after="0" w:line="225"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Sales, marketing and operations expense consists primarily of broker commissions (paid to the home buyers’ real estate agents and third-party listing agents, if applicable), resale closing costs, holding costs related to real estate inventory including utilities, property taxes and maintenance, and expenses associated with product marketing, promotions and brand-building. Sales, marketing and operations expense also includes any headcount expenses in support of sales, marketing, and real estate operations such as salaries, benefits and stock-based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440" w:firstLine="405"/>
        <w:spacing w:after="0" w:line="308" w:lineRule="auto"/>
        <w:rPr>
          <w:sz w:val="20"/>
          <w:szCs w:val="20"/>
          <w:color w:val="auto"/>
        </w:rPr>
      </w:pPr>
      <w:r>
        <w:rPr>
          <w:rFonts w:ascii="Arial" w:cs="Arial" w:eastAsia="Arial" w:hAnsi="Arial"/>
          <w:sz w:val="17"/>
          <w:szCs w:val="17"/>
          <w:color w:val="auto"/>
        </w:rPr>
        <w:t>General and administrative expense consists primarily of headcount expenses, including salaries, benefits and stock-based compensation for our executive, finance, human resources, legal and administrative personnel, third-party professional services fees and rent expense.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 Expense</w:t>
      </w:r>
    </w:p>
    <w:p>
      <w:pPr>
        <w:spacing w:after="0" w:line="225"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Technology and development expense consists primarily of headcount expenses, including salaries, benefits and stock-based compensation for employees in the design, development, testing, maintenance and operation of our mobile applications, websites, tools, applications, and mobile apps that support our products. Technology and development expense also includes amortization of capitalized software development costs and third-party software and hosting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Expense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Restructuring expense consists primarily of severance and other termination benefits for employees whose roles have been eliminated.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Extinguishment of Debt</w:t>
      </w:r>
    </w:p>
    <w:p>
      <w:pPr>
        <w:spacing w:after="0" w:line="225"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 xml:space="preserve">Gain on extinguishment of debt is primarily related to the Company’s partial repurchase of the 2026 Notes at a discount net of unamortized deferred costs associated with the 2026 Notes. Gain on extinguishment of debt also includes any gains or losses recognized in conjunction with the termination of debt facilities, partial debt extinguishments, and unamortized deferred costs associated with these facilities. See </w:t>
      </w:r>
      <w:r>
        <w:rPr>
          <w:rFonts w:ascii="Arial" w:cs="Arial" w:eastAsia="Arial" w:hAnsi="Arial"/>
          <w:sz w:val="18"/>
          <w:szCs w:val="18"/>
          <w:i w:val="1"/>
          <w:iCs w:val="1"/>
          <w:color w:val="auto"/>
        </w:rPr>
        <w:t>Part I – Item 1. Financial Statements –</w:t>
      </w:r>
      <w:r>
        <w:rPr>
          <w:rFonts w:ascii="Arial" w:cs="Arial" w:eastAsia="Arial" w:hAnsi="Arial"/>
          <w:sz w:val="18"/>
          <w:szCs w:val="18"/>
          <w:color w:val="auto"/>
        </w:rPr>
        <w:t xml:space="preserve"> </w:t>
      </w:r>
      <w:r>
        <w:rPr>
          <w:rFonts w:ascii="Arial" w:cs="Arial" w:eastAsia="Arial" w:hAnsi="Arial"/>
          <w:sz w:val="18"/>
          <w:szCs w:val="18"/>
          <w:i w:val="1"/>
          <w:iCs w:val="1"/>
          <w:color w:val="auto"/>
        </w:rPr>
        <w:t>Notes to Condensed Consolidated Financial</w:t>
      </w:r>
    </w:p>
    <w:p>
      <w:pPr>
        <w:sectPr>
          <w:pgSz w:w="11900" w:h="16838" w:orient="portrait"/>
          <w:cols w:equalWidth="0" w:num="1">
            <w:col w:w="11220"/>
          </w:cols>
          <w:pgMar w:left="320" w:top="139" w:right="35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8"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Statements – Note 5. Credit Facilities and Long-Term Debt—Convertible Senior Notes </w:t>
      </w:r>
      <w:r>
        <w:rPr>
          <w:rFonts w:ascii="Arial" w:cs="Arial" w:eastAsia="Arial" w:hAnsi="Arial"/>
          <w:sz w:val="18"/>
          <w:szCs w:val="18"/>
          <w:color w:val="auto"/>
        </w:rPr>
        <w:t>for additional information regarding the 2026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 xml:space="preserve">Interest expense consists primarily of interest paid or payable and the amortization of debt discounts and debt issuance costs. Interest expense varies period over period, primarily due to fluctuations in our inventory volumes and changes in the floating benchmark interest rates (“Benchmark Rates”), based on a London Interbank Offered Rate (“LIBOR”) or the secured overnight financing rate (“SOFR”), plus an applicable margin, which impact the interest incurred on our senior revolving credit facilities (see “— </w:t>
      </w:r>
      <w:r>
        <w:rPr>
          <w:rFonts w:ascii="Arial" w:cs="Arial" w:eastAsia="Arial" w:hAnsi="Arial"/>
          <w:sz w:val="17"/>
          <w:szCs w:val="17"/>
          <w:i w:val="1"/>
          <w:iCs w:val="1"/>
          <w:color w:val="auto"/>
        </w:rPr>
        <w:t>Liquidity and Capital Resources — Debt and Financing Arrangements</w:t>
      </w:r>
      <w:r>
        <w:rPr>
          <w:rFonts w:ascii="Arial" w:cs="Arial" w:eastAsia="Arial" w:hAnsi="Arial"/>
          <w:sz w:val="17"/>
          <w:szCs w:val="17"/>
          <w:color w:val="auto"/>
        </w:rPr>
        <w:t>”).</w:t>
      </w:r>
    </w:p>
    <w:p>
      <w:pPr>
        <w:spacing w:after="0" w:line="171"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We expect our overall interest expense to increase as inventory increases. Subject to market conditions and cost of capital trade-offs, we will evaluate opportunities to expand our sources of financing over time, which may allow us to diversify our mix of financing sources to include more cost-effective financing relative to our higher cost mezzanine term debt facilities.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(Loss) — Net</w:t>
      </w:r>
    </w:p>
    <w:p>
      <w:pPr>
        <w:spacing w:after="0" w:line="225" w:lineRule="exact"/>
        <w:rPr>
          <w:sz w:val="20"/>
          <w:szCs w:val="20"/>
          <w:color w:val="auto"/>
        </w:rPr>
      </w:pPr>
    </w:p>
    <w:p>
      <w:pPr>
        <w:ind w:right="200" w:firstLine="405"/>
        <w:spacing w:after="0" w:line="308" w:lineRule="auto"/>
        <w:rPr>
          <w:sz w:val="20"/>
          <w:szCs w:val="20"/>
          <w:color w:val="auto"/>
        </w:rPr>
      </w:pPr>
      <w:r>
        <w:rPr>
          <w:rFonts w:ascii="Arial" w:cs="Arial" w:eastAsia="Arial" w:hAnsi="Arial"/>
          <w:sz w:val="17"/>
          <w:szCs w:val="17"/>
          <w:color w:val="auto"/>
        </w:rPr>
        <w:t xml:space="preserve">Other income (loss) </w:t>
      </w:r>
      <w:r>
        <w:rPr>
          <w:rFonts w:ascii="Arial" w:cs="Arial" w:eastAsia="Arial" w:hAnsi="Arial"/>
          <w:sz w:val="17"/>
          <w:szCs w:val="17"/>
          <w:i w:val="1"/>
          <w:iCs w:val="1"/>
          <w:color w:val="auto"/>
        </w:rPr>
        <w:t>–</w:t>
      </w:r>
      <w:r>
        <w:rPr>
          <w:rFonts w:ascii="Arial" w:cs="Arial" w:eastAsia="Arial" w:hAnsi="Arial"/>
          <w:sz w:val="17"/>
          <w:szCs w:val="17"/>
          <w:color w:val="auto"/>
        </w:rPr>
        <w:t xml:space="preserve"> net consists primarily of interest income on our Cash and Restricted cash balances and from our investment in money market funds, time deposits, and debt securities as well as changes in fair value of, and dividend income from, our investment in equity securities.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right="160" w:firstLine="405"/>
        <w:spacing w:after="0" w:line="301" w:lineRule="auto"/>
        <w:rPr>
          <w:sz w:val="20"/>
          <w:szCs w:val="20"/>
          <w:color w:val="auto"/>
        </w:rPr>
      </w:pPr>
      <w:r>
        <w:rPr>
          <w:rFonts w:ascii="Arial" w:cs="Arial" w:eastAsia="Arial" w:hAnsi="Arial"/>
          <w:sz w:val="16"/>
          <w:szCs w:val="16"/>
          <w:color w:val="auto"/>
        </w:rPr>
        <w:t>We record income taxes using the asset and liability method. Under this method, deferred income tax assets and liabilities are recorded based on the estimated future tax effects of differences between the financial statement and income tax basis of existing assets and liabilities. These differences are measured using the enacted statutory tax rates that are expected to apply to taxable income for the years in which differences are expected to reverse. We recognize the effect on deferred income taxes of a change in tax rates in income in the period that includes the enactment date.</w:t>
      </w:r>
    </w:p>
    <w:p>
      <w:pPr>
        <w:spacing w:after="0" w:line="157" w:lineRule="exact"/>
        <w:rPr>
          <w:sz w:val="20"/>
          <w:szCs w:val="20"/>
          <w:color w:val="auto"/>
        </w:rPr>
      </w:pPr>
    </w:p>
    <w:p>
      <w:pPr>
        <w:jc w:val="both"/>
        <w:ind w:right="520" w:firstLine="405"/>
        <w:spacing w:after="0" w:line="286" w:lineRule="auto"/>
        <w:rPr>
          <w:sz w:val="20"/>
          <w:szCs w:val="20"/>
          <w:color w:val="auto"/>
        </w:rPr>
      </w:pPr>
      <w:r>
        <w:rPr>
          <w:rFonts w:ascii="Arial" w:cs="Arial" w:eastAsia="Arial" w:hAnsi="Arial"/>
          <w:sz w:val="17"/>
          <w:szCs w:val="17"/>
          <w:color w:val="auto"/>
        </w:rPr>
        <w:t>We record a valuation allowance to reduce our deferred tax assets and liabilities to the net amount that we believe is more likely than not to be realized. We consider all available evidence, both positive and negative, including historical levels of income, expectations and risks associated with estimates of future taxable income and ongoing tax planning strategies in assessing the need for a valuation allowance.</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8"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results of operations for each of the periods presented: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3"/>
          </w:tcPr>
          <w:p>
            <w:pPr>
              <w:jc w:val="center"/>
              <w:ind w:left="473"/>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tcPr>
          <w:p>
            <w:pPr>
              <w:jc w:val="right"/>
              <w:ind w:right="52"/>
              <w:spacing w:after="0"/>
              <w:rPr>
                <w:sz w:val="20"/>
                <w:szCs w:val="20"/>
                <w:color w:val="auto"/>
              </w:rPr>
            </w:pPr>
            <w:r>
              <w:rPr>
                <w:rFonts w:ascii="Arial" w:cs="Arial" w:eastAsia="Arial" w:hAnsi="Arial"/>
                <w:sz w:val="14"/>
                <w:szCs w:val="14"/>
                <w:b w:val="1"/>
                <w:bCs w:val="1"/>
                <w:color w:val="auto"/>
              </w:rPr>
              <w:t>Change in</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6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tcPr>
          <w:p>
            <w:pPr>
              <w:jc w:val="right"/>
              <w:ind w:right="1052"/>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5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9"/>
        </w:trPr>
        <w:tc>
          <w:tcPr>
            <w:tcW w:w="55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452"/>
              <w:spacing w:after="0"/>
              <w:rPr>
                <w:sz w:val="20"/>
                <w:szCs w:val="20"/>
                <w:color w:val="auto"/>
              </w:rPr>
            </w:pPr>
            <w:r>
              <w:rPr>
                <w:rFonts w:ascii="Arial" w:cs="Arial" w:eastAsia="Arial" w:hAnsi="Arial"/>
                <w:sz w:val="18"/>
                <w:szCs w:val="18"/>
                <w:color w:val="auto"/>
              </w:rPr>
              <w:t>(2,381)</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452"/>
              <w:spacing w:after="0"/>
              <w:rPr>
                <w:sz w:val="20"/>
                <w:szCs w:val="20"/>
                <w:color w:val="auto"/>
              </w:rPr>
            </w:pPr>
            <w:r>
              <w:rPr>
                <w:rFonts w:ascii="Arial" w:cs="Arial" w:eastAsia="Arial" w:hAnsi="Arial"/>
                <w:sz w:val="18"/>
                <w:szCs w:val="18"/>
                <w:color w:val="auto"/>
              </w:rPr>
              <w:t>(2,902)</w:t>
            </w:r>
          </w:p>
        </w:tc>
        <w:tc>
          <w:tcPr>
            <w:tcW w:w="94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 (loss)</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492"/>
              <w:spacing w:after="0"/>
              <w:rPr>
                <w:sz w:val="20"/>
                <w:szCs w:val="20"/>
                <w:color w:val="auto"/>
              </w:rPr>
            </w:pPr>
            <w:r>
              <w:rPr>
                <w:rFonts w:ascii="Arial" w:cs="Arial" w:eastAsia="Arial" w:hAnsi="Arial"/>
                <w:sz w:val="18"/>
                <w:szCs w:val="18"/>
                <w:color w:val="auto"/>
              </w:rPr>
              <w:t>521</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7"/>
        </w:trPr>
        <w:tc>
          <w:tcPr>
            <w:tcW w:w="560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Sales, marketing and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52"/>
              <w:spacing w:after="0"/>
              <w:rPr>
                <w:sz w:val="20"/>
                <w:szCs w:val="20"/>
                <w:color w:val="auto"/>
              </w:rPr>
            </w:pPr>
            <w:r>
              <w:rPr>
                <w:rFonts w:ascii="Arial" w:cs="Arial" w:eastAsia="Arial" w:hAnsi="Arial"/>
                <w:sz w:val="18"/>
                <w:szCs w:val="18"/>
                <w:color w:val="auto"/>
              </w:rPr>
              <w:t>(175)</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452"/>
              <w:spacing w:after="0"/>
              <w:rPr>
                <w:sz w:val="20"/>
                <w:szCs w:val="20"/>
                <w:color w:val="auto"/>
              </w:rPr>
            </w:pPr>
            <w:r>
              <w:rPr>
                <w:rFonts w:ascii="Arial" w:cs="Arial" w:eastAsia="Arial" w:hAnsi="Arial"/>
                <w:sz w:val="18"/>
                <w:szCs w:val="18"/>
                <w:color w:val="auto"/>
              </w:rPr>
              <w:t>(37)</w:t>
            </w:r>
          </w:p>
        </w:tc>
        <w:tc>
          <w:tcPr>
            <w:tcW w:w="9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Technology and development</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492"/>
              <w:spacing w:after="0"/>
              <w:rPr>
                <w:sz w:val="20"/>
                <w:szCs w:val="20"/>
                <w:color w:val="auto"/>
              </w:rPr>
            </w:pPr>
            <w:r>
              <w:rPr>
                <w:rFonts w:ascii="Arial" w:cs="Arial" w:eastAsia="Arial" w:hAnsi="Arial"/>
                <w:sz w:val="18"/>
                <w:szCs w:val="18"/>
                <w:color w:val="auto"/>
              </w:rPr>
              <w:t>2</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7"/>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452"/>
              <w:spacing w:after="0"/>
              <w:rPr>
                <w:sz w:val="20"/>
                <w:szCs w:val="20"/>
                <w:color w:val="auto"/>
              </w:rPr>
            </w:pPr>
            <w:r>
              <w:rPr>
                <w:rFonts w:ascii="Arial" w:cs="Arial" w:eastAsia="Arial" w:hAnsi="Arial"/>
                <w:sz w:val="18"/>
                <w:szCs w:val="18"/>
                <w:color w:val="auto"/>
              </w:rPr>
              <w:t>(210)</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92"/>
              <w:spacing w:after="0"/>
              <w:rPr>
                <w:sz w:val="20"/>
                <w:szCs w:val="20"/>
                <w:color w:val="auto"/>
              </w:rPr>
            </w:pPr>
            <w:r>
              <w:rPr>
                <w:rFonts w:ascii="Arial" w:cs="Arial" w:eastAsia="Arial" w:hAnsi="Arial"/>
                <w:sz w:val="18"/>
                <w:szCs w:val="18"/>
                <w:color w:val="auto"/>
              </w:rPr>
              <w:t>731</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492"/>
              <w:spacing w:after="0"/>
              <w:rPr>
                <w:sz w:val="20"/>
                <w:szCs w:val="20"/>
                <w:color w:val="auto"/>
              </w:rPr>
            </w:pPr>
            <w:r>
              <w:rPr>
                <w:rFonts w:ascii="Arial" w:cs="Arial" w:eastAsia="Arial" w:hAnsi="Arial"/>
                <w:sz w:val="18"/>
                <w:szCs w:val="18"/>
                <w:color w:val="auto"/>
              </w:rPr>
              <w:t>68</w:t>
            </w:r>
          </w:p>
        </w:tc>
        <w:tc>
          <w:tcPr>
            <w:tcW w:w="94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income (loss)-net</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492"/>
              <w:spacing w:after="0"/>
              <w:rPr>
                <w:sz w:val="20"/>
                <w:szCs w:val="20"/>
                <w:color w:val="auto"/>
              </w:rPr>
            </w:pPr>
            <w:r>
              <w:rPr>
                <w:rFonts w:ascii="Arial" w:cs="Arial" w:eastAsia="Arial" w:hAnsi="Arial"/>
                <w:sz w:val="18"/>
                <w:szCs w:val="18"/>
                <w:color w:val="auto"/>
              </w:rPr>
              <w:t>22</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6"/>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Loss before income taxes</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492"/>
              <w:spacing w:after="0"/>
              <w:rPr>
                <w:sz w:val="20"/>
                <w:szCs w:val="20"/>
                <w:color w:val="auto"/>
              </w:rPr>
            </w:pPr>
            <w:r>
              <w:rPr>
                <w:rFonts w:ascii="Arial" w:cs="Arial" w:eastAsia="Arial" w:hAnsi="Arial"/>
                <w:sz w:val="18"/>
                <w:szCs w:val="18"/>
                <w:color w:val="auto"/>
              </w:rPr>
              <w:t>821</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492"/>
              <w:spacing w:after="0"/>
              <w:rPr>
                <w:sz w:val="20"/>
                <w:szCs w:val="20"/>
                <w:color w:val="auto"/>
              </w:rPr>
            </w:pPr>
            <w:r>
              <w:rPr>
                <w:rFonts w:ascii="Arial" w:cs="Arial" w:eastAsia="Arial" w:hAnsi="Arial"/>
                <w:sz w:val="18"/>
                <w:szCs w:val="18"/>
                <w:color w:val="auto"/>
              </w:rPr>
              <w:t>1</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63"/>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8"/>
                <w:szCs w:val="18"/>
                <w:color w:val="auto"/>
              </w:rPr>
              <w:t>822</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N/M - Not meaningful.</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56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Nine Months Ended</w:t>
            </w: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3"/>
          </w:tcPr>
          <w:p>
            <w:pPr>
              <w:jc w:val="center"/>
              <w:ind w:left="433"/>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tcPr>
          <w:p>
            <w:pPr>
              <w:jc w:val="right"/>
              <w:ind w:right="52"/>
              <w:spacing w:after="0"/>
              <w:rPr>
                <w:sz w:val="20"/>
                <w:szCs w:val="20"/>
                <w:color w:val="auto"/>
              </w:rPr>
            </w:pPr>
            <w:r>
              <w:rPr>
                <w:rFonts w:ascii="Arial" w:cs="Arial" w:eastAsia="Arial" w:hAnsi="Arial"/>
                <w:sz w:val="14"/>
                <w:szCs w:val="14"/>
                <w:b w:val="1"/>
                <w:bCs w:val="1"/>
                <w:color w:val="auto"/>
              </w:rPr>
              <w:t>Change in</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55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6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30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tcPr>
          <w:p>
            <w:pPr>
              <w:jc w:val="right"/>
              <w:ind w:right="1052"/>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5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9"/>
        </w:trPr>
        <w:tc>
          <w:tcPr>
            <w:tcW w:w="55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452"/>
              <w:spacing w:after="0"/>
              <w:rPr>
                <w:sz w:val="20"/>
                <w:szCs w:val="20"/>
                <w:color w:val="auto"/>
              </w:rPr>
            </w:pPr>
            <w:r>
              <w:rPr>
                <w:rFonts w:ascii="Arial" w:cs="Arial" w:eastAsia="Arial" w:hAnsi="Arial"/>
                <w:sz w:val="18"/>
                <w:szCs w:val="18"/>
                <w:color w:val="auto"/>
              </w:rPr>
              <w:t>(6,634)</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5,661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452"/>
              <w:spacing w:after="0"/>
              <w:rPr>
                <w:sz w:val="20"/>
                <w:szCs w:val="20"/>
                <w:color w:val="auto"/>
              </w:rPr>
            </w:pPr>
            <w:r>
              <w:rPr>
                <w:rFonts w:ascii="Arial" w:cs="Arial" w:eastAsia="Arial" w:hAnsi="Arial"/>
                <w:sz w:val="18"/>
                <w:szCs w:val="18"/>
                <w:color w:val="auto"/>
              </w:rPr>
              <w:t>(6,453)</w:t>
            </w:r>
          </w:p>
        </w:tc>
        <w:tc>
          <w:tcPr>
            <w:tcW w:w="94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452"/>
              <w:spacing w:after="0"/>
              <w:rPr>
                <w:sz w:val="20"/>
                <w:szCs w:val="20"/>
                <w:color w:val="auto"/>
              </w:rPr>
            </w:pPr>
            <w:r>
              <w:rPr>
                <w:rFonts w:ascii="Arial" w:cs="Arial" w:eastAsia="Arial" w:hAnsi="Arial"/>
                <w:sz w:val="18"/>
                <w:szCs w:val="18"/>
                <w:color w:val="auto"/>
              </w:rPr>
              <w:t>(181)</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7"/>
        </w:trPr>
        <w:tc>
          <w:tcPr>
            <w:tcW w:w="55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Sales, marketing and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52"/>
              <w:spacing w:after="0"/>
              <w:rPr>
                <w:sz w:val="20"/>
                <w:szCs w:val="20"/>
                <w:color w:val="auto"/>
              </w:rPr>
            </w:pPr>
            <w:r>
              <w:rPr>
                <w:rFonts w:ascii="Arial" w:cs="Arial" w:eastAsia="Arial" w:hAnsi="Arial"/>
                <w:sz w:val="18"/>
                <w:szCs w:val="18"/>
                <w:color w:val="auto"/>
              </w:rPr>
              <w:t>(415)</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452"/>
              <w:spacing w:after="0"/>
              <w:rPr>
                <w:sz w:val="20"/>
                <w:szCs w:val="20"/>
                <w:color w:val="auto"/>
              </w:rPr>
            </w:pPr>
            <w:r>
              <w:rPr>
                <w:rFonts w:ascii="Arial" w:cs="Arial" w:eastAsia="Arial" w:hAnsi="Arial"/>
                <w:sz w:val="18"/>
                <w:szCs w:val="18"/>
                <w:color w:val="auto"/>
              </w:rPr>
              <w:t>(165)</w:t>
            </w:r>
          </w:p>
        </w:tc>
        <w:tc>
          <w:tcPr>
            <w:tcW w:w="94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Technology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Restructuring</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460" w:type="dxa"/>
            <w:vAlign w:val="bottom"/>
          </w:tcPr>
          <w:p>
            <w:pPr>
              <w:jc w:val="right"/>
              <w:ind w:right="492"/>
              <w:spacing w:after="0"/>
              <w:rPr>
                <w:sz w:val="20"/>
                <w:szCs w:val="20"/>
                <w:color w:val="auto"/>
              </w:rPr>
            </w:pPr>
            <w:r>
              <w:rPr>
                <w:rFonts w:ascii="Arial" w:cs="Arial" w:eastAsia="Arial" w:hAnsi="Arial"/>
                <w:sz w:val="18"/>
                <w:szCs w:val="18"/>
                <w:color w:val="auto"/>
              </w:rPr>
              <w:t>10</w:t>
            </w:r>
          </w:p>
        </w:tc>
        <w:tc>
          <w:tcPr>
            <w:tcW w:w="94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452"/>
              <w:spacing w:after="0"/>
              <w:rPr>
                <w:sz w:val="20"/>
                <w:szCs w:val="20"/>
                <w:color w:val="auto"/>
              </w:rPr>
            </w:pPr>
            <w:r>
              <w:rPr>
                <w:rFonts w:ascii="Arial" w:cs="Arial" w:eastAsia="Arial" w:hAnsi="Arial"/>
                <w:sz w:val="18"/>
                <w:szCs w:val="18"/>
                <w:color w:val="auto"/>
              </w:rPr>
              <w:t>(570)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7"/>
        </w:trPr>
        <w:tc>
          <w:tcPr>
            <w:tcW w:w="55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492"/>
              <w:spacing w:after="0"/>
              <w:rPr>
                <w:sz w:val="20"/>
                <w:szCs w:val="20"/>
                <w:color w:val="auto"/>
              </w:rPr>
            </w:pPr>
            <w:r>
              <w:rPr>
                <w:rFonts w:ascii="Arial" w:cs="Arial" w:eastAsia="Arial" w:hAnsi="Arial"/>
                <w:sz w:val="18"/>
                <w:szCs w:val="18"/>
                <w:color w:val="auto"/>
              </w:rPr>
              <w:t>389</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Gain on extinguishment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92"/>
              <w:spacing w:after="0"/>
              <w:rPr>
                <w:sz w:val="20"/>
                <w:szCs w:val="20"/>
                <w:color w:val="auto"/>
              </w:rPr>
            </w:pPr>
            <w:r>
              <w:rPr>
                <w:rFonts w:ascii="Arial" w:cs="Arial" w:eastAsia="Arial" w:hAnsi="Arial"/>
                <w:sz w:val="18"/>
                <w:szCs w:val="18"/>
                <w:color w:val="auto"/>
              </w:rPr>
              <w:t>182</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492"/>
              <w:spacing w:after="0"/>
              <w:rPr>
                <w:sz w:val="20"/>
                <w:szCs w:val="20"/>
                <w:color w:val="auto"/>
              </w:rPr>
            </w:pPr>
            <w:r>
              <w:rPr>
                <w:rFonts w:ascii="Arial" w:cs="Arial" w:eastAsia="Arial" w:hAnsi="Arial"/>
                <w:sz w:val="18"/>
                <w:szCs w:val="18"/>
                <w:color w:val="auto"/>
              </w:rPr>
              <w:t>98</w:t>
            </w:r>
          </w:p>
        </w:tc>
        <w:tc>
          <w:tcPr>
            <w:tcW w:w="9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(loss)-net</w:t>
            </w: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492"/>
              <w:spacing w:after="0"/>
              <w:rPr>
                <w:sz w:val="20"/>
                <w:szCs w:val="20"/>
                <w:color w:val="auto"/>
              </w:rPr>
            </w:pPr>
            <w:r>
              <w:rPr>
                <w:rFonts w:ascii="Arial" w:cs="Arial" w:eastAsia="Arial" w:hAnsi="Arial"/>
                <w:sz w:val="18"/>
                <w:szCs w:val="18"/>
                <w:color w:val="auto"/>
              </w:rPr>
              <w:t>100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6"/>
        </w:trPr>
        <w:tc>
          <w:tcPr>
            <w:tcW w:w="558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492"/>
              <w:spacing w:after="0"/>
              <w:rPr>
                <w:sz w:val="20"/>
                <w:szCs w:val="20"/>
                <w:color w:val="auto"/>
              </w:rPr>
            </w:pPr>
            <w:r>
              <w:rPr>
                <w:rFonts w:ascii="Arial" w:cs="Arial" w:eastAsia="Arial" w:hAnsi="Arial"/>
                <w:sz w:val="18"/>
                <w:szCs w:val="18"/>
                <w:color w:val="auto"/>
              </w:rPr>
              <w:t>769</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492"/>
              <w:spacing w:after="0"/>
              <w:rPr>
                <w:sz w:val="20"/>
                <w:szCs w:val="20"/>
                <w:color w:val="auto"/>
              </w:rPr>
            </w:pPr>
            <w:r>
              <w:rPr>
                <w:rFonts w:ascii="Arial" w:cs="Arial" w:eastAsia="Arial" w:hAnsi="Arial"/>
                <w:sz w:val="18"/>
                <w:szCs w:val="18"/>
                <w:color w:val="auto"/>
              </w:rPr>
              <w:t>1</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63"/>
        </w:trPr>
        <w:tc>
          <w:tcPr>
            <w:tcW w:w="558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8"/>
                <w:szCs w:val="18"/>
                <w:color w:val="auto"/>
              </w:rPr>
              <w:t>770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
        </w:trPr>
        <w:tc>
          <w:tcPr>
            <w:tcW w:w="55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-4851400</wp:posOffset>
            </wp:positionV>
            <wp:extent cx="3549015" cy="1885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49015"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-5897245</wp:posOffset>
            </wp:positionV>
            <wp:extent cx="3549015" cy="1797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549015"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-6076950</wp:posOffset>
            </wp:positionV>
            <wp:extent cx="35490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490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-2656840</wp:posOffset>
            </wp:positionV>
            <wp:extent cx="3540125" cy="1797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540125"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-2836545</wp:posOffset>
            </wp:positionV>
            <wp:extent cx="35401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Revenue decreased by $2.4 billion, or 71%, for the three months ended September 30, 2023 compared to the three months ended September 30, 2022. The decrease in revenue was primarily attributable to lower sales volumes as well as lower revenue per home in the third quarter of 2023. We sold</w:t>
      </w:r>
    </w:p>
    <w:p>
      <w:pPr>
        <w:ind w:right="40"/>
        <w:spacing w:after="0" w:line="253" w:lineRule="auto"/>
        <w:rPr>
          <w:sz w:val="20"/>
          <w:szCs w:val="20"/>
          <w:color w:val="auto"/>
        </w:rPr>
      </w:pPr>
      <w:r>
        <w:rPr>
          <w:rFonts w:ascii="Arial" w:cs="Arial" w:eastAsia="Arial" w:hAnsi="Arial"/>
          <w:sz w:val="18"/>
          <w:szCs w:val="18"/>
          <w:color w:val="auto"/>
        </w:rPr>
        <w:t>2,687 homes during the three months ended September 30, 2023, compared to 8,520 homes during the three months ended September 30, 2022, representing a decrease of 68%. Revenue per home sold decreased 8% between the same periods. The decrease in sales volumes was a result of the proactive reduction of our inventory acquisition pace beginning in the third quarter of 2022 via higher spreads embedded in our offers and lower marketing investment in reaction to volatility in the U.S. housing market. The decrease in revenue per home sold was primarily attributed to a slowdown in home price appreciation (“HPA”).</w:t>
      </w:r>
    </w:p>
    <w:p>
      <w:pPr>
        <w:sectPr>
          <w:pgSz w:w="11900" w:h="16838" w:orient="portrait"/>
          <w:cols w:equalWidth="0" w:num="1">
            <w:col w:w="11220"/>
          </w:cols>
          <w:pgMar w:left="320" w:top="139" w:right="359" w:bottom="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8"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60" w:firstLine="405"/>
        <w:spacing w:after="0" w:line="275" w:lineRule="auto"/>
        <w:rPr>
          <w:sz w:val="20"/>
          <w:szCs w:val="20"/>
          <w:color w:val="auto"/>
        </w:rPr>
      </w:pPr>
      <w:r>
        <w:rPr>
          <w:rFonts w:ascii="Arial" w:cs="Arial" w:eastAsia="Arial" w:hAnsi="Arial"/>
          <w:sz w:val="17"/>
          <w:szCs w:val="17"/>
          <w:color w:val="auto"/>
        </w:rPr>
        <w:t>Revenue decreased by $6.6 billion, or 52%, for the nine months ended September 30, 2023 compared to the nine months ended September 30, 2022. The decrease in revenue was primarily attributable to lower sales volumes as well as lower revenue per home sold. We sold 16,344 homes during the nine months ended September 30, 2023, compared to 31,671 homes during the nine months ended September 30, 2022, representing a decrease of 48% and revenue per home sold decreased 7% between the same periods. The decrease in sales volumes and revenue per home sold was primarily attributable to the slowdown in inventory acquisition pacing and HPA discussed above.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 (Loss)</w:t>
      </w:r>
    </w:p>
    <w:p>
      <w:pPr>
        <w:spacing w:after="0" w:line="225" w:lineRule="exact"/>
        <w:rPr>
          <w:sz w:val="20"/>
          <w:szCs w:val="20"/>
          <w:color w:val="auto"/>
        </w:rPr>
      </w:pPr>
    </w:p>
    <w:p>
      <w:pPr>
        <w:ind w:right="220" w:firstLine="405"/>
        <w:spacing w:after="0" w:line="254" w:lineRule="auto"/>
        <w:rPr>
          <w:sz w:val="20"/>
          <w:szCs w:val="20"/>
          <w:color w:val="auto"/>
        </w:rPr>
      </w:pPr>
      <w:r>
        <w:rPr>
          <w:rFonts w:ascii="Arial" w:cs="Arial" w:eastAsia="Arial" w:hAnsi="Arial"/>
          <w:sz w:val="18"/>
          <w:szCs w:val="18"/>
          <w:color w:val="auto"/>
        </w:rPr>
        <w:t>Cost of revenue decreased by $2.9 billion, or 77%, for the three months ended September 30, 2023 compared to the three months ended September 30, 2022. The decrease in cost of revenue was primarily attributable to lower sales volumes and a 14% decrease in cost of revenue per home, excluding valuation adjustments on homes in inventory at period end, due to the slowdown in inventory acquisition pacing and HPA discussed above. In addition, the decrease in cost of revenue is attributable to a decrease in inventory valuation adjustments on homes in inventory at period end, which were $17 million for the three months ended September 30, 2023 compared to $573 million for the three months ended September 30, 2022. The decrease in inventory valuation adjustments reflects the relative home price stabilization experienced in 2023 as well as higher spreads embedded in our home acquisition offers.</w:t>
      </w:r>
    </w:p>
    <w:p>
      <w:pPr>
        <w:spacing w:after="0" w:line="195"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Cost of revenue decreased by $6.5 billion, or 53%, for the nine months ended September 30, 2023 compared to the nine months ended September 30, 2022. The decrease in cost of revenue was primarily attributable to lower sales volumes and a 5% decrease in cost of revenue per home, excluding valuation adjustments on homes in inventory at period end, due to the slowdown in inventory acquisition pacing and HPA discussed above. In addition, the decrease in cost of revenue is attributable to a decrease in inventory valuation adjustments on homes in inventory at period end, which were $24 million for the nine months ended September 30, 2023 compared to $620 million the nine months ended September 30, 2022. The decrease in inventory valuation adjustments reflects the relative home price stabilization experienced in 2023 as well as higher spreads embedded in our home acquisition offers.</w:t>
      </w:r>
    </w:p>
    <w:p>
      <w:pPr>
        <w:spacing w:after="0" w:line="164"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auto"/>
        </w:rPr>
        <w:t xml:space="preserve">Gross profit (loss) increased from $(425) million to $96 million and gross margin increased from (12.6)% to 9.8% for the three months ended September 30, 2022 and September 30, 2023, respectively. For the same periods, Adjusted Gross Margin increased from 3.3% to 8.6% and Contribution Margin increased from (0.7)% to 4.4%. The increase in gross margin, Adjusted Gross Margin and Contribution Margin reflects the relative home price stabilization experienced in 2023 as well as higher spreads embedded in our acquisition offers for the homes composing the July through September 2023 resale cohort. The increase in gross profit is also attributable to a decrease in inventory valuation adjustments on homes in inventory at period end, which were $17 million for the three months ended September 30, 2023 compared to $573 million for the three months ended September 30, 2022. See “—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w:t>
      </w:r>
    </w:p>
    <w:p>
      <w:pPr>
        <w:spacing w:after="0" w:line="19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Gross profit decreased from $596 million to $415 million and gross margin increased from 4.7% to 6.8% for the nine months ended September 30,</w:t>
      </w:r>
    </w:p>
    <w:p>
      <w:pPr>
        <w:spacing w:after="0" w:line="46" w:lineRule="exact"/>
        <w:rPr>
          <w:sz w:val="20"/>
          <w:szCs w:val="20"/>
          <w:color w:val="auto"/>
        </w:rPr>
      </w:pPr>
    </w:p>
    <w:p>
      <w:pPr>
        <w:ind w:right="420"/>
        <w:spacing w:after="0" w:line="281" w:lineRule="auto"/>
        <w:rPr>
          <w:sz w:val="20"/>
          <w:szCs w:val="20"/>
          <w:color w:val="auto"/>
        </w:rPr>
      </w:pPr>
      <w:r>
        <w:rPr>
          <w:rFonts w:ascii="Arial" w:cs="Arial" w:eastAsia="Arial" w:hAnsi="Arial"/>
          <w:sz w:val="16"/>
          <w:szCs w:val="16"/>
          <w:color w:val="auto"/>
        </w:rPr>
        <w:t>2022 and September 30, 2023, respectively. The decrease in gross profit is attributable to lower sales volumes as discussed above as well as the strong margins realized during the nine months ended September 30, 2022, which were fueled by a historically strong U.S. housing market in the first half of</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2022. The increase in gross margin for the nine months ended September 30, 2023 compared to the nine months ended September 30, 2022 is attributable to the $620 million in inventory valuation adjustments recorded during the nine months ended September 30, 2022 to reduce homes in inventory to their net realizable value following the rapid downturn in the U.S. housing market, beginning primarily in the second half of 2022. Adjusted Gross Margin, which aligns the timing of inventory valuation adjustments to the period in which the home is sold, decreased from 9.3% to (0.2)% for the nine months ended September 30, 2022 and September 30, 2023, respectively. The decrease in Adjusted Gross Margin reflects the downturn in the U.S. housing market, resulting in market conditions at the time of resale to be weaker than we believed they would be at the time of pricing our inventory acquisitions. In addition, we prioritized risk management and resale clearance at the expense of resale margin performance in order to clear the old book inventory, which composed a majority of the resale cohort for the nine months ended September 30, 2022. Contribution Margin decreased from 5.8% to (4.7)% for the nine months ended September 30, 2022 and September 30, 2023, respectively, due to the reasons noted above as well as increased holding costs due to longer average inventory holding periods. See “— </w:t>
      </w:r>
      <w:r>
        <w:rPr>
          <w:rFonts w:ascii="Arial" w:cs="Arial" w:eastAsia="Arial" w:hAnsi="Arial"/>
          <w:sz w:val="17"/>
          <w:szCs w:val="17"/>
          <w:i w:val="1"/>
          <w:iCs w:val="1"/>
          <w:color w:val="auto"/>
        </w:rPr>
        <w:t>Non-GAAP Financial Measures</w:t>
      </w:r>
      <w:r>
        <w:rPr>
          <w:rFonts w:ascii="Arial" w:cs="Arial" w:eastAsia="Arial" w:hAnsi="Arial"/>
          <w:sz w:val="17"/>
          <w:szCs w:val="17"/>
          <w:color w:val="auto"/>
        </w:rPr>
        <w:t>.”</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8"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i w:val="1"/>
          <w:iCs w:val="1"/>
          <w:color w:val="auto"/>
        </w:rPr>
        <w:t>Sales, Marketing and Operations</w:t>
      </w:r>
      <w:r>
        <w:rPr>
          <w:rFonts w:ascii="Arial" w:cs="Arial" w:eastAsia="Arial" w:hAnsi="Arial"/>
          <w:sz w:val="16"/>
          <w:szCs w:val="16"/>
          <w:color w:val="auto"/>
        </w:rPr>
        <w:t>. Sales, marketing and operations decreased by $175 million, or 67%, for the three months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2023 compared to the three months ended September 30, 2022. The decrease was primarily attributable to a $72 million decrease in resale transaction costs and broker commissions, consistent with the 71% decrease in revenue during the same period. Property holding costs decreased by $47 million, consistent with decreased inventory levels compared to the three months ended September 30, 2022. Advertising expense decreased $29 million, from $45 million for the three months ended September 30, 2022 to $16 million for the three months ended September 30, 2023 as we decreased marketing in both existing and new markets. In addition, for the same period, headcount expenses, including salaries and benefits, and contingent labor expenses decreased $22 million, which was largely attributable to the November 2022 and April 2023 workforce reductions and a reduction in contingent labor.</w:t>
      </w:r>
    </w:p>
    <w:p>
      <w:pPr>
        <w:spacing w:after="0" w:line="166"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Sales, marketing and operations decreased by $415 million, or 51%, for the nine months ended September 30, 2023 compared to the nine months ended September 30, 2022. The decrease was primarily attributable to a $165 million decrease in resale transaction costs and broker commissions, consistent with the 52% decrease in revenue during the same period. Property holding costs decreased by $84 million, consistent with decreased inventory levels compared to the nine months ended September 30, 2022. Advertising expense decreased $114 million, from $172 million for the nine months ended September 30, 2022 to $58 million for the nine months ended September 30, 2023 as we decreased marketing in both existing and new markets. In addition, headcount expenses, including salaries and benefits, and contingent labor expenses decreased $46 million, which was largely attributable to the November 2022 and April 2023 workforce reductions and a reduction in contingent labor.</w:t>
      </w:r>
    </w:p>
    <w:p>
      <w:pPr>
        <w:spacing w:after="0" w:line="177" w:lineRule="exact"/>
        <w:rPr>
          <w:sz w:val="20"/>
          <w:szCs w:val="20"/>
          <w:color w:val="auto"/>
        </w:rPr>
      </w:pPr>
    </w:p>
    <w:p>
      <w:pPr>
        <w:ind w:right="20" w:firstLine="405"/>
        <w:spacing w:after="0" w:line="301" w:lineRule="auto"/>
        <w:rPr>
          <w:sz w:val="20"/>
          <w:szCs w:val="20"/>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General and administrative decreased by $37 million, or 44%, for the three months ended September 30, 2023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three months ended September 30, 2022. The decrease was mainly attributable to a $23 million reduction in stock-based compensation, which was primarily related to the forfeiture of certain executive restricted stock units (“RSUs”), including performance-based awards. In addition, headcount expenses, including salaries and benefits, decreased $6 million, which was largely attributable to the November 2022 and April 2023 workforce reductions.</w:t>
      </w:r>
    </w:p>
    <w:p>
      <w:pPr>
        <w:spacing w:after="0" w:line="15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General and administrative decreased by $165 million, or 51%, for the nine months ended September 30, 2023 compared to the nine months ended September 30, 2022. The decrease was mainly attributable to a $85 million reduction in stock-based compensation, which was primarily related to the forfeiture of certain executive RSUs, including performance-based awards. In addition, the Company recorded a $45 million legal contingency accrual during the nine months ended September 30, 2022 for the Federal Trade Commission matter, which was settled in October 2022, as previously disclosed in our Annual Report. In addition, headcount expenses, including salaries and benefits, decreased $10 million, which was largely attributable to the November 2022 and April 2023 workforce reductions.</w:t>
      </w:r>
    </w:p>
    <w:p>
      <w:pPr>
        <w:spacing w:after="0" w:line="192"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i w:val="1"/>
          <w:iCs w:val="1"/>
          <w:color w:val="auto"/>
        </w:rPr>
        <w:t>Technology and Development</w:t>
      </w:r>
      <w:r>
        <w:rPr>
          <w:rFonts w:ascii="Arial" w:cs="Arial" w:eastAsia="Arial" w:hAnsi="Arial"/>
          <w:sz w:val="18"/>
          <w:szCs w:val="18"/>
          <w:color w:val="auto"/>
        </w:rPr>
        <w:t>. Technology and development changed by a nominal amount for the three and nine months ended September 30, 2023</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three and nine months ended September 30, 2022.</w:t>
      </w:r>
    </w:p>
    <w:p>
      <w:pPr>
        <w:spacing w:after="0" w:line="170" w:lineRule="exact"/>
        <w:rPr>
          <w:sz w:val="20"/>
          <w:szCs w:val="20"/>
          <w:color w:val="auto"/>
        </w:rPr>
      </w:pPr>
    </w:p>
    <w:p>
      <w:pPr>
        <w:ind w:right="580" w:firstLine="405"/>
        <w:spacing w:after="0" w:line="263" w:lineRule="auto"/>
        <w:rPr>
          <w:sz w:val="20"/>
          <w:szCs w:val="20"/>
          <w:color w:val="auto"/>
        </w:rPr>
      </w:pPr>
      <w:r>
        <w:rPr>
          <w:rFonts w:ascii="Arial" w:cs="Arial" w:eastAsia="Arial" w:hAnsi="Arial"/>
          <w:sz w:val="18"/>
          <w:szCs w:val="18"/>
          <w:i w:val="1"/>
          <w:iCs w:val="1"/>
          <w:color w:val="auto"/>
        </w:rPr>
        <w:t>Restructuring</w:t>
      </w:r>
      <w:r>
        <w:rPr>
          <w:rFonts w:ascii="Arial" w:cs="Arial" w:eastAsia="Arial" w:hAnsi="Arial"/>
          <w:sz w:val="18"/>
          <w:szCs w:val="18"/>
          <w:color w:val="auto"/>
        </w:rPr>
        <w:t>. Restructuring increased by $10 million, for the nine months ended September 30, 2023 compared to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2022. Restructuring expense was attributable to the Company’s April 2023 reduction of approximately 22% of our workforce or 560 employees.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Extinguishment of Debt</w:t>
      </w:r>
    </w:p>
    <w:p>
      <w:pPr>
        <w:spacing w:after="0" w:line="225"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Gain on extinguishment of debt increased by $182 million, for the nine months ended September 30, 2023 compared to the nine months ended September 30, 2022. The gain on extinguishment of debt resulted from the Company’s partial repurchase of its 2026 Notes in March and May 2023 at a discount net of unamortized deferred costs associated with the 2026 Notes, partially offset by expenses related to partial debt extinguishments during the nine months ended September 30, 2023.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780" w:firstLine="405"/>
        <w:spacing w:after="0" w:line="342" w:lineRule="auto"/>
        <w:rPr>
          <w:sz w:val="20"/>
          <w:szCs w:val="20"/>
          <w:color w:val="auto"/>
        </w:rPr>
      </w:pPr>
      <w:r>
        <w:rPr>
          <w:rFonts w:ascii="Arial" w:cs="Arial" w:eastAsia="Arial" w:hAnsi="Arial"/>
          <w:sz w:val="16"/>
          <w:szCs w:val="16"/>
          <w:color w:val="auto"/>
        </w:rPr>
        <w:t>Interest expense decreased by $68 million, or 59%, for the three months ended September 30, 2023 compared to the three months ended September 30, 2022. The decrease was primarily attributable to a significant decrease in average balances in our non-recourse asset-backed debt.</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8"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40" w:firstLine="405"/>
        <w:spacing w:after="0" w:line="311" w:lineRule="auto"/>
        <w:rPr>
          <w:sz w:val="20"/>
          <w:szCs w:val="20"/>
          <w:color w:val="auto"/>
        </w:rPr>
      </w:pPr>
      <w:r>
        <w:rPr>
          <w:rFonts w:ascii="Arial" w:cs="Arial" w:eastAsia="Arial" w:hAnsi="Arial"/>
          <w:sz w:val="16"/>
          <w:szCs w:val="16"/>
          <w:color w:val="auto"/>
        </w:rPr>
        <w:t>Interest expense decreased by $98 million, or 36%, for the nine months ended September 30, 2023 compared to the nine months ended September 30, 2022. The decrease was primarily attributable to a significant decrease in average balances in our non-recourse asset-backed debt, as well as a reduction in the weighted average interest rate of our term debt facilities as a result of a partial repayment of our outstanding mezzanine debt.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(Loss) — Net</w:t>
      </w:r>
    </w:p>
    <w:p>
      <w:pPr>
        <w:spacing w:after="0" w:line="225" w:lineRule="exact"/>
        <w:rPr>
          <w:sz w:val="20"/>
          <w:szCs w:val="20"/>
          <w:color w:val="auto"/>
        </w:rPr>
      </w:pPr>
    </w:p>
    <w:p>
      <w:pPr>
        <w:ind w:right="260" w:firstLine="405"/>
        <w:spacing w:after="0" w:line="342" w:lineRule="auto"/>
        <w:rPr>
          <w:sz w:val="20"/>
          <w:szCs w:val="20"/>
          <w:color w:val="auto"/>
        </w:rPr>
      </w:pPr>
      <w:r>
        <w:rPr>
          <w:rFonts w:ascii="Arial" w:cs="Arial" w:eastAsia="Arial" w:hAnsi="Arial"/>
          <w:sz w:val="16"/>
          <w:szCs w:val="16"/>
          <w:color w:val="auto"/>
        </w:rPr>
        <w:t>Other income (loss) – net increased to $20 million from $(2) million for the three months ended September 30, 2023 compared to the three months ended September 30, 2022. The increase is primarily related to a $23 million increase in interest income due to an increase in interest rates.</w:t>
      </w:r>
    </w:p>
    <w:p>
      <w:pPr>
        <w:spacing w:after="0" w:line="124"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Other income (loss) – net increased to $80 million from $(20) million for the nine months ended September 30, 2023 compared to the nine months ended September 30, 2022. The increase is primarily related to a $69 million increase in interest income due to an increase in interest rates and a $1 million unrealized gain versus a $35 million unrealized loss on marketable equity securities during the nine months ended September 30, 2023 and September 30, 2022,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25"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Income tax expense changed by a nominal amount for the three and nine months ended September 30, 2023 compared to the three and nine months ended September 30,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Our principal sources of liquidity have historically consisted of cash generated from our operations and from financing activities. As of September 30, 2023, we had cash and cash equivalents of $1.2 billion, restricted cash of $1.2 billion, and marketable securities of $72 million. The decline in our cash, cash equivalents and marketable securities balance of $55 million as compared to December 31, 2022 resulted from a combination of operating losses and the partial repurchase of our 2026 Notes, offset by capital released as a result of reduced inventory levels. The increase in our restricted cash balance of $570 million as compared to December 31, 2022 was a result of the proactive reduction of our acquisition pace via higher spreads embedded in our offers and lower marketing investment, resulting in greater restricted cash available for the future acquisition of real estate inventory.</w:t>
      </w:r>
    </w:p>
    <w:p>
      <w:pPr>
        <w:spacing w:after="0" w:line="164" w:lineRule="exact"/>
        <w:rPr>
          <w:sz w:val="20"/>
          <w:szCs w:val="20"/>
          <w:color w:val="auto"/>
        </w:rPr>
      </w:pPr>
    </w:p>
    <w:p>
      <w:pPr>
        <w:ind w:right="160" w:firstLine="405"/>
        <w:spacing w:after="0" w:line="263" w:lineRule="auto"/>
        <w:rPr>
          <w:sz w:val="20"/>
          <w:szCs w:val="20"/>
          <w:color w:val="auto"/>
        </w:rPr>
      </w:pPr>
      <w:r>
        <w:rPr>
          <w:rFonts w:ascii="Arial" w:cs="Arial" w:eastAsia="Arial" w:hAnsi="Arial"/>
          <w:sz w:val="18"/>
          <w:szCs w:val="18"/>
          <w:color w:val="auto"/>
        </w:rPr>
        <w:t>As of September 30, 2023, the Company had total outstanding balances on our asset-backed debt of $2.4 billion and aggregate principal outstanding from convertible senior notes of $510 million. In addition, we had undrawn borrowing capacity of $6.1 billion under our non-recourse asset-backed debt facilities (as described further below), of which $650 million was committed.</w:t>
      </w:r>
    </w:p>
    <w:p>
      <w:pPr>
        <w:spacing w:after="0" w:line="184"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In March 2023 and May 2023, we repurchased approximately $189 million and $279 million, respectively, in aggregate principal amount of our 2026 Notes as further described in “</w:t>
      </w:r>
      <w:r>
        <w:rPr>
          <w:rFonts w:ascii="Arial" w:cs="Arial" w:eastAsia="Arial" w:hAnsi="Arial"/>
          <w:sz w:val="16"/>
          <w:szCs w:val="16"/>
          <w:i w:val="1"/>
          <w:iCs w:val="1"/>
          <w:color w:val="auto"/>
        </w:rPr>
        <w:t>Part I – Item 1. Financial Statements – Notes to Condensed Consolidated Financial Statements – Note 5. Credit Facilities</w:t>
      </w:r>
      <w:r>
        <w:rPr>
          <w:rFonts w:ascii="Arial" w:cs="Arial" w:eastAsia="Arial" w:hAnsi="Arial"/>
          <w:sz w:val="16"/>
          <w:szCs w:val="16"/>
          <w:color w:val="auto"/>
        </w:rPr>
        <w:t xml:space="preserve"> </w:t>
      </w:r>
      <w:r>
        <w:rPr>
          <w:rFonts w:ascii="Arial" w:cs="Arial" w:eastAsia="Arial" w:hAnsi="Arial"/>
          <w:sz w:val="16"/>
          <w:szCs w:val="16"/>
          <w:i w:val="1"/>
          <w:iCs w:val="1"/>
          <w:color w:val="auto"/>
        </w:rPr>
        <w:t>and Long-Term Debt – Convertible Senior Notes</w:t>
      </w:r>
      <w:r>
        <w:rPr>
          <w:rFonts w:ascii="Arial" w:cs="Arial" w:eastAsia="Arial" w:hAnsi="Arial"/>
          <w:sz w:val="16"/>
          <w:szCs w:val="16"/>
          <w:color w:val="auto"/>
        </w:rPr>
        <w:t>” in this Quarterly Report on Form 10-Q. As market conditions warrant, we may, from time to time,</w:t>
      </w:r>
      <w:r>
        <w:rPr>
          <w:rFonts w:ascii="Arial" w:cs="Arial" w:eastAsia="Arial" w:hAnsi="Arial"/>
          <w:sz w:val="16"/>
          <w:szCs w:val="16"/>
          <w:i w:val="1"/>
          <w:iCs w:val="1"/>
          <w:color w:val="auto"/>
        </w:rPr>
        <w:t xml:space="preserve"> </w:t>
      </w:r>
      <w:r>
        <w:rPr>
          <w:rFonts w:ascii="Arial" w:cs="Arial" w:eastAsia="Arial" w:hAnsi="Arial"/>
          <w:sz w:val="16"/>
          <w:szCs w:val="16"/>
          <w:color w:val="auto"/>
        </w:rPr>
        <w:t>repurchase additional outstanding debt securities in the open market, in privately negotiated transactions, by tender offer, by exchange transaction or otherwise. Such repurchases, if any, will be upon such terms and at such prices as we may determine, and will depend on prevailing market conditions, our liquidity and other factors and may be commenced or suspended at any time. The amounts involved and total consideration paid may be material.</w:t>
      </w:r>
    </w:p>
    <w:p>
      <w:pPr>
        <w:spacing w:after="0" w:line="164" w:lineRule="exact"/>
        <w:rPr>
          <w:sz w:val="20"/>
          <w:szCs w:val="20"/>
          <w:color w:val="auto"/>
        </w:rPr>
      </w:pPr>
    </w:p>
    <w:p>
      <w:pPr>
        <w:ind w:right="220" w:firstLine="405"/>
        <w:spacing w:after="0" w:line="275" w:lineRule="auto"/>
        <w:rPr>
          <w:sz w:val="20"/>
          <w:szCs w:val="20"/>
          <w:color w:val="auto"/>
        </w:rPr>
      </w:pPr>
      <w:r>
        <w:rPr>
          <w:rFonts w:ascii="Arial" w:cs="Arial" w:eastAsia="Arial" w:hAnsi="Arial"/>
          <w:sz w:val="17"/>
          <w:szCs w:val="17"/>
          <w:color w:val="auto"/>
        </w:rPr>
        <w:t>We have incurred losses from inception, with the exception of net income during the three months ended March 31, 2022 and three months ended June 30, 2023, and we expect to incur additional losses in the future. Our ability to service our debt and fund working capital, business operations and capital expenditures will depend on our ability to generate cash from operating activities, which is subject to our future operating success, and ability to obtain inventory acquisition financing on reasonable terms, which is subject to factors beyond our control, including potential economic recession, rising interest rates, inflation and general economic, political and financial market conditions.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8"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right="380" w:firstLine="405"/>
        <w:spacing w:after="0" w:line="311" w:lineRule="auto"/>
        <w:rPr>
          <w:sz w:val="20"/>
          <w:szCs w:val="20"/>
          <w:color w:val="auto"/>
        </w:rPr>
      </w:pPr>
      <w:r>
        <w:rPr>
          <w:rFonts w:ascii="Arial" w:cs="Arial" w:eastAsia="Arial" w:hAnsi="Arial"/>
          <w:sz w:val="16"/>
          <w:szCs w:val="16"/>
          <w:color w:val="auto"/>
        </w:rPr>
        <w:t>Our working capital requirements may increase should our inventory balance increase over the remainder of the year. We believe our cash, cash equivalents and marketable securities, together with cash we expect to generate from future operations and borrowings, will be sufficient to meet our working capital and capital expenditure requirements for a period of at least 12 months from the date of this Quarterly Report on Form 10-Q.</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and Financing Arrangements</w:t>
      </w:r>
    </w:p>
    <w:p>
      <w:pPr>
        <w:spacing w:after="0" w:line="22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Our financing activities include: short-term borrowings under our asset-backed senior revolving credit facilities and, prior to the discontinuation of our mortgage origination business, our mortgage repurchase financing; the issuance of long-term asset-backed senior term debt, asset-backed mezzanine term debt, and convertible debt; and new issuances of equity. Historically, we have required access to external financing resources in order to fund growth, expansion into new markets and strategic initiatives and we expect this to continue in the future. Our access to capital markets can be impacted by factors outside our control, including economic conditions.</w:t>
      </w:r>
    </w:p>
    <w:p>
      <w:pPr>
        <w:spacing w:after="0" w:line="188"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We primarily use non-recourse asset-backed debt, consisting of asset-backed senior debt facilities and asset-backed mezzanine term debt facilities, to provide financing for our real estate inventory purchases and renovations. Our business is capital intensive and maintaining adequate liquidity and capital resources is needed as we continue to scale and accumulate additional inventory. We intend to actively manage our relationships with multiple financial institutions and seek to optimize duration, flexibility, efficiency and cost of funds, but there can be no assurance that we will be able to obtain sufficient capital for our business or to do so on acceptable financial and other terms.</w:t>
      </w:r>
    </w:p>
    <w:p>
      <w:pPr>
        <w:spacing w:after="0" w:line="176" w:lineRule="exact"/>
        <w:rPr>
          <w:sz w:val="20"/>
          <w:szCs w:val="20"/>
          <w:color w:val="auto"/>
        </w:rPr>
      </w:pPr>
    </w:p>
    <w:p>
      <w:pPr>
        <w:ind w:right="20" w:firstLine="405"/>
        <w:spacing w:after="0" w:line="301" w:lineRule="auto"/>
        <w:rPr>
          <w:sz w:val="20"/>
          <w:szCs w:val="20"/>
          <w:color w:val="auto"/>
        </w:rPr>
      </w:pPr>
      <w:r>
        <w:rPr>
          <w:rFonts w:ascii="Arial" w:cs="Arial" w:eastAsia="Arial" w:hAnsi="Arial"/>
          <w:sz w:val="16"/>
          <w:szCs w:val="16"/>
          <w:color w:val="auto"/>
        </w:rPr>
        <w:t>Our asset-backed facilities are each collateralized by a specified pool of assets, consisting of real estate inventory, restricted cash and equity interests in certain consolidated subsidiaries of Opendoor that directly or indirectly own our real estate inventory. The terms of our inventory financing facilities require an Opendoor subsidiary to comply with customary financial covenants, such as maintaining certain levels of liquidity, tangible net worth or leverage (ratio of debt to tangible net worth). As of September 30, 2023, the Company was in compliance with all financial covenants.</w:t>
      </w:r>
    </w:p>
    <w:p>
      <w:pPr>
        <w:spacing w:after="0" w:line="157"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Our property financing subsidiaries’ assets and credit generally are not available to satisfy the debts and other obligations of any other Opendoor entities. Our asset-backed debt is non-recourse to Opendoor and our subsidiaries that are not party to the relevant financing arrangements, except for limited guarantees provided by an Opendoor subsidiary for certain obligations in situations involving “bad acts” by an Opendoor entity and certain other limited circumstances.</w:t>
      </w:r>
    </w:p>
    <w:p>
      <w:pPr>
        <w:spacing w:after="0" w:line="187"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Our asset-backed senior debt facilities generally provide for advance rates of 75% to 90% against our cost basis in the underlying properties upon acquisition. Our mezzanine term facilities may finance up to 95% to 100% of our cost basis in the underlying properties upon acquisition. The maximum initial advance rates vary by facility and generally decrease on a fixed timeline that varies by facility based on the length of time a given property has been financed and other facility-specific adjustments, including adjustments based on collateral performance.</w:t>
      </w:r>
    </w:p>
    <w:p>
      <w:pPr>
        <w:spacing w:after="0" w:line="171"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At times, we may be required to keep amounts in restricted cash accounts to collateralize our asset-backed term debt facilities if the property borrowing base is insufficient to satisfy the borrowing base requirements. These amounts may fluctuate due to seasonality, timing of property acquisitions and resales, and the outstanding loan balances under our asset-backed term debt facilities.</w:t>
      </w:r>
    </w:p>
    <w:p>
      <w:pPr>
        <w:spacing w:after="0" w:line="200" w:lineRule="exact"/>
        <w:rPr>
          <w:sz w:val="20"/>
          <w:szCs w:val="20"/>
          <w:color w:val="auto"/>
        </w:rPr>
      </w:pPr>
    </w:p>
    <w:p>
      <w:pPr>
        <w:spacing w:after="0" w:line="3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9" w:right="4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8"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 following table summarizes certain details related to our non-recourse asset-backed debt and other secured borrowings as of September 30, 2023 (in millions, except interest rates):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rPr>
              <w:t>Outstanding Amount</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3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1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Borrowing</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c>
          <w:tcPr>
            <w:tcW w:w="1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End of Revolving /</w:t>
            </w:r>
          </w:p>
        </w:tc>
        <w:tc>
          <w:tcPr>
            <w:tcW w:w="184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Final Maturity</w:t>
            </w:r>
          </w:p>
        </w:tc>
        <w:tc>
          <w:tcPr>
            <w:tcW w:w="0" w:type="dxa"/>
            <w:vAlign w:val="bottom"/>
          </w:tcPr>
          <w:p>
            <w:pPr>
              <w:spacing w:after="0"/>
              <w:rPr>
                <w:sz w:val="1"/>
                <w:szCs w:val="1"/>
                <w:color w:val="auto"/>
              </w:rPr>
            </w:pPr>
          </w:p>
        </w:tc>
      </w:tr>
      <w:tr>
        <w:trPr>
          <w:trHeight w:val="43"/>
        </w:trPr>
        <w:tc>
          <w:tcPr>
            <w:tcW w:w="13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Capacity</w:t>
            </w:r>
          </w:p>
        </w:tc>
        <w:tc>
          <w:tcPr>
            <w:tcW w:w="140" w:type="dxa"/>
            <w:vAlign w:val="bottom"/>
          </w:tcPr>
          <w:p>
            <w:pPr>
              <w:spacing w:after="0"/>
              <w:rPr>
                <w:sz w:val="3"/>
                <w:szCs w:val="3"/>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Current</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Non-Current</w:t>
            </w:r>
          </w:p>
        </w:tc>
        <w:tc>
          <w:tcPr>
            <w:tcW w:w="80" w:type="dxa"/>
            <w:vAlign w:val="bottom"/>
          </w:tcPr>
          <w:p>
            <w:pPr>
              <w:spacing w:after="0"/>
              <w:rPr>
                <w:sz w:val="3"/>
                <w:szCs w:val="3"/>
                <w:color w:val="auto"/>
              </w:rPr>
            </w:pPr>
          </w:p>
        </w:tc>
        <w:tc>
          <w:tcPr>
            <w:tcW w:w="14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Interest Rate</w:t>
            </w:r>
          </w:p>
        </w:tc>
        <w:tc>
          <w:tcPr>
            <w:tcW w:w="1900" w:type="dxa"/>
            <w:vAlign w:val="bottom"/>
            <w:gridSpan w:val="2"/>
            <w:vMerge w:val="continue"/>
          </w:tcPr>
          <w:p>
            <w:pPr>
              <w:spacing w:after="0"/>
              <w:rPr>
                <w:sz w:val="3"/>
                <w:szCs w:val="3"/>
                <w:color w:val="auto"/>
              </w:rPr>
            </w:pPr>
          </w:p>
        </w:tc>
        <w:tc>
          <w:tcPr>
            <w:tcW w:w="18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360" w:type="dxa"/>
            <w:vAlign w:val="bottom"/>
          </w:tcPr>
          <w:p>
            <w:pPr>
              <w:ind w:left="20"/>
              <w:spacing w:after="0"/>
              <w:rPr>
                <w:sz w:val="20"/>
                <w:szCs w:val="20"/>
                <w:color w:val="auto"/>
              </w:rPr>
            </w:pPr>
            <w:r>
              <w:rPr>
                <w:rFonts w:ascii="Arial" w:cs="Arial" w:eastAsia="Arial" w:hAnsi="Arial"/>
                <w:sz w:val="14"/>
                <w:szCs w:val="14"/>
                <w:b w:val="1"/>
                <w:bCs w:val="1"/>
                <w:color w:val="auto"/>
              </w:rPr>
              <w:t>September 30, 2023</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Withdrawal Period</w:t>
            </w:r>
          </w:p>
        </w:tc>
        <w:tc>
          <w:tcPr>
            <w:tcW w:w="1840" w:type="dxa"/>
            <w:vAlign w:val="bottom"/>
          </w:tcPr>
          <w:p>
            <w:pPr>
              <w:jc w:val="right"/>
              <w:ind w:right="708"/>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9"/>
        </w:trPr>
        <w:tc>
          <w:tcPr>
            <w:tcW w:w="276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8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Non-Recourse Asset-backed Debt:</w:t>
            </w: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860" w:type="dxa"/>
            <w:vAlign w:val="bottom"/>
            <w:gridSpan w:val="3"/>
          </w:tcPr>
          <w:p>
            <w:pPr>
              <w:ind w:left="140"/>
              <w:spacing w:after="0"/>
              <w:rPr>
                <w:sz w:val="20"/>
                <w:szCs w:val="20"/>
                <w:color w:val="auto"/>
              </w:rPr>
            </w:pPr>
            <w:r>
              <w:rPr>
                <w:rFonts w:ascii="Arial" w:cs="Arial" w:eastAsia="Arial" w:hAnsi="Arial"/>
                <w:sz w:val="14"/>
                <w:szCs w:val="14"/>
                <w:color w:val="auto"/>
              </w:rPr>
              <w:t>Asset-backed Senior Revolving Credit</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360" w:type="dxa"/>
            <w:vAlign w:val="bottom"/>
          </w:tcPr>
          <w:p>
            <w:pPr>
              <w:ind w:left="140"/>
              <w:spacing w:after="0"/>
              <w:rPr>
                <w:sz w:val="20"/>
                <w:szCs w:val="20"/>
                <w:color w:val="auto"/>
              </w:rPr>
            </w:pPr>
            <w:r>
              <w:rPr>
                <w:rFonts w:ascii="Arial" w:cs="Arial" w:eastAsia="Arial" w:hAnsi="Arial"/>
                <w:sz w:val="14"/>
                <w:szCs w:val="14"/>
                <w:color w:val="auto"/>
              </w:rPr>
              <w:t>Facilities</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7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8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4"/>
                <w:szCs w:val="14"/>
                <w:color w:val="auto"/>
              </w:rPr>
              <w:t>Revolving Facility 2018-2</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7.49 %</w:t>
            </w:r>
          </w:p>
        </w:tc>
        <w:tc>
          <w:tcPr>
            <w:tcW w:w="10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June 30, 2025</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June 30, 2025</w:t>
            </w:r>
          </w:p>
        </w:tc>
        <w:tc>
          <w:tcPr>
            <w:tcW w:w="0" w:type="dxa"/>
            <w:vAlign w:val="bottom"/>
          </w:tcPr>
          <w:p>
            <w:pPr>
              <w:spacing w:after="0"/>
              <w:rPr>
                <w:sz w:val="1"/>
                <w:szCs w:val="1"/>
                <w:color w:val="auto"/>
              </w:rPr>
            </w:pPr>
          </w:p>
        </w:tc>
      </w:tr>
      <w:tr>
        <w:trPr>
          <w:trHeight w:val="190"/>
        </w:trPr>
        <w:tc>
          <w:tcPr>
            <w:tcW w:w="2860" w:type="dxa"/>
            <w:vAlign w:val="bottom"/>
            <w:gridSpan w:val="3"/>
          </w:tcPr>
          <w:p>
            <w:pPr>
              <w:ind w:left="240"/>
              <w:spacing w:after="0"/>
              <w:rPr>
                <w:sz w:val="20"/>
                <w:szCs w:val="20"/>
                <w:color w:val="auto"/>
              </w:rPr>
            </w:pPr>
            <w:r>
              <w:rPr>
                <w:rFonts w:ascii="Arial" w:cs="Arial" w:eastAsia="Arial" w:hAnsi="Arial"/>
                <w:sz w:val="14"/>
                <w:szCs w:val="14"/>
                <w:color w:val="auto"/>
              </w:rPr>
              <w:t>Revolving Facility 2018-3</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6.82 %</w:t>
            </w:r>
          </w:p>
        </w:tc>
        <w:tc>
          <w:tcPr>
            <w:tcW w:w="100" w:type="dxa"/>
            <w:vAlign w:val="bottom"/>
          </w:tcPr>
          <w:p>
            <w:pPr>
              <w:spacing w:after="0"/>
              <w:rPr>
                <w:sz w:val="16"/>
                <w:szCs w:val="16"/>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4"/>
                <w:szCs w:val="14"/>
                <w:color w:val="auto"/>
              </w:rPr>
              <w:t>September 29, 2026</w:t>
            </w:r>
          </w:p>
        </w:tc>
        <w:tc>
          <w:tcPr>
            <w:tcW w:w="1840" w:type="dxa"/>
            <w:vAlign w:val="bottom"/>
          </w:tcPr>
          <w:p>
            <w:pPr>
              <w:jc w:val="right"/>
              <w:spacing w:after="0"/>
              <w:rPr>
                <w:sz w:val="20"/>
                <w:szCs w:val="20"/>
                <w:color w:val="auto"/>
              </w:rPr>
            </w:pPr>
            <w:r>
              <w:rPr>
                <w:rFonts w:ascii="Arial" w:cs="Arial" w:eastAsia="Arial" w:hAnsi="Arial"/>
                <w:sz w:val="14"/>
                <w:szCs w:val="14"/>
                <w:color w:val="auto"/>
              </w:rPr>
              <w:t>September 29, 2026</w:t>
            </w:r>
          </w:p>
        </w:tc>
        <w:tc>
          <w:tcPr>
            <w:tcW w:w="0" w:type="dxa"/>
            <w:vAlign w:val="bottom"/>
          </w:tcPr>
          <w:p>
            <w:pPr>
              <w:spacing w:after="0"/>
              <w:rPr>
                <w:sz w:val="1"/>
                <w:szCs w:val="1"/>
                <w:color w:val="auto"/>
              </w:rPr>
            </w:pPr>
          </w:p>
        </w:tc>
      </w:tr>
      <w:tr>
        <w:trPr>
          <w:trHeight w:val="39"/>
        </w:trPr>
        <w:tc>
          <w:tcPr>
            <w:tcW w:w="27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8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4"/>
                <w:szCs w:val="14"/>
                <w:color w:val="auto"/>
              </w:rPr>
              <w:t>Revolving Facility 2019-1</w:t>
            </w: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7.34 %</w:t>
            </w:r>
          </w:p>
        </w:tc>
        <w:tc>
          <w:tcPr>
            <w:tcW w:w="10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August 15, 2025</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August 15, 2025</w:t>
            </w:r>
          </w:p>
        </w:tc>
        <w:tc>
          <w:tcPr>
            <w:tcW w:w="0" w:type="dxa"/>
            <w:vAlign w:val="bottom"/>
          </w:tcPr>
          <w:p>
            <w:pPr>
              <w:spacing w:after="0"/>
              <w:rPr>
                <w:sz w:val="1"/>
                <w:szCs w:val="1"/>
                <w:color w:val="auto"/>
              </w:rPr>
            </w:pPr>
          </w:p>
        </w:tc>
      </w:tr>
      <w:tr>
        <w:trPr>
          <w:trHeight w:val="190"/>
        </w:trPr>
        <w:tc>
          <w:tcPr>
            <w:tcW w:w="2860" w:type="dxa"/>
            <w:vAlign w:val="bottom"/>
            <w:gridSpan w:val="3"/>
          </w:tcPr>
          <w:p>
            <w:pPr>
              <w:ind w:left="240"/>
              <w:spacing w:after="0"/>
              <w:rPr>
                <w:sz w:val="20"/>
                <w:szCs w:val="20"/>
                <w:color w:val="auto"/>
              </w:rPr>
            </w:pPr>
            <w:r>
              <w:rPr>
                <w:rFonts w:ascii="Arial" w:cs="Arial" w:eastAsia="Arial" w:hAnsi="Arial"/>
                <w:sz w:val="14"/>
                <w:szCs w:val="14"/>
                <w:color w:val="auto"/>
              </w:rPr>
              <w:t>Revolving Facility 2019-2</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6.83 %</w:t>
            </w:r>
          </w:p>
        </w:tc>
        <w:tc>
          <w:tcPr>
            <w:tcW w:w="100" w:type="dxa"/>
            <w:vAlign w:val="bottom"/>
          </w:tcPr>
          <w:p>
            <w:pPr>
              <w:spacing w:after="0"/>
              <w:rPr>
                <w:sz w:val="16"/>
                <w:szCs w:val="16"/>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4"/>
                <w:szCs w:val="14"/>
                <w:color w:val="auto"/>
              </w:rPr>
              <w:t>October 6, 2023</w:t>
            </w:r>
          </w:p>
        </w:tc>
        <w:tc>
          <w:tcPr>
            <w:tcW w:w="1840" w:type="dxa"/>
            <w:vAlign w:val="bottom"/>
          </w:tcPr>
          <w:p>
            <w:pPr>
              <w:jc w:val="right"/>
              <w:spacing w:after="0"/>
              <w:rPr>
                <w:sz w:val="20"/>
                <w:szCs w:val="20"/>
                <w:color w:val="auto"/>
              </w:rPr>
            </w:pPr>
            <w:r>
              <w:rPr>
                <w:rFonts w:ascii="Arial" w:cs="Arial" w:eastAsia="Arial" w:hAnsi="Arial"/>
                <w:sz w:val="14"/>
                <w:szCs w:val="14"/>
                <w:color w:val="auto"/>
              </w:rPr>
              <w:t>October 6, 2023</w:t>
            </w:r>
          </w:p>
        </w:tc>
        <w:tc>
          <w:tcPr>
            <w:tcW w:w="0" w:type="dxa"/>
            <w:vAlign w:val="bottom"/>
          </w:tcPr>
          <w:p>
            <w:pPr>
              <w:spacing w:after="0"/>
              <w:rPr>
                <w:sz w:val="1"/>
                <w:szCs w:val="1"/>
                <w:color w:val="auto"/>
              </w:rPr>
            </w:pPr>
          </w:p>
        </w:tc>
      </w:tr>
      <w:tr>
        <w:trPr>
          <w:trHeight w:val="39"/>
        </w:trPr>
        <w:tc>
          <w:tcPr>
            <w:tcW w:w="27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8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4"/>
                <w:szCs w:val="14"/>
                <w:color w:val="auto"/>
              </w:rPr>
              <w:t>Revolving Facility 2019-3</w:t>
            </w: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April 5, 2024</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April 4, 2025</w:t>
            </w:r>
          </w:p>
        </w:tc>
        <w:tc>
          <w:tcPr>
            <w:tcW w:w="0" w:type="dxa"/>
            <w:vAlign w:val="bottom"/>
          </w:tcPr>
          <w:p>
            <w:pPr>
              <w:spacing w:after="0"/>
              <w:rPr>
                <w:sz w:val="1"/>
                <w:szCs w:val="1"/>
                <w:color w:val="auto"/>
              </w:rPr>
            </w:pPr>
          </w:p>
        </w:tc>
      </w:tr>
      <w:tr>
        <w:trPr>
          <w:trHeight w:val="191"/>
        </w:trPr>
        <w:tc>
          <w:tcPr>
            <w:tcW w:w="2860" w:type="dxa"/>
            <w:vAlign w:val="bottom"/>
            <w:gridSpan w:val="3"/>
          </w:tcPr>
          <w:p>
            <w:pPr>
              <w:ind w:left="140"/>
              <w:spacing w:after="0"/>
              <w:rPr>
                <w:sz w:val="20"/>
                <w:szCs w:val="20"/>
                <w:color w:val="auto"/>
              </w:rPr>
            </w:pPr>
            <w:r>
              <w:rPr>
                <w:rFonts w:ascii="Arial" w:cs="Arial" w:eastAsia="Arial" w:hAnsi="Arial"/>
                <w:sz w:val="14"/>
                <w:szCs w:val="14"/>
                <w:color w:val="auto"/>
              </w:rPr>
              <w:t>Asset-backed Senior Term Debt Facilities</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3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1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w w:val="96"/>
              </w:rPr>
              <w:t>Term Debt Facility</w:t>
            </w:r>
          </w:p>
        </w:tc>
        <w:tc>
          <w:tcPr>
            <w:tcW w:w="1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2021-S1</w:t>
            </w: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3.48 %</w:t>
            </w:r>
          </w:p>
        </w:tc>
        <w:tc>
          <w:tcPr>
            <w:tcW w:w="10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January 2, 2025</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April 1, 2025</w:t>
            </w:r>
          </w:p>
        </w:tc>
        <w:tc>
          <w:tcPr>
            <w:tcW w:w="0" w:type="dxa"/>
            <w:vAlign w:val="bottom"/>
          </w:tcPr>
          <w:p>
            <w:pPr>
              <w:spacing w:after="0"/>
              <w:rPr>
                <w:sz w:val="1"/>
                <w:szCs w:val="1"/>
                <w:color w:val="auto"/>
              </w:rPr>
            </w:pPr>
          </w:p>
        </w:tc>
      </w:tr>
      <w:tr>
        <w:trPr>
          <w:trHeight w:val="190"/>
        </w:trPr>
        <w:tc>
          <w:tcPr>
            <w:tcW w:w="1360" w:type="dxa"/>
            <w:vAlign w:val="bottom"/>
          </w:tcPr>
          <w:p>
            <w:pPr>
              <w:ind w:left="240"/>
              <w:spacing w:after="0"/>
              <w:rPr>
                <w:sz w:val="20"/>
                <w:szCs w:val="20"/>
                <w:color w:val="auto"/>
              </w:rPr>
            </w:pPr>
            <w:r>
              <w:rPr>
                <w:rFonts w:ascii="Arial" w:cs="Arial" w:eastAsia="Arial" w:hAnsi="Arial"/>
                <w:sz w:val="14"/>
                <w:szCs w:val="14"/>
                <w:color w:val="auto"/>
                <w:w w:val="96"/>
              </w:rPr>
              <w:t>Term Debt Facility</w:t>
            </w:r>
          </w:p>
        </w:tc>
        <w:tc>
          <w:tcPr>
            <w:tcW w:w="1500" w:type="dxa"/>
            <w:vAlign w:val="bottom"/>
            <w:gridSpan w:val="2"/>
          </w:tcPr>
          <w:p>
            <w:pPr>
              <w:ind w:left="20"/>
              <w:spacing w:after="0"/>
              <w:rPr>
                <w:sz w:val="20"/>
                <w:szCs w:val="20"/>
                <w:color w:val="auto"/>
              </w:rPr>
            </w:pPr>
            <w:r>
              <w:rPr>
                <w:rFonts w:ascii="Arial" w:cs="Arial" w:eastAsia="Arial" w:hAnsi="Arial"/>
                <w:sz w:val="14"/>
                <w:szCs w:val="14"/>
                <w:color w:val="auto"/>
              </w:rPr>
              <w:t>2021-S2</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300</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3.20 %</w:t>
            </w:r>
          </w:p>
        </w:tc>
        <w:tc>
          <w:tcPr>
            <w:tcW w:w="100" w:type="dxa"/>
            <w:vAlign w:val="bottom"/>
          </w:tcPr>
          <w:p>
            <w:pPr>
              <w:spacing w:after="0"/>
              <w:rPr>
                <w:sz w:val="16"/>
                <w:szCs w:val="16"/>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4"/>
                <w:szCs w:val="14"/>
                <w:color w:val="auto"/>
              </w:rPr>
              <w:t>September 10, 2025</w:t>
            </w:r>
          </w:p>
        </w:tc>
        <w:tc>
          <w:tcPr>
            <w:tcW w:w="1840" w:type="dxa"/>
            <w:vAlign w:val="bottom"/>
          </w:tcPr>
          <w:p>
            <w:pPr>
              <w:jc w:val="right"/>
              <w:spacing w:after="0"/>
              <w:rPr>
                <w:sz w:val="20"/>
                <w:szCs w:val="20"/>
                <w:color w:val="auto"/>
              </w:rPr>
            </w:pPr>
            <w:r>
              <w:rPr>
                <w:rFonts w:ascii="Arial" w:cs="Arial" w:eastAsia="Arial" w:hAnsi="Arial"/>
                <w:sz w:val="14"/>
                <w:szCs w:val="14"/>
                <w:color w:val="auto"/>
              </w:rPr>
              <w:t>March 10, 2026</w:t>
            </w:r>
          </w:p>
        </w:tc>
        <w:tc>
          <w:tcPr>
            <w:tcW w:w="0" w:type="dxa"/>
            <w:vAlign w:val="bottom"/>
          </w:tcPr>
          <w:p>
            <w:pPr>
              <w:spacing w:after="0"/>
              <w:rPr>
                <w:sz w:val="1"/>
                <w:szCs w:val="1"/>
                <w:color w:val="auto"/>
              </w:rPr>
            </w:pPr>
          </w:p>
        </w:tc>
      </w:tr>
      <w:tr>
        <w:trPr>
          <w:trHeight w:val="39"/>
        </w:trPr>
        <w:tc>
          <w:tcPr>
            <w:tcW w:w="13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1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w w:val="96"/>
              </w:rPr>
              <w:t>Term Debt Facility</w:t>
            </w:r>
          </w:p>
        </w:tc>
        <w:tc>
          <w:tcPr>
            <w:tcW w:w="1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2021-S3</w:t>
            </w: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3.75 %</w:t>
            </w:r>
          </w:p>
        </w:tc>
        <w:tc>
          <w:tcPr>
            <w:tcW w:w="10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January 31, 2027</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July 31, 2027</w:t>
            </w:r>
          </w:p>
        </w:tc>
        <w:tc>
          <w:tcPr>
            <w:tcW w:w="0" w:type="dxa"/>
            <w:vAlign w:val="bottom"/>
          </w:tcPr>
          <w:p>
            <w:pPr>
              <w:spacing w:after="0"/>
              <w:rPr>
                <w:sz w:val="1"/>
                <w:szCs w:val="1"/>
                <w:color w:val="auto"/>
              </w:rPr>
            </w:pPr>
          </w:p>
        </w:tc>
      </w:tr>
      <w:tr>
        <w:trPr>
          <w:trHeight w:val="190"/>
        </w:trPr>
        <w:tc>
          <w:tcPr>
            <w:tcW w:w="1360" w:type="dxa"/>
            <w:vAlign w:val="bottom"/>
          </w:tcPr>
          <w:p>
            <w:pPr>
              <w:ind w:left="240"/>
              <w:spacing w:after="0"/>
              <w:rPr>
                <w:sz w:val="20"/>
                <w:szCs w:val="20"/>
                <w:color w:val="auto"/>
              </w:rPr>
            </w:pPr>
            <w:r>
              <w:rPr>
                <w:rFonts w:ascii="Arial" w:cs="Arial" w:eastAsia="Arial" w:hAnsi="Arial"/>
                <w:sz w:val="14"/>
                <w:szCs w:val="14"/>
                <w:color w:val="auto"/>
                <w:w w:val="96"/>
              </w:rPr>
              <w:t>Term Debt Facility</w:t>
            </w:r>
          </w:p>
        </w:tc>
        <w:tc>
          <w:tcPr>
            <w:tcW w:w="1500" w:type="dxa"/>
            <w:vAlign w:val="bottom"/>
            <w:gridSpan w:val="2"/>
          </w:tcPr>
          <w:p>
            <w:pPr>
              <w:ind w:left="20"/>
              <w:spacing w:after="0"/>
              <w:rPr>
                <w:sz w:val="20"/>
                <w:szCs w:val="20"/>
                <w:color w:val="auto"/>
              </w:rPr>
            </w:pPr>
            <w:r>
              <w:rPr>
                <w:rFonts w:ascii="Arial" w:cs="Arial" w:eastAsia="Arial" w:hAnsi="Arial"/>
                <w:sz w:val="14"/>
                <w:szCs w:val="14"/>
                <w:color w:val="auto"/>
              </w:rPr>
              <w:t>2022-S1</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250</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4.07 %</w:t>
            </w:r>
          </w:p>
        </w:tc>
        <w:tc>
          <w:tcPr>
            <w:tcW w:w="100" w:type="dxa"/>
            <w:vAlign w:val="bottom"/>
          </w:tcPr>
          <w:p>
            <w:pPr>
              <w:spacing w:after="0"/>
              <w:rPr>
                <w:sz w:val="16"/>
                <w:szCs w:val="16"/>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4"/>
                <w:szCs w:val="14"/>
                <w:color w:val="auto"/>
              </w:rPr>
              <w:t>March 1, 2025</w:t>
            </w:r>
          </w:p>
        </w:tc>
        <w:tc>
          <w:tcPr>
            <w:tcW w:w="1840" w:type="dxa"/>
            <w:vAlign w:val="bottom"/>
          </w:tcPr>
          <w:p>
            <w:pPr>
              <w:jc w:val="right"/>
              <w:spacing w:after="0"/>
              <w:rPr>
                <w:sz w:val="20"/>
                <w:szCs w:val="20"/>
                <w:color w:val="auto"/>
              </w:rPr>
            </w:pPr>
            <w:r>
              <w:rPr>
                <w:rFonts w:ascii="Arial" w:cs="Arial" w:eastAsia="Arial" w:hAnsi="Arial"/>
                <w:sz w:val="14"/>
                <w:szCs w:val="14"/>
                <w:color w:val="auto"/>
              </w:rPr>
              <w:t>September 1, 2025</w:t>
            </w:r>
          </w:p>
        </w:tc>
        <w:tc>
          <w:tcPr>
            <w:tcW w:w="0" w:type="dxa"/>
            <w:vAlign w:val="bottom"/>
          </w:tcPr>
          <w:p>
            <w:pPr>
              <w:spacing w:after="0"/>
              <w:rPr>
                <w:sz w:val="1"/>
                <w:szCs w:val="1"/>
                <w:color w:val="auto"/>
              </w:rPr>
            </w:pPr>
          </w:p>
        </w:tc>
      </w:tr>
      <w:tr>
        <w:trPr>
          <w:trHeight w:val="39"/>
        </w:trPr>
        <w:tc>
          <w:tcPr>
            <w:tcW w:w="1360" w:type="dxa"/>
            <w:vAlign w:val="bottom"/>
            <w:tcBorders>
              <w:bottom w:val="single" w:sz="8" w:color="CCEEFF"/>
            </w:tcBorders>
          </w:tcPr>
          <w:p>
            <w:pPr>
              <w:spacing w:after="0"/>
              <w:rPr>
                <w:sz w:val="3"/>
                <w:szCs w:val="3"/>
                <w:color w:val="auto"/>
              </w:rPr>
            </w:pPr>
          </w:p>
        </w:tc>
        <w:tc>
          <w:tcPr>
            <w:tcW w:w="14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4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5,625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1,400</w:t>
            </w:r>
          </w:p>
        </w:tc>
        <w:tc>
          <w:tcPr>
            <w:tcW w:w="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360" w:type="dxa"/>
            <w:vAlign w:val="bottom"/>
          </w:tcPr>
          <w:p>
            <w:pPr>
              <w:ind w:left="460"/>
              <w:spacing w:after="0"/>
              <w:rPr>
                <w:sz w:val="20"/>
                <w:szCs w:val="20"/>
                <w:color w:val="auto"/>
              </w:rPr>
            </w:pPr>
            <w:r>
              <w:rPr>
                <w:rFonts w:ascii="Arial" w:cs="Arial" w:eastAsia="Arial" w:hAnsi="Arial"/>
                <w:sz w:val="14"/>
                <w:szCs w:val="14"/>
                <w:color w:val="auto"/>
                <w:w w:val="91"/>
              </w:rPr>
              <w:t>Issuance Costs</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ind w:left="5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360" w:type="dxa"/>
            <w:vAlign w:val="bottom"/>
            <w:tcBorders>
              <w:bottom w:val="single" w:sz="8" w:color="CCEEFF"/>
            </w:tcBorders>
          </w:tcPr>
          <w:p>
            <w:pPr>
              <w:spacing w:after="0"/>
              <w:rPr>
                <w:sz w:val="3"/>
                <w:szCs w:val="3"/>
                <w:color w:val="auto"/>
              </w:rPr>
            </w:pPr>
          </w:p>
        </w:tc>
        <w:tc>
          <w:tcPr>
            <w:tcW w:w="14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4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3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w w:val="94"/>
              </w:rPr>
              <w:t>Carrying Value</w:t>
            </w:r>
          </w:p>
        </w:tc>
        <w:tc>
          <w:tcPr>
            <w:tcW w:w="1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1,387</w:t>
            </w:r>
          </w:p>
        </w:tc>
        <w:tc>
          <w:tcPr>
            <w:tcW w:w="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8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Asset-backed Mezzanine Term Debt</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Facilities</w:t>
            </w:r>
          </w:p>
        </w:tc>
        <w:tc>
          <w:tcPr>
            <w:tcW w:w="1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360" w:type="dxa"/>
            <w:vAlign w:val="bottom"/>
          </w:tcPr>
          <w:p>
            <w:pPr>
              <w:ind w:left="240"/>
              <w:spacing w:after="0"/>
              <w:rPr>
                <w:sz w:val="20"/>
                <w:szCs w:val="20"/>
                <w:color w:val="auto"/>
              </w:rPr>
            </w:pPr>
            <w:r>
              <w:rPr>
                <w:rFonts w:ascii="Arial" w:cs="Arial" w:eastAsia="Arial" w:hAnsi="Arial"/>
                <w:sz w:val="14"/>
                <w:szCs w:val="14"/>
                <w:color w:val="auto"/>
                <w:w w:val="96"/>
              </w:rPr>
              <w:t>Term Debt Facility</w:t>
            </w:r>
          </w:p>
        </w:tc>
        <w:tc>
          <w:tcPr>
            <w:tcW w:w="1500" w:type="dxa"/>
            <w:vAlign w:val="bottom"/>
            <w:gridSpan w:val="2"/>
          </w:tcPr>
          <w:p>
            <w:pPr>
              <w:ind w:left="20"/>
              <w:spacing w:after="0"/>
              <w:rPr>
                <w:sz w:val="20"/>
                <w:szCs w:val="20"/>
                <w:color w:val="auto"/>
              </w:rPr>
            </w:pPr>
            <w:r>
              <w:rPr>
                <w:rFonts w:ascii="Arial" w:cs="Arial" w:eastAsia="Arial" w:hAnsi="Arial"/>
                <w:sz w:val="14"/>
                <w:szCs w:val="14"/>
                <w:color w:val="auto"/>
              </w:rPr>
              <w:t>2020-M1</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800</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6"/>
                <w:szCs w:val="16"/>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4"/>
                <w:szCs w:val="14"/>
                <w:color w:val="auto"/>
              </w:rPr>
              <w:t>April 1, 2025</w:t>
            </w:r>
          </w:p>
        </w:tc>
        <w:tc>
          <w:tcPr>
            <w:tcW w:w="1840" w:type="dxa"/>
            <w:vAlign w:val="bottom"/>
          </w:tcPr>
          <w:p>
            <w:pPr>
              <w:jc w:val="right"/>
              <w:spacing w:after="0"/>
              <w:rPr>
                <w:sz w:val="20"/>
                <w:szCs w:val="20"/>
                <w:color w:val="auto"/>
              </w:rPr>
            </w:pPr>
            <w:r>
              <w:rPr>
                <w:rFonts w:ascii="Arial" w:cs="Arial" w:eastAsia="Arial" w:hAnsi="Arial"/>
                <w:sz w:val="14"/>
                <w:szCs w:val="14"/>
                <w:color w:val="auto"/>
              </w:rPr>
              <w:t>April 1, 2026</w:t>
            </w:r>
          </w:p>
        </w:tc>
        <w:tc>
          <w:tcPr>
            <w:tcW w:w="0" w:type="dxa"/>
            <w:vAlign w:val="bottom"/>
          </w:tcPr>
          <w:p>
            <w:pPr>
              <w:spacing w:after="0"/>
              <w:rPr>
                <w:sz w:val="1"/>
                <w:szCs w:val="1"/>
                <w:color w:val="auto"/>
              </w:rPr>
            </w:pPr>
          </w:p>
        </w:tc>
      </w:tr>
      <w:tr>
        <w:trPr>
          <w:trHeight w:val="39"/>
        </w:trPr>
        <w:tc>
          <w:tcPr>
            <w:tcW w:w="13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1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w w:val="96"/>
              </w:rPr>
              <w:t>Term Debt Facility</w:t>
            </w:r>
          </w:p>
        </w:tc>
        <w:tc>
          <w:tcPr>
            <w:tcW w:w="1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2022-M1</w:t>
            </w: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September 15, 2025</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September 15, 2026</w:t>
            </w:r>
          </w:p>
        </w:tc>
        <w:tc>
          <w:tcPr>
            <w:tcW w:w="0" w:type="dxa"/>
            <w:vAlign w:val="bottom"/>
          </w:tcPr>
          <w:p>
            <w:pPr>
              <w:spacing w:after="0"/>
              <w:rPr>
                <w:sz w:val="1"/>
                <w:szCs w:val="1"/>
                <w:color w:val="auto"/>
              </w:rPr>
            </w:pPr>
          </w:p>
        </w:tc>
      </w:tr>
      <w:tr>
        <w:trPr>
          <w:trHeight w:val="184"/>
        </w:trPr>
        <w:tc>
          <w:tcPr>
            <w:tcW w:w="1360" w:type="dxa"/>
            <w:vAlign w:val="bottom"/>
          </w:tcPr>
          <w:p>
            <w:pPr>
              <w:ind w:left="20"/>
              <w:spacing w:after="0"/>
              <w:rPr>
                <w:sz w:val="20"/>
                <w:szCs w:val="20"/>
                <w:color w:val="auto"/>
              </w:rPr>
            </w:pPr>
            <w:r>
              <w:rPr>
                <w:rFonts w:ascii="Arial" w:cs="Arial" w:eastAsia="Arial" w:hAnsi="Arial"/>
                <w:sz w:val="14"/>
                <w:szCs w:val="14"/>
                <w:color w:val="auto"/>
              </w:rPr>
              <w:t>Total</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2,800</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ind w:left="5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950</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360" w:type="dxa"/>
            <w:vAlign w:val="bottom"/>
            <w:tcBorders>
              <w:bottom w:val="single" w:sz="8" w:color="CCEEFF"/>
            </w:tcBorders>
          </w:tcPr>
          <w:p>
            <w:pPr>
              <w:spacing w:after="0"/>
              <w:rPr>
                <w:sz w:val="3"/>
                <w:szCs w:val="3"/>
                <w:color w:val="auto"/>
              </w:rPr>
            </w:pPr>
          </w:p>
        </w:tc>
        <w:tc>
          <w:tcPr>
            <w:tcW w:w="14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4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3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w w:val="91"/>
              </w:rPr>
              <w:t>Issuance Costs</w:t>
            </w:r>
          </w:p>
        </w:tc>
        <w:tc>
          <w:tcPr>
            <w:tcW w:w="1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360" w:type="dxa"/>
            <w:vAlign w:val="bottom"/>
          </w:tcPr>
          <w:p>
            <w:pPr>
              <w:ind w:left="460"/>
              <w:spacing w:after="0"/>
              <w:rPr>
                <w:sz w:val="20"/>
                <w:szCs w:val="20"/>
                <w:color w:val="auto"/>
              </w:rPr>
            </w:pPr>
            <w:r>
              <w:rPr>
                <w:rFonts w:ascii="Arial" w:cs="Arial" w:eastAsia="Arial" w:hAnsi="Arial"/>
                <w:sz w:val="14"/>
                <w:szCs w:val="14"/>
                <w:color w:val="auto"/>
                <w:w w:val="94"/>
              </w:rPr>
              <w:t>Carrying Value</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943</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760" w:type="dxa"/>
            <w:vAlign w:val="bottom"/>
            <w:tcBorders>
              <w:bottom w:val="single" w:sz="8" w:color="CCEEFF"/>
            </w:tcBorders>
            <w:gridSpan w:val="2"/>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7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4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860" w:type="dxa"/>
            <w:vAlign w:val="bottom"/>
            <w:gridSpan w:val="3"/>
          </w:tcPr>
          <w:p>
            <w:pPr>
              <w:ind w:left="20"/>
              <w:spacing w:after="0"/>
              <w:rPr>
                <w:sz w:val="20"/>
                <w:szCs w:val="20"/>
                <w:color w:val="auto"/>
              </w:rPr>
            </w:pPr>
            <w:r>
              <w:rPr>
                <w:rFonts w:ascii="Arial" w:cs="Arial" w:eastAsia="Arial" w:hAnsi="Arial"/>
                <w:sz w:val="14"/>
                <w:szCs w:val="14"/>
                <w:color w:val="auto"/>
              </w:rPr>
              <w:t>Total Non-Recourse Asset-backed Debt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8,425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2,330</w:t>
            </w: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Asset-backed Senior Revolving Credit Facilities</w:t>
      </w:r>
    </w:p>
    <w:p>
      <w:pPr>
        <w:spacing w:after="0" w:line="225" w:lineRule="exact"/>
        <w:rPr>
          <w:sz w:val="20"/>
          <w:szCs w:val="20"/>
          <w:color w:val="auto"/>
        </w:rPr>
      </w:pPr>
    </w:p>
    <w:p>
      <w:pPr>
        <w:ind w:right="300" w:firstLine="405"/>
        <w:spacing w:after="0" w:line="259" w:lineRule="auto"/>
        <w:rPr>
          <w:sz w:val="20"/>
          <w:szCs w:val="20"/>
          <w:color w:val="auto"/>
        </w:rPr>
      </w:pPr>
      <w:r>
        <w:rPr>
          <w:rFonts w:ascii="Arial" w:cs="Arial" w:eastAsia="Arial" w:hAnsi="Arial"/>
          <w:sz w:val="18"/>
          <w:szCs w:val="18"/>
          <w:color w:val="auto"/>
        </w:rPr>
        <w:t>We classify the senior revolving credit facilities as current liabilities on our condensed consolidated balance sheets. In some cases, the borrowing capacity amounts under the asset-backed senior revolving credit facilities as reflected in the table are not fully committed and any borrowings above the committed amounts are subject to the applicable lender’s discretion. As of September 30, 2023, we had committed borrowing capacity with respect to asset-backed senior revolving credit facilities of $650 million.</w:t>
      </w:r>
    </w:p>
    <w:p>
      <w:pPr>
        <w:spacing w:after="0" w:line="18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revolving period end dates and final maturity dates reflected in the table above are inclusive of any extensions that are at the sole discretion of the Company. Certain of our asset-backed senior revolving credit facilities also have additional extension options that are subject to lender approval that are not reflected in the table above. On October 3, 2023, the Company entered into an amendment to Revolving Facility 2019-2, providing for $550 million of borrowing capacity with a revolving period end date of October 3, 2025 and a final maturity date of October 2, 2026, which is inclusive of any extensions that are at the sole discretion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Asset-backed Senior Term Debt Facilities</w:t>
      </w:r>
    </w:p>
    <w:p>
      <w:pPr>
        <w:spacing w:after="0" w:line="225" w:lineRule="exact"/>
        <w:rPr>
          <w:sz w:val="20"/>
          <w:szCs w:val="20"/>
          <w:color w:val="auto"/>
        </w:rPr>
      </w:pPr>
    </w:p>
    <w:p>
      <w:pPr>
        <w:jc w:val="both"/>
        <w:ind w:right="440" w:firstLine="405"/>
        <w:spacing w:after="0" w:line="263" w:lineRule="auto"/>
        <w:rPr>
          <w:sz w:val="20"/>
          <w:szCs w:val="20"/>
          <w:color w:val="auto"/>
        </w:rPr>
      </w:pPr>
      <w:r>
        <w:rPr>
          <w:rFonts w:ascii="Arial" w:cs="Arial" w:eastAsia="Arial" w:hAnsi="Arial"/>
          <w:sz w:val="18"/>
          <w:szCs w:val="18"/>
          <w:color w:val="auto"/>
        </w:rPr>
        <w:t>We classify our senior term debt facilities as non-current liabilities in our condensed consolidated balance sheets. The carrying value of the non-current liabilities is reduced by issuance costs of $13 million. In some cases, the borrowing capacity amounts under the asset-backed senior term debt facilities as reflected in the table are not fully committed and any borrowings</w:t>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8"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above the committed amounts are subject to the applicable lender’s discretion. As of September 30, 2023, we had committed borrowing capacity with respect to asset-backed senior term debt facilities of $1.4 billion.</w:t>
      </w:r>
    </w:p>
    <w:p>
      <w:pPr>
        <w:spacing w:after="0" w:line="170" w:lineRule="exact"/>
        <w:rPr>
          <w:sz w:val="20"/>
          <w:szCs w:val="20"/>
          <w:color w:val="auto"/>
        </w:rPr>
      </w:pPr>
    </w:p>
    <w:p>
      <w:pPr>
        <w:jc w:val="both"/>
        <w:ind w:right="160" w:firstLine="405"/>
        <w:spacing w:after="0" w:line="263" w:lineRule="auto"/>
        <w:rPr>
          <w:sz w:val="20"/>
          <w:szCs w:val="20"/>
          <w:color w:val="auto"/>
        </w:rPr>
      </w:pPr>
      <w:r>
        <w:rPr>
          <w:rFonts w:ascii="Arial" w:cs="Arial" w:eastAsia="Arial" w:hAnsi="Arial"/>
          <w:sz w:val="18"/>
          <w:szCs w:val="18"/>
          <w:color w:val="auto"/>
        </w:rPr>
        <w:t>The withdrawal period end dates and final maturity dates reflected in the table above are inclusive of any extensions that are at the sole discretion of the Company. Certain of our asset-backed senior term debt facilities also have additional extension options that are subject to lender approval that are not reflected in the table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Asset-backed Mezzanine Term Debt Facilities</w:t>
      </w:r>
    </w:p>
    <w:p>
      <w:pPr>
        <w:spacing w:after="0" w:line="225" w:lineRule="exact"/>
        <w:rPr>
          <w:sz w:val="20"/>
          <w:szCs w:val="20"/>
          <w:color w:val="auto"/>
        </w:rPr>
      </w:pPr>
    </w:p>
    <w:p>
      <w:pPr>
        <w:ind w:right="80" w:firstLine="405"/>
        <w:spacing w:after="0" w:line="301" w:lineRule="auto"/>
        <w:rPr>
          <w:sz w:val="20"/>
          <w:szCs w:val="20"/>
          <w:color w:val="auto"/>
        </w:rPr>
      </w:pPr>
      <w:r>
        <w:rPr>
          <w:rFonts w:ascii="Arial" w:cs="Arial" w:eastAsia="Arial" w:hAnsi="Arial"/>
          <w:sz w:val="16"/>
          <w:szCs w:val="16"/>
          <w:color w:val="auto"/>
        </w:rPr>
        <w:t>In addition to the asset-backed senior revolving credit facilities and asset-backed senior term debt facilities, we have issued asset-backed mezzanine term debt facilities which are subordinated to the related senior facilities. The borrowing capacity amounts under the asset-backed mezzanine term debt facilities as reflected in the table are not fully committed and any borrowing above the committed amounts are subject to the applicable lender’s discretion. As of September 30, 2023, we had committed borrowing capacity with respect to asset-backed mezzanine term debt facilities of $950 million.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225"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In August 2021, we issued the 2026 Notes with an aggregate principal amount of $978 million. The table below summarizes certain details related to our 2026 Notes (in millions), as of September 30, 2023, which includes certain repurchases: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Remaining Aggregate</w:t>
            </w:r>
          </w:p>
        </w:tc>
        <w:tc>
          <w:tcPr>
            <w:tcW w:w="1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Unamortized Debt</w:t>
            </w:r>
          </w:p>
        </w:tc>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0"/>
        </w:trPr>
        <w:tc>
          <w:tcPr>
            <w:tcW w:w="67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2023</w:t>
            </w:r>
          </w:p>
        </w:tc>
        <w:tc>
          <w:tcPr>
            <w:tcW w:w="14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Principal Amount</w:t>
            </w:r>
          </w:p>
        </w:tc>
        <w:tc>
          <w:tcPr>
            <w:tcW w:w="14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Issuance Costs</w:t>
            </w: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w w:val="97"/>
              </w:rPr>
              <w:t>Net Carrying Amount</w:t>
            </w:r>
          </w:p>
        </w:tc>
      </w:tr>
      <w:tr>
        <w:trPr>
          <w:trHeight w:val="39"/>
        </w:trPr>
        <w:tc>
          <w:tcPr>
            <w:tcW w:w="6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37"/>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 Notes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r>
      <w:tr>
        <w:trPr>
          <w:trHeight w:val="27"/>
        </w:trPr>
        <w:tc>
          <w:tcPr>
            <w:tcW w:w="6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9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Part I – Item 1. Financial Statements – Notes to Condensed Consolidated Financial Statements – Note 5. Credit Facilities and Long-Term Debt</w:t>
      </w:r>
      <w:r>
        <w:rPr>
          <w:rFonts w:ascii="Arial" w:cs="Arial" w:eastAsia="Arial" w:hAnsi="Arial"/>
          <w:sz w:val="18"/>
          <w:szCs w:val="18"/>
          <w:color w:val="auto"/>
        </w:rPr>
        <w:t>” for additional information regarding our debt and financing arrangements.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Purpose Entities</w:t>
      </w:r>
    </w:p>
    <w:p>
      <w:pPr>
        <w:spacing w:after="0" w:line="225"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The Company has established certain special purpose entities (“SPEs”) for the purpose of financing the Company’s purchase and renovation of real estate inventory through the issuance of asset-backed debt. The Company is the primary beneficiary of the various variable interest entities (“VIE”) within these financing structures and consolidates these VIEs. See “</w:t>
      </w:r>
      <w:r>
        <w:rPr>
          <w:rFonts w:ascii="Arial" w:cs="Arial" w:eastAsia="Arial" w:hAnsi="Arial"/>
          <w:sz w:val="18"/>
          <w:szCs w:val="18"/>
          <w:i w:val="1"/>
          <w:iCs w:val="1"/>
          <w:color w:val="auto"/>
        </w:rPr>
        <w:t>Part I – Item 1. Financial Statements – Notes to Condensed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 Note 4. Variable Interest Entities</w:t>
      </w:r>
      <w:r>
        <w:rPr>
          <w:rFonts w:ascii="Arial" w:cs="Arial" w:eastAsia="Arial" w:hAnsi="Arial"/>
          <w:sz w:val="18"/>
          <w:szCs w:val="18"/>
          <w:color w:val="auto"/>
        </w:rPr>
        <w:t>” for additional information regarding our VIEs.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8"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40" w:firstLine="405"/>
        <w:spacing w:after="0" w:line="263" w:lineRule="auto"/>
        <w:rPr>
          <w:sz w:val="20"/>
          <w:szCs w:val="20"/>
          <w:color w:val="auto"/>
        </w:rPr>
      </w:pPr>
      <w:r>
        <w:rPr>
          <w:rFonts w:ascii="Arial" w:cs="Arial" w:eastAsia="Arial" w:hAnsi="Arial"/>
          <w:sz w:val="18"/>
          <w:szCs w:val="18"/>
          <w:color w:val="auto"/>
        </w:rPr>
        <w:t>The following table summarizes the assets and liabilities related to the VIEs consolidated by the Company as well as the assets, liabilities and equity related to Opendoor Technologies Inc. (Parent Company Only) (“Parent Company”) and subsidiaries that are not VIEs, as of September 30, 2023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Borders>
              <w:bottom w:val="single" w:sz="8" w:color="CCEEFF"/>
            </w:tcBorders>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VIE</w:t>
            </w:r>
          </w:p>
        </w:tc>
        <w:tc>
          <w:tcPr>
            <w:tcW w:w="5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Non-VIE</w:t>
            </w: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9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9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3"/>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43"/>
        </w:trPr>
        <w:tc>
          <w:tcPr>
            <w:tcW w:w="510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19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1,203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19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5100" w:type="dxa"/>
            <w:vAlign w:val="bottom"/>
          </w:tcPr>
          <w:p>
            <w:pPr>
              <w:ind w:left="180"/>
              <w:spacing w:after="0"/>
              <w:rPr>
                <w:sz w:val="20"/>
                <w:szCs w:val="20"/>
                <w:color w:val="auto"/>
              </w:rPr>
            </w:pPr>
            <w:r>
              <w:rPr>
                <w:rFonts w:ascii="Arial" w:cs="Arial" w:eastAsia="Arial" w:hAnsi="Arial"/>
                <w:sz w:val="18"/>
                <w:szCs w:val="18"/>
                <w:color w:val="auto"/>
              </w:rPr>
              <w:t>Escrow receivable</w:t>
            </w:r>
          </w:p>
        </w:tc>
        <w:tc>
          <w:tcPr>
            <w:tcW w:w="19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 inventory</w:t>
            </w:r>
          </w:p>
        </w:tc>
        <w:tc>
          <w:tcPr>
            <w:tcW w:w="19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1,299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43"/>
        </w:trPr>
        <w:tc>
          <w:tcPr>
            <w:tcW w:w="5100" w:type="dxa"/>
            <w:vAlign w:val="bottom"/>
          </w:tcPr>
          <w:p>
            <w:pPr>
              <w:ind w:left="180"/>
              <w:spacing w:after="0"/>
              <w:rPr>
                <w:sz w:val="20"/>
                <w:szCs w:val="20"/>
                <w:color w:val="auto"/>
              </w:rPr>
            </w:pPr>
            <w:r>
              <w:rPr>
                <w:rFonts w:ascii="Arial" w:cs="Arial" w:eastAsia="Arial" w:hAnsi="Arial"/>
                <w:sz w:val="18"/>
                <w:szCs w:val="18"/>
                <w:color w:val="auto"/>
              </w:rPr>
              <w:t>Inventory valuation adjustment</w:t>
            </w:r>
          </w:p>
        </w:tc>
        <w:tc>
          <w:tcPr>
            <w:tcW w:w="19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 inventory, net</w:t>
            </w:r>
          </w:p>
        </w:tc>
        <w:tc>
          <w:tcPr>
            <w:tcW w:w="19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1,272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43"/>
        </w:trPr>
        <w:tc>
          <w:tcPr>
            <w:tcW w:w="510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19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19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2,499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3,819</w:t>
            </w:r>
          </w:p>
        </w:tc>
        <w:tc>
          <w:tcPr>
            <w:tcW w:w="0" w:type="dxa"/>
            <w:vAlign w:val="bottom"/>
          </w:tcPr>
          <w:p>
            <w:pPr>
              <w:spacing w:after="0"/>
              <w:rPr>
                <w:sz w:val="1"/>
                <w:szCs w:val="1"/>
                <w:color w:val="auto"/>
              </w:rPr>
            </w:pPr>
          </w:p>
        </w:tc>
      </w:tr>
      <w:tr>
        <w:trPr>
          <w:trHeight w:val="243"/>
        </w:trPr>
        <w:tc>
          <w:tcPr>
            <w:tcW w:w="51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980" w:type="dxa"/>
            <w:vAlign w:val="bottom"/>
          </w:tcPr>
          <w:p>
            <w:pPr>
              <w:jc w:val="right"/>
              <w:ind w:right="82"/>
              <w:spacing w:after="0"/>
              <w:rPr>
                <w:sz w:val="20"/>
                <w:szCs w:val="20"/>
                <w:color w:val="auto"/>
              </w:rPr>
            </w:pPr>
            <w:r>
              <w:rPr>
                <w:rFonts w:ascii="Arial" w:cs="Arial" w:eastAsia="Arial" w:hAnsi="Arial"/>
                <w:sz w:val="12"/>
                <w:szCs w:val="12"/>
                <w:color w:val="auto"/>
              </w:rPr>
              <w:t>(1)</w:t>
            </w:r>
          </w:p>
        </w:tc>
        <w:tc>
          <w:tcPr>
            <w:tcW w:w="820" w:type="dxa"/>
            <w:vAlign w:val="bottom"/>
          </w:tcPr>
          <w:p>
            <w:pPr>
              <w:spacing w:after="0"/>
              <w:rPr>
                <w:sz w:val="21"/>
                <w:szCs w:val="2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9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613"/>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2,499</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3,947</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9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0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1980" w:type="dxa"/>
            <w:vAlign w:val="bottom"/>
          </w:tcPr>
          <w:p>
            <w:pPr>
              <w:jc w:val="right"/>
              <w:ind w:right="82"/>
              <w:spacing w:after="0"/>
              <w:rPr>
                <w:sz w:val="20"/>
                <w:szCs w:val="20"/>
                <w:color w:val="auto"/>
              </w:rPr>
            </w:pPr>
            <w:r>
              <w:rPr>
                <w:rFonts w:ascii="Arial" w:cs="Arial" w:eastAsia="Arial" w:hAnsi="Arial"/>
                <w:sz w:val="12"/>
                <w:szCs w:val="12"/>
                <w:color w:val="auto"/>
              </w:rPr>
              <w:t>(2)</w:t>
            </w:r>
          </w:p>
        </w:tc>
        <w:tc>
          <w:tcPr>
            <w:tcW w:w="820" w:type="dxa"/>
            <w:vAlign w:val="bottom"/>
          </w:tcPr>
          <w:p>
            <w:pPr>
              <w:jc w:val="right"/>
              <w:ind w:right="613"/>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19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3"/>
        </w:trPr>
        <w:tc>
          <w:tcPr>
            <w:tcW w:w="5100" w:type="dxa"/>
            <w:vAlign w:val="bottom"/>
          </w:tcPr>
          <w:p>
            <w:pPr>
              <w:ind w:left="20"/>
              <w:spacing w:after="0"/>
              <w:rPr>
                <w:sz w:val="20"/>
                <w:szCs w:val="20"/>
                <w:color w:val="auto"/>
              </w:rPr>
            </w:pPr>
            <w:r>
              <w:rPr>
                <w:rFonts w:ascii="Arial" w:cs="Arial" w:eastAsia="Arial" w:hAnsi="Arial"/>
                <w:sz w:val="18"/>
                <w:szCs w:val="18"/>
                <w:color w:val="auto"/>
              </w:rPr>
              <w:t>Non-current asset-backed mezzanine term debt</w:t>
            </w:r>
          </w:p>
        </w:tc>
        <w:tc>
          <w:tcPr>
            <w:tcW w:w="19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asset-backed senior term debt</w:t>
            </w:r>
          </w:p>
        </w:tc>
        <w:tc>
          <w:tcPr>
            <w:tcW w:w="19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1,387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43"/>
        </w:trPr>
        <w:tc>
          <w:tcPr>
            <w:tcW w:w="5100" w:type="dxa"/>
            <w:vAlign w:val="bottom"/>
          </w:tcPr>
          <w:p>
            <w:pPr>
              <w:ind w:left="20"/>
              <w:spacing w:after="0"/>
              <w:rPr>
                <w:sz w:val="20"/>
                <w:szCs w:val="20"/>
                <w:color w:val="auto"/>
              </w:rPr>
            </w:pPr>
            <w:r>
              <w:rPr>
                <w:rFonts w:ascii="Arial" w:cs="Arial" w:eastAsia="Arial" w:hAnsi="Arial"/>
                <w:sz w:val="18"/>
                <w:szCs w:val="18"/>
                <w:color w:val="auto"/>
              </w:rPr>
              <w:t>CONVERTIBLE SENIOR NOTES</w:t>
            </w:r>
          </w:p>
        </w:tc>
        <w:tc>
          <w:tcPr>
            <w:tcW w:w="19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LIABILITIES – Net of current portion</w:t>
            </w:r>
          </w:p>
        </w:tc>
        <w:tc>
          <w:tcPr>
            <w:tcW w:w="19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510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9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9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613"/>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2,356</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00" w:type="dxa"/>
            <w:vAlign w:val="bottom"/>
            <w:tcBorders>
              <w:bottom w:val="single" w:sz="8" w:color="CCEEFF"/>
            </w:tcBorders>
          </w:tcPr>
          <w:p>
            <w:pPr>
              <w:spacing w:after="0"/>
              <w:rPr>
                <w:sz w:val="18"/>
                <w:szCs w:val="18"/>
                <w:color w:val="auto"/>
              </w:rPr>
            </w:pPr>
          </w:p>
        </w:tc>
        <w:tc>
          <w:tcPr>
            <w:tcW w:w="19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19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613"/>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22"/>
                <w:szCs w:val="22"/>
                <w:color w:val="auto"/>
              </w:rPr>
              <w:t>________________</w:t>
            </w:r>
          </w:p>
        </w:tc>
        <w:tc>
          <w:tcPr>
            <w:tcW w:w="19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5100" w:type="dxa"/>
            <w:vAlign w:val="bottom"/>
            <w:vMerge w:val="continue"/>
          </w:tcPr>
          <w:p>
            <w:pPr>
              <w:spacing w:after="0"/>
              <w:rPr>
                <w:sz w:val="24"/>
                <w:szCs w:val="24"/>
                <w:color w:val="auto"/>
              </w:rPr>
            </w:pPr>
          </w:p>
        </w:tc>
        <w:tc>
          <w:tcPr>
            <w:tcW w:w="1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340" w:right="280" w:hanging="332"/>
        <w:spacing w:after="0" w:line="267" w:lineRule="auto"/>
        <w:tabs>
          <w:tab w:leader="none" w:pos="328"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The Company’s consolidated Other Assets include the following assets as shown in the Condensed Consolidated Balance Sheets: Property and Equipment - Net, $68 million; Right of Use Assets, $27 million; Goodwill, $4 million; Intangibles - Net, $7 million; and Other Assets, $22 million.</w:t>
      </w:r>
    </w:p>
    <w:p>
      <w:pPr>
        <w:spacing w:after="0" w:line="12" w:lineRule="exact"/>
        <w:rPr>
          <w:rFonts w:ascii="Arial" w:cs="Arial" w:eastAsia="Arial" w:hAnsi="Arial"/>
          <w:sz w:val="21"/>
          <w:szCs w:val="21"/>
          <w:color w:val="auto"/>
          <w:vertAlign w:val="superscript"/>
        </w:rPr>
      </w:pPr>
    </w:p>
    <w:p>
      <w:pPr>
        <w:ind w:left="340" w:right="120" w:hanging="332"/>
        <w:spacing w:after="0" w:line="227" w:lineRule="auto"/>
        <w:tabs>
          <w:tab w:leader="none" w:pos="328"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The Company’s Other Current Liabilities include the following liabilities as shown in the Condensed Consolidated Balance Sheets: Accounts Payable and Other Accrued Liabilities, $67 million; Interest Payable, $1 million; and Lease Liabilities - Current, $6 million.</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8"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20" w:type="dxa"/>
            <w:vAlign w:val="bottom"/>
            <w:gridSpan w:val="4"/>
          </w:tcPr>
          <w:p>
            <w:pPr>
              <w:jc w:val="right"/>
              <w:ind w:right="67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6"/>
        </w:trPr>
        <w:tc>
          <w:tcPr>
            <w:tcW w:w="8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8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85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39"/>
        </w:trPr>
        <w:tc>
          <w:tcPr>
            <w:tcW w:w="85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center"/>
              <w:ind w:left="334"/>
              <w:spacing w:after="0"/>
              <w:rPr>
                <w:sz w:val="20"/>
                <w:szCs w:val="20"/>
                <w:color w:val="auto"/>
              </w:rPr>
            </w:pPr>
            <w:r>
              <w:rPr>
                <w:rFonts w:ascii="Arial" w:cs="Arial" w:eastAsia="Arial" w:hAnsi="Arial"/>
                <w:sz w:val="18"/>
                <w:szCs w:val="18"/>
                <w:color w:val="auto"/>
                <w:w w:val="95"/>
              </w:rPr>
              <w:t>(665)</w:t>
            </w:r>
          </w:p>
        </w:tc>
        <w:tc>
          <w:tcPr>
            <w:tcW w:w="0" w:type="dxa"/>
            <w:vAlign w:val="bottom"/>
          </w:tcPr>
          <w:p>
            <w:pPr>
              <w:spacing w:after="0"/>
              <w:rPr>
                <w:sz w:val="1"/>
                <w:szCs w:val="1"/>
                <w:color w:val="auto"/>
              </w:rPr>
            </w:pPr>
          </w:p>
        </w:tc>
      </w:tr>
      <w:tr>
        <w:trPr>
          <w:trHeight w:val="243"/>
        </w:trPr>
        <w:tc>
          <w:tcPr>
            <w:tcW w:w="8500" w:type="dxa"/>
            <w:vAlign w:val="bottom"/>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center"/>
              <w:ind w:left="354"/>
              <w:spacing w:after="0"/>
              <w:rPr>
                <w:sz w:val="20"/>
                <w:szCs w:val="20"/>
                <w:color w:val="auto"/>
              </w:rPr>
            </w:pPr>
            <w:r>
              <w:rPr>
                <w:rFonts w:ascii="Arial" w:cs="Arial" w:eastAsia="Arial" w:hAnsi="Arial"/>
                <w:sz w:val="18"/>
                <w:szCs w:val="18"/>
                <w:color w:val="auto"/>
                <w:w w:val="86"/>
              </w:rPr>
              <w:t>210</w:t>
            </w:r>
          </w:p>
        </w:tc>
        <w:tc>
          <w:tcPr>
            <w:tcW w:w="0" w:type="dxa"/>
            <w:vAlign w:val="bottom"/>
          </w:tcPr>
          <w:p>
            <w:pPr>
              <w:spacing w:after="0"/>
              <w:rPr>
                <w:sz w:val="1"/>
                <w:szCs w:val="1"/>
                <w:color w:val="auto"/>
              </w:rPr>
            </w:pPr>
          </w:p>
        </w:tc>
      </w:tr>
      <w:tr>
        <w:trPr>
          <w:trHeight w:val="27"/>
        </w:trPr>
        <w:tc>
          <w:tcPr>
            <w:tcW w:w="8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center"/>
              <w:ind w:left="354"/>
              <w:spacing w:after="0"/>
              <w:rPr>
                <w:sz w:val="20"/>
                <w:szCs w:val="20"/>
                <w:color w:val="auto"/>
              </w:rPr>
            </w:pPr>
            <w:r>
              <w:rPr>
                <w:rFonts w:ascii="Arial" w:cs="Arial" w:eastAsia="Arial" w:hAnsi="Arial"/>
                <w:sz w:val="18"/>
                <w:szCs w:val="18"/>
                <w:color w:val="auto"/>
                <w:w w:val="86"/>
              </w:rPr>
              <w:t>956</w:t>
            </w:r>
          </w:p>
        </w:tc>
        <w:tc>
          <w:tcPr>
            <w:tcW w:w="0" w:type="dxa"/>
            <w:vAlign w:val="bottom"/>
          </w:tcPr>
          <w:p>
            <w:pPr>
              <w:spacing w:after="0"/>
              <w:rPr>
                <w:sz w:val="1"/>
                <w:szCs w:val="1"/>
                <w:color w:val="auto"/>
              </w:rPr>
            </w:pPr>
          </w:p>
        </w:tc>
      </w:tr>
      <w:tr>
        <w:trPr>
          <w:trHeight w:val="243"/>
        </w:trPr>
        <w:tc>
          <w:tcPr>
            <w:tcW w:w="8500" w:type="dxa"/>
            <w:vAlign w:val="bottom"/>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center"/>
              <w:ind w:left="354"/>
              <w:spacing w:after="0"/>
              <w:rPr>
                <w:sz w:val="20"/>
                <w:szCs w:val="20"/>
                <w:color w:val="auto"/>
              </w:rPr>
            </w:pPr>
            <w:r>
              <w:rPr>
                <w:rFonts w:ascii="Arial" w:cs="Arial" w:eastAsia="Arial" w:hAnsi="Arial"/>
                <w:sz w:val="18"/>
                <w:szCs w:val="18"/>
                <w:color w:val="auto"/>
                <w:w w:val="86"/>
              </w:rPr>
              <w:t>501</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Operating Activities</w:t>
      </w:r>
    </w:p>
    <w:p>
      <w:pPr>
        <w:spacing w:after="0" w:line="22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Net cash provided by (used in) operating activities was $2.9 billion and $(665) million for the nine months ended September 30, 2023 and 2022, respectively. For the nine months ended September 30, 2023, cash provided by operating activities was primarily driven by the $3.1 billion decrease in real estate inventory, partially offset by our net loss, net of non-cash items, of $153 million. For the nine months ended September 30, 2022, cash used in operating activities was primarily driven by the $663 million increase in real estate inventory.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Investing Activities</w:t>
      </w:r>
    </w:p>
    <w:p>
      <w:pPr>
        <w:spacing w:after="0" w:line="23" w:lineRule="exact"/>
        <w:rPr>
          <w:sz w:val="20"/>
          <w:szCs w:val="20"/>
          <w:color w:val="auto"/>
        </w:rPr>
      </w:pPr>
    </w:p>
    <w:p>
      <w:pPr>
        <w:ind w:firstLine="405"/>
        <w:spacing w:after="0" w:line="281" w:lineRule="auto"/>
        <w:rPr>
          <w:sz w:val="20"/>
          <w:szCs w:val="20"/>
          <w:color w:val="auto"/>
        </w:rPr>
      </w:pPr>
      <w:r>
        <w:rPr>
          <w:rFonts w:ascii="Arial" w:cs="Arial" w:eastAsia="Arial" w:hAnsi="Arial"/>
          <w:sz w:val="16"/>
          <w:szCs w:val="16"/>
          <w:color w:val="auto"/>
        </w:rPr>
        <w:t>Net cash provided by investing activities was $48 million and $210 million for the nine months ended September 30, 2023 and 2022, respectively. For the nine months ended September 30, 2023, cash provided by investing activities primarily consisted of a net decrease in marketable securities of</w:t>
      </w:r>
    </w:p>
    <w:p>
      <w:pPr>
        <w:spacing w:after="0" w:line="1"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$75 million, partially offset by a $28 million increase in property and equipment principally related to the capitalization of internally developed software. For the nine months ended September 30, 2022, cash provided by investing activities primarily consisted of a net decrease in marketable securities of $265 million, partially offset by $19 million for strategic investments in certain privately held companies and a $33 million increase in property and equipment.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Provided by Financing Activities</w:t>
      </w:r>
    </w:p>
    <w:p>
      <w:pPr>
        <w:spacing w:after="0" w:line="225" w:lineRule="exact"/>
        <w:rPr>
          <w:sz w:val="20"/>
          <w:szCs w:val="20"/>
          <w:color w:val="auto"/>
        </w:rPr>
      </w:pPr>
    </w:p>
    <w:p>
      <w:pPr>
        <w:ind w:right="440" w:firstLine="405"/>
        <w:spacing w:after="0" w:line="301" w:lineRule="auto"/>
        <w:rPr>
          <w:sz w:val="20"/>
          <w:szCs w:val="20"/>
          <w:color w:val="auto"/>
        </w:rPr>
      </w:pPr>
      <w:r>
        <w:rPr>
          <w:rFonts w:ascii="Arial" w:cs="Arial" w:eastAsia="Arial" w:hAnsi="Arial"/>
          <w:sz w:val="16"/>
          <w:szCs w:val="16"/>
          <w:color w:val="auto"/>
        </w:rPr>
        <w:t>Net cash (used in) provided by financing activities was $(2.3) billion and $956 million for the nine months ended September 30, 2023 and 2022, respectively. For the nine months ended September 30, 2023, cash used in financing activities was primarily attributable to $2.1 billion net principal payments on non-recourse asset-backed debt as well as $270 million related to the partial repurchase of the 2026 Notes. For the nine months ended September 30, 2022, cash provided by financing activities was primarily attributable to $981 million net proceeds on non-recourse asset-backed debt.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right="660" w:firstLine="405"/>
        <w:spacing w:after="0" w:line="277" w:lineRule="auto"/>
        <w:rPr>
          <w:sz w:val="20"/>
          <w:szCs w:val="20"/>
          <w:color w:val="auto"/>
        </w:rPr>
      </w:pPr>
      <w:r>
        <w:rPr>
          <w:rFonts w:ascii="Arial" w:cs="Arial" w:eastAsia="Arial" w:hAnsi="Arial"/>
          <w:sz w:val="18"/>
          <w:szCs w:val="18"/>
          <w:color w:val="auto"/>
        </w:rPr>
        <w:t>There have been no material changes outside the ordinary course of business in our commitments under contractual obligations as previously disclosed in our Annual Report on Form 10-K for the year ended December 31, 2022, except for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OPENDOOR TECHNOLOGIES INC.</w:t>
      </w:r>
    </w:p>
    <w:p>
      <w:pPr>
        <w:spacing w:after="0" w:line="3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8"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categories of contractual obligations included in the table below, which have been updated to reflect our contractual obligations as of September 30, 2023: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Payment Due by Year</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9"/>
        </w:trPr>
        <w:tc>
          <w:tcPr>
            <w:tcW w:w="43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73"/>
        </w:trPr>
        <w:tc>
          <w:tcPr>
            <w:tcW w:w="4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ind w:right="275"/>
              <w:spacing w:after="0"/>
              <w:rPr>
                <w:sz w:val="20"/>
                <w:szCs w:val="20"/>
                <w:color w:val="auto"/>
              </w:rPr>
            </w:pPr>
            <w:r>
              <w:rPr>
                <w:rFonts w:ascii="Arial" w:cs="Arial" w:eastAsia="Arial" w:hAnsi="Arial"/>
                <w:sz w:val="14"/>
                <w:szCs w:val="14"/>
                <w:b w:val="1"/>
                <w:bCs w:val="1"/>
                <w:color w:val="auto"/>
              </w:rPr>
              <w:t>Less than</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255"/>
              <w:spacing w:after="0"/>
              <w:rPr>
                <w:sz w:val="20"/>
                <w:szCs w:val="20"/>
                <w:color w:val="auto"/>
              </w:rPr>
            </w:pPr>
            <w:r>
              <w:rPr>
                <w:rFonts w:ascii="Arial" w:cs="Arial" w:eastAsia="Arial" w:hAnsi="Arial"/>
                <w:sz w:val="14"/>
                <w:szCs w:val="14"/>
                <w:b w:val="1"/>
                <w:bCs w:val="1"/>
                <w:color w:val="auto"/>
              </w:rPr>
              <w:t>More than</w:t>
            </w:r>
          </w:p>
        </w:tc>
      </w:tr>
      <w:tr>
        <w:trPr>
          <w:trHeight w:val="186"/>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6"/>
                <w:szCs w:val="16"/>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6"/>
                <w:szCs w:val="16"/>
                <w:color w:val="auto"/>
              </w:rPr>
            </w:pPr>
          </w:p>
        </w:tc>
        <w:tc>
          <w:tcPr>
            <w:tcW w:w="1060" w:type="dxa"/>
            <w:vAlign w:val="bottom"/>
          </w:tcPr>
          <w:p>
            <w:pPr>
              <w:jc w:val="right"/>
              <w:ind w:right="375"/>
              <w:spacing w:after="0"/>
              <w:rPr>
                <w:sz w:val="20"/>
                <w:szCs w:val="20"/>
                <w:color w:val="auto"/>
              </w:rPr>
            </w:pPr>
            <w:r>
              <w:rPr>
                <w:rFonts w:ascii="Arial" w:cs="Arial" w:eastAsia="Arial" w:hAnsi="Arial"/>
                <w:sz w:val="14"/>
                <w:szCs w:val="14"/>
                <w:b w:val="1"/>
                <w:bCs w:val="1"/>
                <w:color w:val="auto"/>
              </w:rPr>
              <w:t>1 year</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1 – 3 years</w:t>
            </w:r>
          </w:p>
        </w:tc>
        <w:tc>
          <w:tcPr>
            <w:tcW w:w="22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4 – 5 years</w:t>
            </w:r>
          </w:p>
        </w:tc>
        <w:tc>
          <w:tcPr>
            <w:tcW w:w="200" w:type="dxa"/>
            <w:vAlign w:val="bottom"/>
          </w:tcPr>
          <w:p>
            <w:pPr>
              <w:spacing w:after="0"/>
              <w:rPr>
                <w:sz w:val="16"/>
                <w:szCs w:val="16"/>
                <w:color w:val="auto"/>
              </w:rPr>
            </w:pPr>
          </w:p>
        </w:tc>
        <w:tc>
          <w:tcPr>
            <w:tcW w:w="1100" w:type="dxa"/>
            <w:vAlign w:val="bottom"/>
          </w:tcPr>
          <w:p>
            <w:pPr>
              <w:jc w:val="right"/>
              <w:ind w:right="355"/>
              <w:spacing w:after="0"/>
              <w:rPr>
                <w:sz w:val="20"/>
                <w:szCs w:val="20"/>
                <w:color w:val="auto"/>
              </w:rPr>
            </w:pPr>
            <w:r>
              <w:rPr>
                <w:rFonts w:ascii="Arial" w:cs="Arial" w:eastAsia="Arial" w:hAnsi="Arial"/>
                <w:sz w:val="14"/>
                <w:szCs w:val="14"/>
                <w:b w:val="1"/>
                <w:bCs w:val="1"/>
                <w:color w:val="auto"/>
              </w:rPr>
              <w:t>5 years</w:t>
            </w:r>
          </w:p>
        </w:tc>
      </w:tr>
      <w:tr>
        <w:trPr>
          <w:trHeight w:val="39"/>
        </w:trPr>
        <w:tc>
          <w:tcPr>
            <w:tcW w:w="43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6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and mezzanine term debt facilities</w:t>
            </w:r>
            <w:r>
              <w:rPr>
                <w:rFonts w:ascii="Arial" w:cs="Arial" w:eastAsia="Arial" w:hAnsi="Arial"/>
                <w:sz w:val="23"/>
                <w:szCs w:val="23"/>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320" w:type="dxa"/>
            <w:vAlign w:val="bottom"/>
          </w:tcPr>
          <w:p>
            <w:pPr>
              <w:ind w:left="20"/>
              <w:spacing w:after="0"/>
              <w:rPr>
                <w:sz w:val="20"/>
                <w:szCs w:val="20"/>
                <w:color w:val="auto"/>
              </w:rPr>
            </w:pPr>
            <w:r>
              <w:rPr>
                <w:rFonts w:ascii="Arial" w:cs="Arial" w:eastAsia="Arial" w:hAnsi="Arial"/>
                <w:sz w:val="18"/>
                <w:szCs w:val="18"/>
                <w:color w:val="auto"/>
              </w:rPr>
              <w:t>Convertible senior notes</w:t>
            </w:r>
            <w:r>
              <w:rPr>
                <w:rFonts w:ascii="Arial" w:cs="Arial" w:eastAsia="Arial" w:hAnsi="Arial"/>
                <w:sz w:val="23"/>
                <w:szCs w:val="23"/>
                <w:color w:val="auto"/>
                <w:vertAlign w:val="superscript"/>
              </w:rPr>
              <w:t>(2)</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513</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w:t>
            </w:r>
            <w:r>
              <w:rPr>
                <w:rFonts w:ascii="Arial" w:cs="Arial" w:eastAsia="Arial" w:hAnsi="Arial"/>
                <w:sz w:val="23"/>
                <w:szCs w:val="23"/>
                <w:color w:val="auto"/>
                <w:vertAlign w:val="superscript"/>
              </w:rPr>
              <w:t>(3)</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Purchase commitments</w:t>
            </w:r>
            <w:r>
              <w:rPr>
                <w:rFonts w:ascii="Arial" w:cs="Arial" w:eastAsia="Arial" w:hAnsi="Arial"/>
                <w:sz w:val="23"/>
                <w:szCs w:val="23"/>
                <w:color w:val="auto"/>
                <w:vertAlign w:val="superscript"/>
              </w:rPr>
              <w:t>(4)</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43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w:t>
      </w:r>
    </w:p>
    <w:p>
      <w:pPr>
        <w:spacing w:after="0" w:line="106" w:lineRule="exact"/>
        <w:rPr>
          <w:sz w:val="20"/>
          <w:szCs w:val="20"/>
          <w:color w:val="auto"/>
        </w:rPr>
      </w:pPr>
    </w:p>
    <w:p>
      <w:pPr>
        <w:ind w:left="340" w:right="380" w:hanging="332"/>
        <w:spacing w:after="0" w:line="227" w:lineRule="auto"/>
        <w:tabs>
          <w:tab w:leader="none" w:pos="328"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Represents the principal amounts outstanding as of September 30, 2023 and interest payments assuming the principal balances remain outstanding until maturity. The final maturity dates of the senior and mezzanine term debt facilities vary, as discussed above.</w:t>
      </w:r>
    </w:p>
    <w:p>
      <w:pPr>
        <w:spacing w:after="0" w:line="94" w:lineRule="exact"/>
        <w:rPr>
          <w:rFonts w:ascii="Arial" w:cs="Arial" w:eastAsia="Arial" w:hAnsi="Arial"/>
          <w:sz w:val="23"/>
          <w:szCs w:val="23"/>
          <w:color w:val="auto"/>
          <w:vertAlign w:val="superscript"/>
        </w:rPr>
      </w:pPr>
    </w:p>
    <w:p>
      <w:pPr>
        <w:ind w:left="340" w:right="380" w:hanging="332"/>
        <w:spacing w:after="0" w:line="227" w:lineRule="auto"/>
        <w:tabs>
          <w:tab w:leader="none" w:pos="328"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Represents the principal amounts outstanding as of September 30, 2023 and interest payments assuming the principal balances remain outstanding until maturity.</w:t>
      </w:r>
    </w:p>
    <w:p>
      <w:pPr>
        <w:spacing w:after="0" w:line="94" w:lineRule="exact"/>
        <w:rPr>
          <w:rFonts w:ascii="Arial" w:cs="Arial" w:eastAsia="Arial" w:hAnsi="Arial"/>
          <w:sz w:val="23"/>
          <w:szCs w:val="23"/>
          <w:color w:val="auto"/>
          <w:vertAlign w:val="superscript"/>
        </w:rPr>
      </w:pPr>
    </w:p>
    <w:p>
      <w:pPr>
        <w:ind w:left="340" w:right="240" w:hanging="332"/>
        <w:spacing w:after="0" w:line="234" w:lineRule="auto"/>
        <w:tabs>
          <w:tab w:leader="none" w:pos="328"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Represents future payments for long-term operating leases that have commenced as of September 30, 2023. In May 2023, the Company amended its Tempe, Arizona office lease to partially terminate the Company’s obligation with respect to a portion of the leased premises, which resulted in a decrease of undiscounted, future lease payments of $19 million.</w:t>
      </w:r>
    </w:p>
    <w:p>
      <w:pPr>
        <w:spacing w:after="0" w:line="60"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As of September 30, 2023, we were under contract to purchase 1,661 homes for an aggregate purchase price of $578 million.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80" w:firstLine="405"/>
        <w:spacing w:after="0" w:line="275" w:lineRule="auto"/>
        <w:rPr>
          <w:sz w:val="20"/>
          <w:szCs w:val="20"/>
          <w:color w:val="auto"/>
        </w:rPr>
      </w:pPr>
      <w:r>
        <w:rPr>
          <w:rFonts w:ascii="Arial" w:cs="Arial" w:eastAsia="Arial" w:hAnsi="Arial"/>
          <w:sz w:val="17"/>
          <w:szCs w:val="17"/>
          <w:color w:val="auto"/>
        </w:rPr>
        <w:t>Discussion and analysis of our financial condition and results of operations are based on our financial statements, which have been prepared in accordance with GAAP. The preparation of these financial statements requires us to make estimates and judgments that affect the reported amounts of assets and liabilities and related disclosure of contingent assets and liabilities, revenue, and expenses at the date of the financial statements. Generally, we base our estimates on historical experience and on various other assumptions in accordance with GAAP that we believe to be reasonable under the circumstances. Actual results may differ from these estimates under different assumptions or conditions.</w:t>
      </w:r>
    </w:p>
    <w:p>
      <w:pPr>
        <w:spacing w:after="0" w:line="176" w:lineRule="exact"/>
        <w:rPr>
          <w:sz w:val="20"/>
          <w:szCs w:val="20"/>
          <w:color w:val="auto"/>
        </w:rPr>
      </w:pPr>
    </w:p>
    <w:p>
      <w:pPr>
        <w:ind w:right="140" w:firstLine="405"/>
        <w:spacing w:after="0" w:line="291" w:lineRule="auto"/>
        <w:rPr>
          <w:sz w:val="20"/>
          <w:szCs w:val="20"/>
          <w:color w:val="auto"/>
        </w:rPr>
      </w:pPr>
      <w:r>
        <w:rPr>
          <w:rFonts w:ascii="Arial" w:cs="Arial" w:eastAsia="Arial" w:hAnsi="Arial"/>
          <w:sz w:val="16"/>
          <w:szCs w:val="16"/>
          <w:color w:val="auto"/>
        </w:rPr>
        <w:t>We consider an accounting judgment, estimate or assumption to be critical when (1) the estimate or assumption is complex in nature or requires a high degree of judgment and (2) the use of different judgments, estimates and assumptions could have a material impact on the condensed consolidated financial statements. Based on this definition, critical accounting policies and estimates are discussed in “</w:t>
      </w:r>
      <w:r>
        <w:rPr>
          <w:rFonts w:ascii="Arial" w:cs="Arial" w:eastAsia="Arial" w:hAnsi="Arial"/>
          <w:sz w:val="16"/>
          <w:szCs w:val="16"/>
          <w:i w:val="1"/>
          <w:iCs w:val="1"/>
          <w:color w:val="auto"/>
        </w:rPr>
        <w:t>Part II – Item 7. Management's Discussion and</w:t>
      </w:r>
      <w:r>
        <w:rPr>
          <w:rFonts w:ascii="Arial" w:cs="Arial" w:eastAsia="Arial" w:hAnsi="Arial"/>
          <w:sz w:val="16"/>
          <w:szCs w:val="16"/>
          <w:color w:val="auto"/>
        </w:rPr>
        <w:t xml:space="preserve"> </w:t>
      </w:r>
      <w:r>
        <w:rPr>
          <w:rFonts w:ascii="Arial" w:cs="Arial" w:eastAsia="Arial" w:hAnsi="Arial"/>
          <w:sz w:val="16"/>
          <w:szCs w:val="16"/>
          <w:i w:val="1"/>
          <w:iCs w:val="1"/>
          <w:color w:val="auto"/>
        </w:rPr>
        <w:t>Analysis of Financial Condition and Results of Operations – Critical Accounting Policies and Estimates</w:t>
      </w:r>
      <w:r>
        <w:rPr>
          <w:rFonts w:ascii="Arial" w:cs="Arial" w:eastAsia="Arial" w:hAnsi="Arial"/>
          <w:sz w:val="16"/>
          <w:szCs w:val="16"/>
          <w:color w:val="auto"/>
        </w:rPr>
        <w:t>” in the Annual Report on Form 10-K for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31, 2022. There have been no significant changes to these critical accounting estimates during the first nine months of 2023. In addition, we have other key accounting policies and estimates that are described in “</w:t>
      </w:r>
      <w:r>
        <w:rPr>
          <w:rFonts w:ascii="Arial" w:cs="Arial" w:eastAsia="Arial" w:hAnsi="Arial"/>
          <w:sz w:val="16"/>
          <w:szCs w:val="16"/>
          <w:i w:val="1"/>
          <w:iCs w:val="1"/>
          <w:color w:val="auto"/>
        </w:rPr>
        <w:t>Part I – Item 1. Financial Statements – Notes to Condensed Consolidated</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Statements – Note 1. Description of Business and Accounting Policies</w:t>
      </w:r>
      <w:r>
        <w:rPr>
          <w:rFonts w:ascii="Arial" w:cs="Arial" w:eastAsia="Arial" w:hAnsi="Arial"/>
          <w:sz w:val="16"/>
          <w:szCs w:val="16"/>
          <w:color w:val="auto"/>
        </w:rPr>
        <w:t>” in this Quarterly Report on Form 10-Q.</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For information on recent accounting standards, see “</w:t>
      </w:r>
      <w:r>
        <w:rPr>
          <w:rFonts w:ascii="Arial" w:cs="Arial" w:eastAsia="Arial" w:hAnsi="Arial"/>
          <w:sz w:val="18"/>
          <w:szCs w:val="18"/>
          <w:i w:val="1"/>
          <w:iCs w:val="1"/>
          <w:color w:val="auto"/>
        </w:rPr>
        <w:t>Part I – Item 1. Financial Statements – Notes to Condensed Consolidated Financial Statements</w:t>
      </w:r>
      <w:r>
        <w:rPr>
          <w:rFonts w:ascii="Arial" w:cs="Arial" w:eastAsia="Arial" w:hAnsi="Arial"/>
          <w:sz w:val="18"/>
          <w:szCs w:val="18"/>
          <w:color w:val="auto"/>
        </w:rPr>
        <w:t xml:space="preserve"> </w:t>
      </w:r>
      <w:r>
        <w:rPr>
          <w:rFonts w:ascii="Arial" w:cs="Arial" w:eastAsia="Arial" w:hAnsi="Arial"/>
          <w:sz w:val="18"/>
          <w:szCs w:val="18"/>
          <w:i w:val="1"/>
          <w:iCs w:val="1"/>
          <w:color w:val="auto"/>
        </w:rPr>
        <w:t>– Note 1. Description of Business and Accounting Policies”</w:t>
      </w:r>
      <w:r>
        <w:rPr>
          <w:rFonts w:ascii="Arial" w:cs="Arial" w:eastAsia="Arial" w:hAnsi="Arial"/>
          <w:sz w:val="18"/>
          <w:szCs w:val="18"/>
          <w:color w:val="auto"/>
        </w:rPr>
        <w: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We are exposed to market risks in the ordinary course of our business. These risks primarily consist of fluctuations in interest rates and exposures to inflationary pressures.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We are subject to market risk by way of changes in interest rates on borrowings under our inventory financing facilities. As of September 30, 2023, the Company had total outstanding balances on our asset-backed debt and other secured borrowings of $2.4 billion, 100% of which was fixed rate with an average duration of 2.8 years. Total interest expense for the nine months ended September 30, 2023 was $142 million, of which $123 million was fixed and $19 million was floating. As of September 30, 2023 we had no outstanding borrowings with interest at floating benchmark reference rates. As of December 31, 2022 we had outstanding borrowings of $1.4 billion, which bore interest at floating benchmark reference rates based on the secured overnight financing rate (“SOFR”), plus an applicable margin. Accordingly, fluctuations in market interest rates may increase or decrease our interest expense. We may use interest rate cap derivatives, interest rate swaps or other interest rate hedging instruments to economically hedge and manage interest rate risk with respect to our variable floating rate debt. Many of our floating rate debt facilities also had benchmark rate floors. Assuming no change in the outstanding borrowings on our credit facilities, we estimate that a one percentage point increase in the applicable Benchmark Rates would have increased our annual interest expense by approximately $14 million as of December 31,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225"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We believe the inflation experienced in 2022, which is still ongoing, has impacted the cost of goods and services that we consume, such as labor and materials costs for home repairs. We endeavor to offset these impacts in our business through appropriately considering them in our pricing and operational models. However, if our costs were to become subject to significant incremental inflationary pressure, we may not be able to fully offset such higher costs by adjusting our operational model or our pricing methodology. Our inability to do so could harm our business, results of operations and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80" w:firstLine="405"/>
        <w:spacing w:after="0" w:line="279" w:lineRule="auto"/>
        <w:rPr>
          <w:sz w:val="20"/>
          <w:szCs w:val="20"/>
          <w:color w:val="auto"/>
        </w:rPr>
      </w:pPr>
      <w:r>
        <w:rPr>
          <w:rFonts w:ascii="Arial" w:cs="Arial" w:eastAsia="Arial" w:hAnsi="Arial"/>
          <w:sz w:val="17"/>
          <w:szCs w:val="17"/>
          <w:color w:val="auto"/>
        </w:rPr>
        <w:t>Our management, with the participation of our Chief Executive Officer and Interim Chief Financial Officer, evaluated the effectiveness of our disclosure controls and procedures (as defined in Rules 13a-15(e) and 15d-15(e) under the Exchange Act), as of the end of the period covered by this Quarterly Report on Form 10-Q. Based on the evaluation, our Chief Executive Officer and Interim Chief Financial Officer concluded that the Company's disclosure controls and procedures are effective at the reasonable assurance level as of September 30, 2023.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There were no changes in our internal control over financial reporting in connection with the evaluation required by Rules 13a-15(d) and 15d-15(d) of the Exchange Act that occurred during the quarter ended September 30, 2023 that materially affected, or are reasonably likely to materially affect, our internal control over financial reporting.</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 xml:space="preserve">On October 7, 2022 and November 22, 2022, purported securities class action lawsuits were filed in the United States District Court for the District of Arizona, captioned </w:t>
      </w:r>
      <w:r>
        <w:rPr>
          <w:rFonts w:ascii="Arial" w:cs="Arial" w:eastAsia="Arial" w:hAnsi="Arial"/>
          <w:sz w:val="16"/>
          <w:szCs w:val="16"/>
          <w:i w:val="1"/>
          <w:iCs w:val="1"/>
          <w:color w:val="auto"/>
        </w:rPr>
        <w:t>Alich v. Opendoor Technologies Inc., et al.</w:t>
      </w:r>
      <w:r>
        <w:rPr>
          <w:rFonts w:ascii="Arial" w:cs="Arial" w:eastAsia="Arial" w:hAnsi="Arial"/>
          <w:sz w:val="16"/>
          <w:szCs w:val="16"/>
          <w:color w:val="auto"/>
        </w:rPr>
        <w:t xml:space="preserve"> (Case No. 2:22-cv-01717-JFM) (“Alich”) and </w:t>
      </w:r>
      <w:r>
        <w:rPr>
          <w:rFonts w:ascii="Arial" w:cs="Arial" w:eastAsia="Arial" w:hAnsi="Arial"/>
          <w:sz w:val="16"/>
          <w:szCs w:val="16"/>
          <w:i w:val="1"/>
          <w:iCs w:val="1"/>
          <w:color w:val="auto"/>
        </w:rPr>
        <w:t>Oakland County Voluntary Employee’s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Beneficiary Association, et al. v. Opendoor Technologies Inc., et al. </w:t>
      </w:r>
      <w:r>
        <w:rPr>
          <w:rFonts w:ascii="Arial" w:cs="Arial" w:eastAsia="Arial" w:hAnsi="Arial"/>
          <w:sz w:val="16"/>
          <w:szCs w:val="16"/>
          <w:color w:val="auto"/>
        </w:rPr>
        <w:t>(Case No. 2:22-cv-01987-GMS) (“Oakland County”), respectively. The lawsuits were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consolidated into a single action, captioned </w:t>
      </w:r>
      <w:r>
        <w:rPr>
          <w:rFonts w:ascii="Arial" w:cs="Arial" w:eastAsia="Arial" w:hAnsi="Arial"/>
          <w:sz w:val="16"/>
          <w:szCs w:val="16"/>
          <w:i w:val="1"/>
          <w:iCs w:val="1"/>
          <w:color w:val="auto"/>
        </w:rPr>
        <w:t>In re Opendoor Technologies Inc. Securities Litigation</w:t>
      </w:r>
      <w:r>
        <w:rPr>
          <w:rFonts w:ascii="Arial" w:cs="Arial" w:eastAsia="Arial" w:hAnsi="Arial"/>
          <w:sz w:val="16"/>
          <w:szCs w:val="16"/>
          <w:color w:val="auto"/>
        </w:rPr>
        <w:t xml:space="preserve"> (Case No. 2:22-CV-01717-MTL). The consolidated amended complaint names as defendants the Company, Social Capital Hedosophia Holdings Corp. II (SCH"), certain of the Company’s current and former officers and directors and the underwriters of a securities offering the Company made in February 2021. The complaint alleges that the Company and certain officers violated Section 10(b) of the Exchange Act and SEC Rule 10b-5, and that the Company, SCH, certain officers and directors and the underwriters violated Section 11 of the Securities Act, in each case by making materially false or misleading statements related to the effectiveness of the Company’s pricing algorithm. The plaintiffs also allege that certain defendants violated Section 20(a) of the Exchange Act and Section 15 of the Securities Act, respectively, which provide for control person liability. The complaint asserts claims on behalf of all persons and entities that purchased, or otherwise acquired, Company common stock between December 21, 2020 and November 3, 2022 or pursuant to offering documents issued in connection with our business combination with SCH and the secondary public offering conducted by the Company in February 2021. The plaintiffs seek class certification, an award of unspecified compensatory damages, an award of interest and reasonable costs and expenses, including attorneys’ fees and expert fees, and other and further relief as the court may deem just and proper. The defendants filed motions to dismiss on June 30, 2023, which are pending before the court. We believe that the allegations in the complaint are without merit and we intend to vigorously defend ourselves in the matter.</w:t>
      </w:r>
    </w:p>
    <w:p>
      <w:pPr>
        <w:spacing w:after="0" w:line="167" w:lineRule="exact"/>
        <w:rPr>
          <w:sz w:val="20"/>
          <w:szCs w:val="20"/>
          <w:color w:val="auto"/>
        </w:rPr>
      </w:pPr>
    </w:p>
    <w:p>
      <w:pPr>
        <w:ind w:right="60" w:firstLine="405"/>
        <w:spacing w:after="0" w:line="268" w:lineRule="auto"/>
        <w:rPr>
          <w:sz w:val="20"/>
          <w:szCs w:val="20"/>
          <w:color w:val="auto"/>
        </w:rPr>
      </w:pPr>
      <w:r>
        <w:rPr>
          <w:rFonts w:ascii="Arial" w:cs="Arial" w:eastAsia="Arial" w:hAnsi="Arial"/>
          <w:sz w:val="17"/>
          <w:szCs w:val="17"/>
          <w:color w:val="auto"/>
        </w:rPr>
        <w:t xml:space="preserve">On March 1, 2023 and March 15, 2023, shareholder derivative lawsuits were filed in the United States District Court for the District of Arizona, captioned </w:t>
      </w:r>
      <w:r>
        <w:rPr>
          <w:rFonts w:ascii="Arial" w:cs="Arial" w:eastAsia="Arial" w:hAnsi="Arial"/>
          <w:sz w:val="17"/>
          <w:szCs w:val="17"/>
          <w:i w:val="1"/>
          <w:iCs w:val="1"/>
          <w:color w:val="auto"/>
        </w:rPr>
        <w:t>Carlson v. Rice, et al.</w:t>
      </w:r>
      <w:r>
        <w:rPr>
          <w:rFonts w:ascii="Arial" w:cs="Arial" w:eastAsia="Arial" w:hAnsi="Arial"/>
          <w:sz w:val="17"/>
          <w:szCs w:val="17"/>
          <w:color w:val="auto"/>
        </w:rPr>
        <w:t xml:space="preserve"> (Case No. 2:23-cv-00367-GMS) and </w:t>
      </w:r>
      <w:r>
        <w:rPr>
          <w:rFonts w:ascii="Arial" w:cs="Arial" w:eastAsia="Arial" w:hAnsi="Arial"/>
          <w:sz w:val="17"/>
          <w:szCs w:val="17"/>
          <w:i w:val="1"/>
          <w:iCs w:val="1"/>
          <w:color w:val="auto"/>
        </w:rPr>
        <w:t>Van Dorn v. Wu, et al.</w:t>
      </w:r>
      <w:r>
        <w:rPr>
          <w:rFonts w:ascii="Arial" w:cs="Arial" w:eastAsia="Arial" w:hAnsi="Arial"/>
          <w:sz w:val="17"/>
          <w:szCs w:val="17"/>
          <w:color w:val="auto"/>
        </w:rPr>
        <w:t xml:space="preserve"> (Case No. 2:23-cv-00455-DMF), respectively, which were subsequently consolidated into a single action, captioned </w:t>
      </w:r>
      <w:r>
        <w:rPr>
          <w:rFonts w:ascii="Arial" w:cs="Arial" w:eastAsia="Arial" w:hAnsi="Arial"/>
          <w:sz w:val="17"/>
          <w:szCs w:val="17"/>
          <w:i w:val="1"/>
          <w:iCs w:val="1"/>
          <w:color w:val="auto"/>
        </w:rPr>
        <w:t>Carlson v. Rice</w:t>
      </w:r>
      <w:r>
        <w:rPr>
          <w:rFonts w:ascii="Arial" w:cs="Arial" w:eastAsia="Arial" w:hAnsi="Arial"/>
          <w:sz w:val="17"/>
          <w:szCs w:val="17"/>
          <w:color w:val="auto"/>
        </w:rPr>
        <w:t xml:space="preserve"> (Case No. 2:23-CV-00367-GMS). Plaintiffs voluntarily dismissed the matter on June 22, 2023, and thereafter re-filed complaints in the Court of Chancery of the State of Delaware, captioned </w:t>
      </w:r>
      <w:r>
        <w:rPr>
          <w:rFonts w:ascii="Arial" w:cs="Arial" w:eastAsia="Arial" w:hAnsi="Arial"/>
          <w:sz w:val="17"/>
          <w:szCs w:val="17"/>
          <w:i w:val="1"/>
          <w:iCs w:val="1"/>
          <w:color w:val="auto"/>
        </w:rPr>
        <w:t>Carlson v. Rice, et al.</w:t>
      </w:r>
      <w:r>
        <w:rPr>
          <w:rFonts w:ascii="Arial" w:cs="Arial" w:eastAsia="Arial" w:hAnsi="Arial"/>
          <w:sz w:val="17"/>
          <w:szCs w:val="17"/>
          <w:color w:val="auto"/>
        </w:rPr>
        <w:t xml:space="preserve"> (Case No. 2023-0642) and </w:t>
      </w:r>
      <w:r>
        <w:rPr>
          <w:rFonts w:ascii="Arial" w:cs="Arial" w:eastAsia="Arial" w:hAnsi="Arial"/>
          <w:sz w:val="17"/>
          <w:szCs w:val="17"/>
          <w:i w:val="1"/>
          <w:iCs w:val="1"/>
          <w:color w:val="auto"/>
        </w:rPr>
        <w:t>Van Dorn v. Rice, et al.</w:t>
      </w:r>
      <w:r>
        <w:rPr>
          <w:rFonts w:ascii="Arial" w:cs="Arial" w:eastAsia="Arial" w:hAnsi="Arial"/>
          <w:sz w:val="17"/>
          <w:szCs w:val="17"/>
          <w:color w:val="auto"/>
        </w:rPr>
        <w:t xml:space="preserve"> (Case No. 2023-0643).The cases have been consolidated into a single action, captioned Opendoor Technologies Inc. Stockholder Derivative Litigation (Case No. 2023-0642). On June 29, 2023, a shareholder derivative lawsuit was filed in the United States District Court for the State of Delaware, captioned </w:t>
      </w:r>
      <w:r>
        <w:rPr>
          <w:rFonts w:ascii="Arial" w:cs="Arial" w:eastAsia="Arial" w:hAnsi="Arial"/>
          <w:sz w:val="17"/>
          <w:szCs w:val="17"/>
          <w:i w:val="1"/>
          <w:iCs w:val="1"/>
          <w:color w:val="auto"/>
        </w:rPr>
        <w:t>Juul v. Wu, et al.</w:t>
      </w:r>
      <w:r>
        <w:rPr>
          <w:rFonts w:ascii="Arial" w:cs="Arial" w:eastAsia="Arial" w:hAnsi="Arial"/>
          <w:sz w:val="17"/>
          <w:szCs w:val="17"/>
          <w:color w:val="auto"/>
        </w:rPr>
        <w:t xml:space="preserve"> (Case No. 1:23-cv-00705-UNA). The complaints in each matter are based on the same facts and circumstances as </w:t>
      </w:r>
      <w:r>
        <w:rPr>
          <w:rFonts w:ascii="Arial" w:cs="Arial" w:eastAsia="Arial" w:hAnsi="Arial"/>
          <w:sz w:val="17"/>
          <w:szCs w:val="17"/>
          <w:i w:val="1"/>
          <w:iCs w:val="1"/>
          <w:color w:val="auto"/>
        </w:rPr>
        <w:t>In re Opendoor Technologies Inc. Securities Litigation</w:t>
      </w:r>
      <w:r>
        <w:rPr>
          <w:rFonts w:ascii="Arial" w:cs="Arial" w:eastAsia="Arial" w:hAnsi="Arial"/>
          <w:sz w:val="17"/>
          <w:szCs w:val="17"/>
          <w:color w:val="auto"/>
        </w:rPr>
        <w:t xml:space="preserve"> and name certain officers and directors of the Company as defendants. The defendants are alleged to have violated Section 10(b) of the Exchange Act and SEC Rule 10b-5 and breached fiduciary duties. The plaintiffs seek to maintain the derivative actions on behalf of the Company, an award of unspecified compensatory damages, an order directing the Company to reform its corporate governance and internal procedures, restitutionary relief, an award of interest and expenses, including attorneys’ fees and expert fees, and other and further relief as the court may deem just and proper. These derivative actions have been stayed pending further developments in </w:t>
      </w:r>
      <w:r>
        <w:rPr>
          <w:rFonts w:ascii="Arial" w:cs="Arial" w:eastAsia="Arial" w:hAnsi="Arial"/>
          <w:sz w:val="17"/>
          <w:szCs w:val="17"/>
          <w:i w:val="1"/>
          <w:iCs w:val="1"/>
          <w:color w:val="auto"/>
        </w:rPr>
        <w:t>In re Opendoor</w:t>
      </w:r>
      <w:r>
        <w:rPr>
          <w:rFonts w:ascii="Arial" w:cs="Arial" w:eastAsia="Arial" w:hAnsi="Arial"/>
          <w:sz w:val="17"/>
          <w:szCs w:val="17"/>
          <w:color w:val="auto"/>
        </w:rPr>
        <w:t xml:space="preserve"> </w:t>
      </w:r>
      <w:r>
        <w:rPr>
          <w:rFonts w:ascii="Arial" w:cs="Arial" w:eastAsia="Arial" w:hAnsi="Arial"/>
          <w:sz w:val="17"/>
          <w:szCs w:val="17"/>
          <w:i w:val="1"/>
          <w:iCs w:val="1"/>
          <w:color w:val="auto"/>
        </w:rPr>
        <w:t>Technologies Inc. Securities Litigation</w:t>
      </w:r>
      <w:r>
        <w:rPr>
          <w:rFonts w:ascii="Arial" w:cs="Arial" w:eastAsia="Arial" w:hAnsi="Arial"/>
          <w:sz w:val="17"/>
          <w:szCs w:val="17"/>
          <w:color w:val="auto"/>
        </w:rPr>
        <w:t>.</w:t>
      </w:r>
    </w:p>
    <w:p>
      <w:pPr>
        <w:spacing w:after="0" w:line="186"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 xml:space="preserve">On October 13, 2023, a shareholder derivative lawsuit was filed in the United States District Court for the District of Delaware, captioned </w:t>
      </w:r>
      <w:r>
        <w:rPr>
          <w:rFonts w:ascii="Arial" w:cs="Arial" w:eastAsia="Arial" w:hAnsi="Arial"/>
          <w:sz w:val="16"/>
          <w:szCs w:val="16"/>
          <w:i w:val="1"/>
          <w:iCs w:val="1"/>
          <w:color w:val="auto"/>
        </w:rPr>
        <w:t>Woods, et</w:t>
      </w:r>
      <w:r>
        <w:rPr>
          <w:rFonts w:ascii="Arial" w:cs="Arial" w:eastAsia="Arial" w:hAnsi="Arial"/>
          <w:sz w:val="16"/>
          <w:szCs w:val="16"/>
          <w:color w:val="auto"/>
        </w:rPr>
        <w:t xml:space="preserve"> </w:t>
      </w:r>
      <w:r>
        <w:rPr>
          <w:rFonts w:ascii="Arial" w:cs="Arial" w:eastAsia="Arial" w:hAnsi="Arial"/>
          <w:sz w:val="16"/>
          <w:szCs w:val="16"/>
          <w:i w:val="1"/>
          <w:iCs w:val="1"/>
          <w:color w:val="auto"/>
        </w:rPr>
        <w:t>al. v. Bain, et al</w:t>
      </w:r>
      <w:r>
        <w:rPr>
          <w:rFonts w:ascii="Arial" w:cs="Arial" w:eastAsia="Arial" w:hAnsi="Arial"/>
          <w:sz w:val="16"/>
          <w:szCs w:val="16"/>
          <w:color w:val="auto"/>
        </w:rPr>
        <w:t>. (Case No. 1:23-cv-01158-UNA). The complaint is based on facts and circumstances related to</w:t>
      </w:r>
      <w:r>
        <w:rPr>
          <w:rFonts w:ascii="Arial" w:cs="Arial" w:eastAsia="Arial" w:hAnsi="Arial"/>
          <w:sz w:val="16"/>
          <w:szCs w:val="16"/>
          <w:i w:val="1"/>
          <w:iCs w:val="1"/>
          <w:color w:val="auto"/>
        </w:rPr>
        <w:t xml:space="preserve"> In re Opendoor Technologies Inc. Securities Litigation</w:t>
      </w:r>
      <w:r>
        <w:rPr>
          <w:rFonts w:ascii="Arial" w:cs="Arial" w:eastAsia="Arial" w:hAnsi="Arial"/>
          <w:sz w:val="16"/>
          <w:szCs w:val="16"/>
          <w:color w:val="auto"/>
        </w:rPr>
        <w:t>. The plaintiffs have brought claims against certain current and former directors and officers of the Company for breaches of fiduciary duty,</w:t>
      </w:r>
      <w:r>
        <w:rPr>
          <w:rFonts w:ascii="Arial" w:cs="Arial" w:eastAsia="Arial" w:hAnsi="Arial"/>
          <w:sz w:val="16"/>
          <w:szCs w:val="16"/>
          <w:i w:val="1"/>
          <w:iCs w:val="1"/>
          <w:color w:val="auto"/>
        </w:rPr>
        <w:t xml:space="preserve"> </w:t>
      </w:r>
      <w:r>
        <w:rPr>
          <w:rFonts w:ascii="Arial" w:cs="Arial" w:eastAsia="Arial" w:hAnsi="Arial"/>
          <w:sz w:val="16"/>
          <w:szCs w:val="16"/>
          <w:color w:val="auto"/>
        </w:rPr>
        <w:t>contribution under Sections 10(b) and 21D of the Exchange Act, and violations of Section 14(a) of the Exchange Act and SEC Rule 14a-9 promulgated thereunder. The plaintiffs seek to maintain the derivative action on behalf of the Company, an award of unspecified compensatory damages, an order directing one of the defendants to disgorge monies allegedly obtained from certain personal sales of Company stock, equitable relief, an award of interest and expenses, including attorneys’ fees and expert fees, and other and further relief as the court may deem just and proper.</w:t>
      </w:r>
    </w:p>
    <w:p>
      <w:pPr>
        <w:spacing w:after="0" w:line="166"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 xml:space="preserve">On October 18, 2023, a shareholder derivative lawsuit was filed in the United States District Court for the District of Arizona, captioned </w:t>
      </w:r>
      <w:r>
        <w:rPr>
          <w:rFonts w:ascii="Arial" w:cs="Arial" w:eastAsia="Arial" w:hAnsi="Arial"/>
          <w:sz w:val="18"/>
          <w:szCs w:val="18"/>
          <w:i w:val="1"/>
          <w:iCs w:val="1"/>
          <w:color w:val="auto"/>
        </w:rPr>
        <w:t>Gera v.</w:t>
      </w:r>
      <w:r>
        <w:rPr>
          <w:rFonts w:ascii="Arial" w:cs="Arial" w:eastAsia="Arial" w:hAnsi="Arial"/>
          <w:sz w:val="18"/>
          <w:szCs w:val="18"/>
          <w:color w:val="auto"/>
        </w:rPr>
        <w:t xml:space="preserve"> </w:t>
      </w:r>
      <w:r>
        <w:rPr>
          <w:rFonts w:ascii="Arial" w:cs="Arial" w:eastAsia="Arial" w:hAnsi="Arial"/>
          <w:sz w:val="18"/>
          <w:szCs w:val="18"/>
          <w:i w:val="1"/>
          <w:iCs w:val="1"/>
          <w:color w:val="auto"/>
        </w:rPr>
        <w:t>Palihapitiya, et al</w:t>
      </w:r>
      <w:r>
        <w:rPr>
          <w:rFonts w:ascii="Arial" w:cs="Arial" w:eastAsia="Arial" w:hAnsi="Arial"/>
          <w:sz w:val="18"/>
          <w:szCs w:val="18"/>
          <w:color w:val="auto"/>
        </w:rPr>
        <w:t>. (Case No. 2:23-cv-02164-SMB). The complaint is based on facts and circumstances related to</w:t>
      </w:r>
      <w:r>
        <w:rPr>
          <w:rFonts w:ascii="Arial" w:cs="Arial" w:eastAsia="Arial" w:hAnsi="Arial"/>
          <w:sz w:val="18"/>
          <w:szCs w:val="18"/>
          <w:i w:val="1"/>
          <w:iCs w:val="1"/>
          <w:color w:val="auto"/>
        </w:rPr>
        <w:t xml:space="preserve"> In re Opendoor Technologies Inc. Securities Litigation</w:t>
      </w:r>
      <w:r>
        <w:rPr>
          <w:rFonts w:ascii="Arial" w:cs="Arial" w:eastAsia="Arial" w:hAnsi="Arial"/>
          <w:sz w:val="18"/>
          <w:szCs w:val="18"/>
          <w:color w:val="auto"/>
        </w:rPr>
        <w:t>, and names as defendants certain current and former officers and directors of the Company and SCH Sponsor II LLC. The complaint</w:t>
      </w:r>
      <w:r>
        <w:rPr>
          <w:rFonts w:ascii="Arial" w:cs="Arial" w:eastAsia="Arial" w:hAnsi="Arial"/>
          <w:sz w:val="18"/>
          <w:szCs w:val="18"/>
          <w:i w:val="1"/>
          <w:iCs w:val="1"/>
          <w:color w:val="auto"/>
        </w:rPr>
        <w:t xml:space="preserve"> </w:t>
      </w:r>
      <w:r>
        <w:rPr>
          <w:rFonts w:ascii="Arial" w:cs="Arial" w:eastAsia="Arial" w:hAnsi="Arial"/>
          <w:sz w:val="18"/>
          <w:szCs w:val="18"/>
          <w:color w:val="auto"/>
        </w:rPr>
        <w:t>alleges that the defendants violated Section 14(a) of the Exchange Act and SEC Rule 14a-9 promulgated thereunder. The plaintiff seeks to maintain the derivative action on behalf of the Company, an award of unspecified compensatory damages, an order directing the Company to reform certain corporate governance and internal procedures, restitution, an award of cost and expenses, including attorneys’ fees and expert fees, and other and further relief as the court may deem just and proper.</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60" w:firstLine="405"/>
        <w:spacing w:after="0" w:line="301" w:lineRule="auto"/>
        <w:rPr>
          <w:sz w:val="20"/>
          <w:szCs w:val="20"/>
          <w:color w:val="auto"/>
        </w:rPr>
      </w:pPr>
      <w:r>
        <w:rPr>
          <w:rFonts w:ascii="Arial" w:cs="Arial" w:eastAsia="Arial" w:hAnsi="Arial"/>
          <w:sz w:val="16"/>
          <w:szCs w:val="16"/>
          <w:color w:val="auto"/>
        </w:rPr>
        <w:t>In addition to the foregoing, we are currently and have in the past been subject to legal proceedings and regulatory actions in the ordinary course of business. We do not anticipate that the ultimate liability, if any, arising out of any such matters will have a material effect on our financial condition, results of operations or cash flows. In the future, we may be subject to further legal proceedings and regulatory actions in the ordinary course of business and we cannot predict whether any such proceeding or matter will have a material effect on our financial condition, results of operations or cash flows.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In the course of conducting our business operations, we are exposed to a variety of risks. You should carefully consider the risks described below, the risks described in “Part I – Item 1A. Risk Factors,” in our Annual Report on Form 10-K, as well as the other information in this Quarterly Report on Form 10-Q, including our financial statements and related notes and “Item 2. Management’s Discussion and Analysis of Financial Condition and Result of Operations,” before deciding whether to invest in our common stock. Any of the risk factors we described in “Part I – Item 1A. Risk Factors,” in our Annual Report or in subsequent periodic reports, have affected or could materially and adversely affect our business, financial condition, results of operations, and prospects. The market price of shares of our common stock could decline, possibly significantly or permanently, if one or more of these risks and uncertainties occurs. Certain statements in “Risk Factors” are forward-looking statements. See “Forward-Looking Statements.”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have been no material changes to the Company’s risk factors since the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Trading Arrangements of Directors and Executive 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Rule 10b5-1 Trading Plans</w:t>
      </w:r>
    </w:p>
    <w:p>
      <w:pPr>
        <w:spacing w:after="0" w:line="225" w:lineRule="exact"/>
        <w:rPr>
          <w:sz w:val="20"/>
          <w:szCs w:val="20"/>
          <w:color w:val="auto"/>
        </w:rPr>
      </w:pPr>
    </w:p>
    <w:p>
      <w:pPr>
        <w:ind w:right="340" w:firstLine="405"/>
        <w:spacing w:after="0" w:line="263" w:lineRule="auto"/>
        <w:rPr>
          <w:sz w:val="20"/>
          <w:szCs w:val="20"/>
          <w:color w:val="auto"/>
        </w:rPr>
      </w:pPr>
      <w:r>
        <w:rPr>
          <w:rFonts w:ascii="Arial" w:cs="Arial" w:eastAsia="Arial" w:hAnsi="Arial"/>
          <w:sz w:val="18"/>
          <w:szCs w:val="18"/>
          <w:color w:val="auto"/>
        </w:rPr>
        <w:t>The following table describes contracts, instructions or written plans for the sale or purchase of our securities that was intended to satisfy the affirmative defense conditions of Rule 10b5-1(c) or any “non-Rule 10b5-1 trading arrangement” by our directors or executive officers during the three-month period ended September 30, 2023.</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4"/>
          </w:tcPr>
          <w:p>
            <w:pPr>
              <w:ind w:left="340"/>
              <w:spacing w:after="0"/>
              <w:rPr>
                <w:sz w:val="20"/>
                <w:szCs w:val="20"/>
                <w:color w:val="auto"/>
              </w:rPr>
            </w:pPr>
            <w:r>
              <w:rPr>
                <w:rFonts w:ascii="Arial" w:cs="Arial" w:eastAsia="Arial" w:hAnsi="Arial"/>
                <w:sz w:val="14"/>
                <w:szCs w:val="14"/>
                <w:b w:val="1"/>
                <w:bCs w:val="1"/>
                <w:color w:val="auto"/>
              </w:rPr>
              <w:t>Trading Arrangement</w:t>
            </w:r>
          </w:p>
        </w:tc>
        <w:tc>
          <w:tcPr>
            <w:tcW w:w="1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7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Maximum Shares to</w:t>
            </w: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3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ind w:left="180"/>
              <w:spacing w:after="0" w:line="160" w:lineRule="exact"/>
              <w:rPr>
                <w:sz w:val="20"/>
                <w:szCs w:val="20"/>
                <w:color w:val="auto"/>
              </w:rPr>
            </w:pPr>
            <w:r>
              <w:rPr>
                <w:rFonts w:ascii="Arial" w:cs="Arial" w:eastAsia="Arial" w:hAnsi="Arial"/>
                <w:sz w:val="14"/>
                <w:szCs w:val="14"/>
                <w:b w:val="1"/>
                <w:bCs w:val="1"/>
                <w:color w:val="auto"/>
              </w:rPr>
              <w:t>Non-Rule</w:t>
            </w:r>
          </w:p>
        </w:tc>
        <w:tc>
          <w:tcPr>
            <w:tcW w:w="180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378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Action</w:t>
            </w:r>
          </w:p>
        </w:tc>
        <w:tc>
          <w:tcPr>
            <w:tcW w:w="10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Date</w:t>
            </w: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 xml:space="preserve">Rule 10b5-1 </w:t>
            </w:r>
            <w:r>
              <w:rPr>
                <w:rFonts w:ascii="Arial" w:cs="Arial" w:eastAsia="Arial" w:hAnsi="Arial"/>
                <w:sz w:val="18"/>
                <w:szCs w:val="18"/>
                <w:b w:val="1"/>
                <w:bCs w:val="1"/>
                <w:color w:val="auto"/>
                <w:w w:val="90"/>
                <w:vertAlign w:val="superscript"/>
              </w:rPr>
              <w:t>(1)</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 xml:space="preserve">10b5-1 </w:t>
            </w:r>
            <w:r>
              <w:rPr>
                <w:rFonts w:ascii="Arial" w:cs="Arial" w:eastAsia="Arial" w:hAnsi="Arial"/>
                <w:sz w:val="9"/>
                <w:szCs w:val="9"/>
                <w:b w:val="1"/>
                <w:bCs w:val="1"/>
                <w:color w:val="auto"/>
              </w:rPr>
              <w:t>(2)</w:t>
            </w:r>
          </w:p>
        </w:tc>
        <w:tc>
          <w:tcPr>
            <w:tcW w:w="8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be Sold</w:t>
            </w:r>
          </w:p>
        </w:tc>
        <w:tc>
          <w:tcPr>
            <w:tcW w:w="4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Expiration Date</w:t>
            </w:r>
          </w:p>
        </w:tc>
        <w:tc>
          <w:tcPr>
            <w:tcW w:w="0" w:type="dxa"/>
            <w:vAlign w:val="bottom"/>
          </w:tcPr>
          <w:p>
            <w:pPr>
              <w:spacing w:after="0"/>
              <w:rPr>
                <w:sz w:val="1"/>
                <w:szCs w:val="1"/>
                <w:color w:val="auto"/>
              </w:rPr>
            </w:pPr>
          </w:p>
        </w:tc>
      </w:tr>
      <w:tr>
        <w:trPr>
          <w:trHeight w:val="236"/>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Sydney Schaub (Chief Legal Officer)</w:t>
            </w:r>
          </w:p>
        </w:tc>
        <w:tc>
          <w:tcPr>
            <w:tcW w:w="11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8"/>
              </w:rPr>
              <w:t>Adopt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8/11/2023</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X</w:t>
            </w: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260"/>
              <w:spacing w:after="0" w:line="237" w:lineRule="exact"/>
              <w:rPr>
                <w:sz w:val="20"/>
                <w:szCs w:val="20"/>
                <w:color w:val="auto"/>
              </w:rPr>
            </w:pPr>
            <w:r>
              <w:rPr>
                <w:rFonts w:ascii="Arial" w:cs="Arial" w:eastAsia="Arial" w:hAnsi="Arial"/>
                <w:sz w:val="16"/>
                <w:szCs w:val="16"/>
                <w:color w:val="auto"/>
              </w:rPr>
              <w:t xml:space="preserve">1,041,363 </w:t>
            </w:r>
            <w:r>
              <w:rPr>
                <w:rFonts w:ascii="Arial" w:cs="Arial" w:eastAsia="Arial" w:hAnsi="Arial"/>
                <w:sz w:val="21"/>
                <w:szCs w:val="21"/>
                <w:color w:val="auto"/>
                <w:vertAlign w:val="superscript"/>
              </w:rPr>
              <w:t>(3)</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11/15/2024</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w:t>
      </w:r>
    </w:p>
    <w:p>
      <w:pPr>
        <w:spacing w:after="0" w:line="72"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Intended to satisfy the affirmative defense of Rule 10b5-1(c)</w:t>
      </w:r>
    </w:p>
    <w:p>
      <w:pPr>
        <w:spacing w:after="0" w:line="82" w:lineRule="exact"/>
        <w:rPr>
          <w:rFonts w:ascii="Arial" w:cs="Arial" w:eastAsia="Arial" w:hAnsi="Arial"/>
          <w:sz w:val="23"/>
          <w:szCs w:val="23"/>
          <w:color w:val="auto"/>
          <w:vertAlign w:val="superscript"/>
        </w:rPr>
      </w:pPr>
    </w:p>
    <w:p>
      <w:pPr>
        <w:ind w:left="320" w:hanging="312"/>
        <w:spacing w:after="0" w:line="219" w:lineRule="auto"/>
        <w:tabs>
          <w:tab w:leader="none" w:pos="32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Not intended to satisfy the affirmative defense of Rule 10b5-1(c)</w:t>
      </w:r>
    </w:p>
    <w:p>
      <w:pPr>
        <w:spacing w:after="0" w:line="94" w:lineRule="exact"/>
        <w:rPr>
          <w:rFonts w:ascii="Arial" w:cs="Arial" w:eastAsia="Arial" w:hAnsi="Arial"/>
          <w:sz w:val="23"/>
          <w:szCs w:val="23"/>
          <w:color w:val="auto"/>
          <w:vertAlign w:val="superscript"/>
        </w:rPr>
      </w:pPr>
    </w:p>
    <w:p>
      <w:pPr>
        <w:ind w:left="340" w:hanging="332"/>
        <w:spacing w:after="0"/>
        <w:tabs>
          <w:tab w:leader="none" w:pos="328"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This number includes up to 1,041,363 shares of common stock subject to RSUs previously granted to Ms. Schaub (the “RSU Shares”) that vest at various dates between September 15, 2023 and September 15, 2024. The aggregate number of RSU Shares that will be available for sale under the Plan is not yet determinable because the shares available will be net of shares sold to satisfy tax withholding obligations that arise in connection with the vesting and settlement of such RSU awards. As such, for purposes of this disclosure, the shares included in this table reflect the aggregate maximum number of</w:t>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46"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shares underlying Ms. Schaub’s RSUs without excluding the shares that will be sold to satisfy the tax withholding obligations.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list of exhibits filed as part of this Quarterly Report on Form 10-Q.</w:t>
      </w:r>
    </w:p>
    <w:p>
      <w:pPr>
        <w:spacing w:after="0" w:line="51" w:lineRule="exact"/>
        <w:rPr>
          <w:sz w:val="20"/>
          <w:szCs w:val="20"/>
          <w:color w:val="auto"/>
        </w:rPr>
      </w:pPr>
    </w:p>
    <w:p>
      <w:pPr>
        <w:ind w:left="20"/>
        <w:spacing w:after="0"/>
        <w:tabs>
          <w:tab w:leader="none" w:pos="1040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29"/>
          <w:szCs w:val="29"/>
          <w:b w:val="1"/>
          <w:bCs w:val="1"/>
          <w:color w:val="auto"/>
          <w:vertAlign w:val="subscript"/>
        </w:rPr>
        <w:t>Filed</w:t>
      </w:r>
    </w:p>
    <w:p>
      <w:pPr>
        <w:spacing w:after="0" w:line="45" w:lineRule="exact"/>
        <w:rPr>
          <w:sz w:val="20"/>
          <w:szCs w:val="20"/>
          <w:color w:val="auto"/>
        </w:rPr>
      </w:pPr>
    </w:p>
    <w:p>
      <w:pPr>
        <w:ind w:left="20"/>
        <w:spacing w:after="0"/>
        <w:tabs>
          <w:tab w:leader="none" w:pos="1300" w:val="left"/>
          <w:tab w:leader="none" w:pos="6520" w:val="left"/>
          <w:tab w:leader="none" w:pos="7300" w:val="left"/>
          <w:tab w:leader="none" w:pos="8560" w:val="left"/>
          <w:tab w:leader="none" w:pos="9220" w:val="left"/>
          <w:tab w:leader="none" w:pos="104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4"/>
          <w:szCs w:val="14"/>
          <w:b w:val="1"/>
          <w:bCs w:val="1"/>
          <w:color w:val="auto"/>
        </w:rPr>
        <w:t>Form</w:t>
      </w:r>
      <w:r>
        <w:rPr>
          <w:sz w:val="20"/>
          <w:szCs w:val="20"/>
          <w:color w:val="auto"/>
        </w:rPr>
        <w:tab/>
      </w:r>
      <w:r>
        <w:rPr>
          <w:rFonts w:ascii="Arial" w:cs="Arial" w:eastAsia="Arial" w:hAnsi="Arial"/>
          <w:sz w:val="14"/>
          <w:szCs w:val="14"/>
          <w:b w:val="1"/>
          <w:bCs w:val="1"/>
          <w:color w:val="auto"/>
        </w:rPr>
        <w:t>File No.</w:t>
      </w:r>
      <w:r>
        <w:rPr>
          <w:sz w:val="20"/>
          <w:szCs w:val="20"/>
          <w:color w:val="auto"/>
        </w:rPr>
        <w:tab/>
      </w:r>
      <w:r>
        <w:rPr>
          <w:rFonts w:ascii="Arial" w:cs="Arial" w:eastAsia="Arial" w:hAnsi="Arial"/>
          <w:sz w:val="14"/>
          <w:szCs w:val="14"/>
          <w:b w:val="1"/>
          <w:bCs w:val="1"/>
          <w:color w:val="auto"/>
        </w:rPr>
        <w:t>Exhibit</w:t>
        <w:tab/>
        <w:t>Filing Date</w:t>
      </w:r>
      <w:r>
        <w:rPr>
          <w:sz w:val="20"/>
          <w:szCs w:val="20"/>
          <w:color w:val="auto"/>
        </w:rPr>
        <w:tab/>
      </w:r>
      <w:r>
        <w:rPr>
          <w:rFonts w:ascii="Arial" w:cs="Arial" w:eastAsia="Arial" w:hAnsi="Arial"/>
          <w:sz w:val="13"/>
          <w:szCs w:val="13"/>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00"/>
          </w:cols>
          <w:pgMar w:left="320" w:top="139" w:right="579" w:bottom="1440" w:gutter="0" w:footer="0" w:header="0"/>
        </w:sectPr>
      </w:pPr>
    </w:p>
    <w:tbl>
      <w:tblPr>
        <w:tblLayout w:type="fixed"/>
        <w:tblInd w:w="600" w:type="dxa"/>
        <w:tblCellMar>
          <w:top w:w="0" w:type="dxa"/>
          <w:left w:w="0" w:type="dxa"/>
          <w:bottom w:w="0" w:type="dxa"/>
          <w:right w:w="0" w:type="dxa"/>
        </w:tblCellMar>
      </w:tblPr>
      <w:tr>
        <w:trPr>
          <w:trHeight w:val="310"/>
        </w:trPr>
        <w:tc>
          <w:tcPr>
            <w:tcW w:w="340" w:type="dxa"/>
            <w:vAlign w:val="bottom"/>
          </w:tcPr>
          <w:p>
            <w:pPr>
              <w:jc w:val="right"/>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24"/>
                <w:szCs w:val="24"/>
                <w:color w:val="auto"/>
              </w:rPr>
            </w:pPr>
          </w:p>
        </w:tc>
        <w:tc>
          <w:tcPr>
            <w:tcW w:w="5820" w:type="dxa"/>
            <w:vAlign w:val="bottom"/>
            <w:gridSpan w:val="13"/>
          </w:tcPr>
          <w:p>
            <w:pPr>
              <w:spacing w:after="0" w:line="309" w:lineRule="exact"/>
              <w:rPr>
                <w:rFonts w:ascii="Arial" w:cs="Arial" w:eastAsia="Arial" w:hAnsi="Arial"/>
                <w:sz w:val="18"/>
                <w:szCs w:val="18"/>
                <w:color w:val="0000FF"/>
                <w:w w:val="93"/>
              </w:rPr>
            </w:pPr>
            <w:hyperlink r:id="rId83">
              <w:r>
                <w:rPr>
                  <w:rFonts w:ascii="Arial" w:cs="Arial" w:eastAsia="Arial" w:hAnsi="Arial"/>
                  <w:sz w:val="18"/>
                  <w:szCs w:val="18"/>
                  <w:color w:val="0000FF"/>
                  <w:w w:val="93"/>
                </w:rPr>
                <w:t xml:space="preserve">Agreement and Plan of Merger, dated as of September 15, 2020, by and </w:t>
              </w:r>
            </w:hyperlink>
            <w:r>
              <w:rPr>
                <w:rFonts w:ascii="Arial" w:cs="Arial" w:eastAsia="Arial" w:hAnsi="Arial"/>
                <w:sz w:val="35"/>
                <w:szCs w:val="35"/>
                <w:color w:val="000000"/>
                <w:w w:val="93"/>
                <w:vertAlign w:val="superscript"/>
              </w:rPr>
              <w:t>8-K</w:t>
            </w:r>
          </w:p>
        </w:tc>
        <w:tc>
          <w:tcPr>
            <w:tcW w:w="1240" w:type="dxa"/>
            <w:vAlign w:val="bottom"/>
          </w:tcPr>
          <w:p>
            <w:pPr>
              <w:ind w:left="180"/>
              <w:spacing w:after="0"/>
              <w:rPr>
                <w:sz w:val="20"/>
                <w:szCs w:val="20"/>
                <w:color w:val="auto"/>
              </w:rPr>
            </w:pPr>
            <w:r>
              <w:rPr>
                <w:rFonts w:ascii="Arial" w:cs="Arial" w:eastAsia="Arial" w:hAnsi="Arial"/>
                <w:sz w:val="18"/>
                <w:szCs w:val="18"/>
                <w:color w:val="auto"/>
              </w:rPr>
              <w:t>001-39253</w:t>
            </w:r>
          </w:p>
        </w:tc>
        <w:tc>
          <w:tcPr>
            <w:tcW w:w="680" w:type="dxa"/>
            <w:vAlign w:val="bottom"/>
          </w:tcPr>
          <w:p>
            <w:pPr>
              <w:ind w:left="200"/>
              <w:spacing w:after="0"/>
              <w:rPr>
                <w:sz w:val="20"/>
                <w:szCs w:val="20"/>
                <w:color w:val="auto"/>
              </w:rPr>
            </w:pPr>
            <w:r>
              <w:rPr>
                <w:rFonts w:ascii="Arial" w:cs="Arial" w:eastAsia="Arial" w:hAnsi="Arial"/>
                <w:sz w:val="18"/>
                <w:szCs w:val="18"/>
                <w:color w:val="auto"/>
              </w:rPr>
              <w:t>2.1</w:t>
            </w:r>
          </w:p>
        </w:tc>
        <w:tc>
          <w:tcPr>
            <w:tcW w:w="1000" w:type="dxa"/>
            <w:vAlign w:val="bottom"/>
          </w:tcPr>
          <w:p>
            <w:pPr>
              <w:jc w:val="right"/>
              <w:spacing w:after="0"/>
              <w:rPr>
                <w:sz w:val="20"/>
                <w:szCs w:val="20"/>
                <w:color w:val="auto"/>
              </w:rPr>
            </w:pPr>
            <w:r>
              <w:rPr>
                <w:rFonts w:ascii="Arial" w:cs="Arial" w:eastAsia="Arial" w:hAnsi="Arial"/>
                <w:sz w:val="18"/>
                <w:szCs w:val="18"/>
                <w:color w:val="auto"/>
              </w:rPr>
              <w:t>09/17/2020</w:t>
            </w:r>
          </w:p>
        </w:tc>
        <w:tc>
          <w:tcPr>
            <w:tcW w:w="0" w:type="dxa"/>
            <w:vAlign w:val="bottom"/>
          </w:tcPr>
          <w:p>
            <w:pPr>
              <w:spacing w:after="0"/>
              <w:rPr>
                <w:sz w:val="1"/>
                <w:szCs w:val="1"/>
                <w:color w:val="auto"/>
              </w:rPr>
            </w:pPr>
          </w:p>
        </w:tc>
      </w:tr>
      <w:tr>
        <w:trPr>
          <w:trHeight w:val="236"/>
        </w:trPr>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160" w:type="dxa"/>
            <w:vAlign w:val="bottom"/>
            <w:tcBorders>
              <w:top w:val="single" w:sz="8" w:color="0000FF"/>
            </w:tcBorders>
            <w:gridSpan w:val="12"/>
          </w:tcPr>
          <w:p>
            <w:pPr>
              <w:spacing w:after="0"/>
              <w:rPr>
                <w:rFonts w:ascii="Arial" w:cs="Arial" w:eastAsia="Arial" w:hAnsi="Arial"/>
                <w:sz w:val="18"/>
                <w:szCs w:val="18"/>
                <w:color w:val="0000FF"/>
                <w:w w:val="91"/>
              </w:rPr>
            </w:pPr>
            <w:hyperlink r:id="rId83">
              <w:r>
                <w:rPr>
                  <w:rFonts w:ascii="Arial" w:cs="Arial" w:eastAsia="Arial" w:hAnsi="Arial"/>
                  <w:sz w:val="18"/>
                  <w:szCs w:val="18"/>
                  <w:color w:val="0000FF"/>
                  <w:w w:val="91"/>
                </w:rPr>
                <w:t>among Social Capital Hedosophia Corp. II, Hestia Merger Sub Inc. and</w:t>
              </w:r>
            </w:hyperlink>
          </w:p>
        </w:tc>
        <w:tc>
          <w:tcPr>
            <w:tcW w:w="6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Borders>
              <w:top w:val="single" w:sz="8" w:color="0000FF"/>
              <w:bottom w:val="single" w:sz="8" w:color="0000FF"/>
            </w:tcBorders>
          </w:tcPr>
          <w:p>
            <w:pPr>
              <w:spacing w:after="0"/>
              <w:rPr>
                <w:rFonts w:ascii="Arial" w:cs="Arial" w:eastAsia="Arial" w:hAnsi="Arial"/>
                <w:sz w:val="18"/>
                <w:szCs w:val="18"/>
                <w:color w:val="0000FF"/>
                <w:w w:val="89"/>
              </w:rPr>
            </w:pPr>
            <w:hyperlink r:id="rId83">
              <w:r>
                <w:rPr>
                  <w:rFonts w:ascii="Arial" w:cs="Arial" w:eastAsia="Arial" w:hAnsi="Arial"/>
                  <w:sz w:val="18"/>
                  <w:szCs w:val="18"/>
                  <w:color w:val="0000FF"/>
                  <w:w w:val="89"/>
                </w:rPr>
                <w:t>Opendoor Labs Inc.</w:t>
              </w:r>
            </w:hyperlink>
          </w:p>
        </w:tc>
        <w:tc>
          <w:tcPr>
            <w:tcW w:w="3700" w:type="dxa"/>
            <w:vAlign w:val="bottom"/>
            <w:tcBorders>
              <w:top w:val="single" w:sz="8" w:color="0000FF"/>
            </w:tcBorders>
            <w:gridSpan w:val="10"/>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340" w:type="dxa"/>
            <w:vAlign w:val="bottom"/>
          </w:tcPr>
          <w:p>
            <w:pPr>
              <w:jc w:val="right"/>
              <w:spacing w:after="0"/>
              <w:rPr>
                <w:sz w:val="20"/>
                <w:szCs w:val="20"/>
                <w:color w:val="auto"/>
              </w:rPr>
            </w:pPr>
            <w:r>
              <w:rPr>
                <w:rFonts w:ascii="Arial" w:cs="Arial" w:eastAsia="Arial" w:hAnsi="Arial"/>
                <w:sz w:val="18"/>
                <w:szCs w:val="18"/>
                <w:color w:val="auto"/>
              </w:rPr>
              <w:t>3.1</w:t>
            </w:r>
          </w:p>
        </w:tc>
        <w:tc>
          <w:tcPr>
            <w:tcW w:w="380" w:type="dxa"/>
            <w:vAlign w:val="bottom"/>
          </w:tcPr>
          <w:p>
            <w:pPr>
              <w:spacing w:after="0"/>
              <w:rPr>
                <w:sz w:val="24"/>
                <w:szCs w:val="24"/>
                <w:color w:val="auto"/>
              </w:rPr>
            </w:pPr>
          </w:p>
        </w:tc>
        <w:tc>
          <w:tcPr>
            <w:tcW w:w="5160" w:type="dxa"/>
            <w:vAlign w:val="bottom"/>
            <w:gridSpan w:val="12"/>
          </w:tcPr>
          <w:p>
            <w:pPr>
              <w:spacing w:after="0"/>
              <w:rPr>
                <w:rFonts w:ascii="Arial" w:cs="Arial" w:eastAsia="Arial" w:hAnsi="Arial"/>
                <w:sz w:val="18"/>
                <w:szCs w:val="18"/>
                <w:color w:val="0000FF"/>
              </w:rPr>
            </w:pPr>
            <w:hyperlink r:id="rId84">
              <w:r>
                <w:rPr>
                  <w:rFonts w:ascii="Arial" w:cs="Arial" w:eastAsia="Arial" w:hAnsi="Arial"/>
                  <w:sz w:val="18"/>
                  <w:szCs w:val="18"/>
                  <w:color w:val="0000FF"/>
                </w:rPr>
                <w:t>Certificate of Incorporation of Opendoor Technologies Inc.</w:t>
              </w:r>
            </w:hyperlink>
          </w:p>
        </w:tc>
        <w:tc>
          <w:tcPr>
            <w:tcW w:w="660" w:type="dxa"/>
            <w:vAlign w:val="bottom"/>
          </w:tcPr>
          <w:p>
            <w:pPr>
              <w:ind w:left="60"/>
              <w:spacing w:after="0"/>
              <w:rPr>
                <w:sz w:val="20"/>
                <w:szCs w:val="20"/>
                <w:color w:val="auto"/>
              </w:rPr>
            </w:pPr>
            <w:r>
              <w:rPr>
                <w:rFonts w:ascii="Arial" w:cs="Arial" w:eastAsia="Arial" w:hAnsi="Arial"/>
                <w:sz w:val="18"/>
                <w:szCs w:val="18"/>
                <w:color w:val="auto"/>
              </w:rPr>
              <w:t>8-K</w:t>
            </w:r>
          </w:p>
        </w:tc>
        <w:tc>
          <w:tcPr>
            <w:tcW w:w="1240" w:type="dxa"/>
            <w:vAlign w:val="bottom"/>
          </w:tcPr>
          <w:p>
            <w:pPr>
              <w:ind w:left="180"/>
              <w:spacing w:after="0"/>
              <w:rPr>
                <w:sz w:val="20"/>
                <w:szCs w:val="20"/>
                <w:color w:val="auto"/>
              </w:rPr>
            </w:pPr>
            <w:r>
              <w:rPr>
                <w:rFonts w:ascii="Arial" w:cs="Arial" w:eastAsia="Arial" w:hAnsi="Arial"/>
                <w:sz w:val="18"/>
                <w:szCs w:val="18"/>
                <w:color w:val="auto"/>
              </w:rPr>
              <w:t>001-39253</w:t>
            </w:r>
          </w:p>
        </w:tc>
        <w:tc>
          <w:tcPr>
            <w:tcW w:w="680" w:type="dxa"/>
            <w:vAlign w:val="bottom"/>
          </w:tcPr>
          <w:p>
            <w:pPr>
              <w:ind w:left="200"/>
              <w:spacing w:after="0"/>
              <w:rPr>
                <w:sz w:val="20"/>
                <w:szCs w:val="20"/>
                <w:color w:val="auto"/>
              </w:rPr>
            </w:pPr>
            <w:r>
              <w:rPr>
                <w:rFonts w:ascii="Arial" w:cs="Arial" w:eastAsia="Arial" w:hAnsi="Arial"/>
                <w:sz w:val="18"/>
                <w:szCs w:val="18"/>
                <w:color w:val="auto"/>
              </w:rPr>
              <w:t>3.1</w:t>
            </w:r>
          </w:p>
        </w:tc>
        <w:tc>
          <w:tcPr>
            <w:tcW w:w="1000" w:type="dxa"/>
            <w:vAlign w:val="bottom"/>
          </w:tcPr>
          <w:p>
            <w:pPr>
              <w:jc w:val="right"/>
              <w:spacing w:after="0"/>
              <w:rPr>
                <w:sz w:val="20"/>
                <w:szCs w:val="20"/>
                <w:color w:val="auto"/>
              </w:rPr>
            </w:pPr>
            <w:r>
              <w:rPr>
                <w:rFonts w:ascii="Arial" w:cs="Arial" w:eastAsia="Arial" w:hAnsi="Arial"/>
                <w:sz w:val="18"/>
                <w:szCs w:val="18"/>
                <w:color w:val="auto"/>
              </w:rPr>
              <w:t>12/18/2020</w:t>
            </w:r>
          </w:p>
        </w:tc>
        <w:tc>
          <w:tcPr>
            <w:tcW w:w="0" w:type="dxa"/>
            <w:vAlign w:val="bottom"/>
          </w:tcPr>
          <w:p>
            <w:pPr>
              <w:spacing w:after="0"/>
              <w:rPr>
                <w:sz w:val="1"/>
                <w:szCs w:val="1"/>
                <w:color w:val="auto"/>
              </w:rPr>
            </w:pPr>
          </w:p>
        </w:tc>
      </w:tr>
      <w:tr>
        <w:trPr>
          <w:trHeight w:val="20"/>
        </w:trPr>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60" w:type="dxa"/>
            <w:vAlign w:val="bottom"/>
            <w:vMerge w:val="restart"/>
          </w:tcPr>
          <w:p>
            <w:pPr>
              <w:ind w:left="60"/>
              <w:spacing w:after="0"/>
              <w:rPr>
                <w:sz w:val="20"/>
                <w:szCs w:val="20"/>
                <w:color w:val="auto"/>
              </w:rPr>
            </w:pPr>
            <w:r>
              <w:rPr>
                <w:rFonts w:ascii="Arial" w:cs="Arial" w:eastAsia="Arial" w:hAnsi="Arial"/>
                <w:sz w:val="18"/>
                <w:szCs w:val="18"/>
                <w:color w:val="auto"/>
              </w:rPr>
              <w:t>8-K</w:t>
            </w:r>
          </w:p>
        </w:tc>
        <w:tc>
          <w:tcPr>
            <w:tcW w:w="1240" w:type="dxa"/>
            <w:vAlign w:val="bottom"/>
            <w:vMerge w:val="restart"/>
          </w:tcPr>
          <w:p>
            <w:pPr>
              <w:ind w:left="180"/>
              <w:spacing w:after="0"/>
              <w:rPr>
                <w:sz w:val="20"/>
                <w:szCs w:val="20"/>
                <w:color w:val="auto"/>
              </w:rPr>
            </w:pPr>
            <w:r>
              <w:rPr>
                <w:rFonts w:ascii="Arial" w:cs="Arial" w:eastAsia="Arial" w:hAnsi="Arial"/>
                <w:sz w:val="18"/>
                <w:szCs w:val="18"/>
                <w:color w:val="auto"/>
              </w:rPr>
              <w:t>001-39253</w:t>
            </w:r>
          </w:p>
        </w:tc>
        <w:tc>
          <w:tcPr>
            <w:tcW w:w="680" w:type="dxa"/>
            <w:vAlign w:val="bottom"/>
            <w:vMerge w:val="restart"/>
          </w:tcPr>
          <w:p>
            <w:pPr>
              <w:ind w:left="200"/>
              <w:spacing w:after="0"/>
              <w:rPr>
                <w:sz w:val="20"/>
                <w:szCs w:val="20"/>
                <w:color w:val="auto"/>
              </w:rPr>
            </w:pPr>
            <w:r>
              <w:rPr>
                <w:rFonts w:ascii="Arial" w:cs="Arial" w:eastAsia="Arial" w:hAnsi="Arial"/>
                <w:sz w:val="18"/>
                <w:szCs w:val="18"/>
                <w:color w:val="auto"/>
              </w:rPr>
              <w:t>3.1</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01/24/2023</w:t>
            </w:r>
          </w:p>
        </w:tc>
        <w:tc>
          <w:tcPr>
            <w:tcW w:w="0" w:type="dxa"/>
            <w:vAlign w:val="bottom"/>
          </w:tcPr>
          <w:p>
            <w:pPr>
              <w:spacing w:after="0" w:line="20" w:lineRule="exact"/>
              <w:rPr>
                <w:sz w:val="1"/>
                <w:szCs w:val="1"/>
                <w:color w:val="auto"/>
              </w:rPr>
            </w:pPr>
          </w:p>
        </w:tc>
      </w:tr>
      <w:tr>
        <w:trPr>
          <w:trHeight w:val="358"/>
        </w:trPr>
        <w:tc>
          <w:tcPr>
            <w:tcW w:w="3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4540" w:type="dxa"/>
            <w:vAlign w:val="bottom"/>
            <w:tcBorders>
              <w:bottom w:val="single" w:sz="8" w:color="0000FF"/>
            </w:tcBorders>
            <w:gridSpan w:val="7"/>
          </w:tcPr>
          <w:p>
            <w:pPr>
              <w:spacing w:after="0"/>
              <w:rPr>
                <w:rFonts w:ascii="Arial" w:cs="Arial" w:eastAsia="Arial" w:hAnsi="Arial"/>
                <w:sz w:val="18"/>
                <w:szCs w:val="18"/>
                <w:color w:val="0000FF"/>
                <w:w w:val="89"/>
              </w:rPr>
            </w:pPr>
            <w:hyperlink r:id="rId85">
              <w:r>
                <w:rPr>
                  <w:rFonts w:ascii="Arial" w:cs="Arial" w:eastAsia="Arial" w:hAnsi="Arial"/>
                  <w:sz w:val="18"/>
                  <w:szCs w:val="18"/>
                  <w:color w:val="0000FF"/>
                  <w:w w:val="89"/>
                </w:rPr>
                <w:t>Amended and Restated Bylaws of Opendoor Technologies Inc.</w:t>
              </w:r>
            </w:hyperlink>
          </w:p>
        </w:tc>
        <w:tc>
          <w:tcPr>
            <w:tcW w:w="620" w:type="dxa"/>
            <w:vAlign w:val="bottom"/>
            <w:gridSpan w:val="5"/>
          </w:tcPr>
          <w:p>
            <w:pPr>
              <w:spacing w:after="0"/>
              <w:rPr>
                <w:sz w:val="24"/>
                <w:szCs w:val="24"/>
                <w:color w:val="auto"/>
              </w:rPr>
            </w:pPr>
          </w:p>
        </w:tc>
        <w:tc>
          <w:tcPr>
            <w:tcW w:w="66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680" w:type="dxa"/>
            <w:vAlign w:val="bottom"/>
            <w:vMerge w:val="continue"/>
          </w:tcPr>
          <w:p>
            <w:pPr>
              <w:spacing w:after="0"/>
              <w:rPr>
                <w:sz w:val="24"/>
                <w:szCs w:val="24"/>
                <w:color w:val="auto"/>
              </w:rPr>
            </w:pPr>
          </w:p>
        </w:tc>
        <w:tc>
          <w:tcPr>
            <w:tcW w:w="1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40" w:type="dxa"/>
            <w:vAlign w:val="bottom"/>
          </w:tcPr>
          <w:p>
            <w:pPr>
              <w:jc w:val="right"/>
              <w:spacing w:after="0"/>
              <w:rPr>
                <w:sz w:val="20"/>
                <w:szCs w:val="20"/>
                <w:color w:val="auto"/>
              </w:rPr>
            </w:pPr>
            <w:r>
              <w:rPr>
                <w:rFonts w:ascii="Arial" w:cs="Arial" w:eastAsia="Arial" w:hAnsi="Arial"/>
                <w:sz w:val="18"/>
                <w:szCs w:val="18"/>
                <w:color w:val="auto"/>
              </w:rPr>
              <w:t>4.1</w:t>
            </w:r>
          </w:p>
        </w:tc>
        <w:tc>
          <w:tcPr>
            <w:tcW w:w="380" w:type="dxa"/>
            <w:vAlign w:val="bottom"/>
          </w:tcPr>
          <w:p>
            <w:pPr>
              <w:spacing w:after="0"/>
              <w:rPr>
                <w:sz w:val="24"/>
                <w:szCs w:val="24"/>
                <w:color w:val="auto"/>
              </w:rPr>
            </w:pPr>
          </w:p>
        </w:tc>
        <w:tc>
          <w:tcPr>
            <w:tcW w:w="5160" w:type="dxa"/>
            <w:vAlign w:val="bottom"/>
            <w:gridSpan w:val="12"/>
          </w:tcPr>
          <w:p>
            <w:pPr>
              <w:spacing w:after="0"/>
              <w:rPr>
                <w:rFonts w:ascii="Arial" w:cs="Arial" w:eastAsia="Arial" w:hAnsi="Arial"/>
                <w:sz w:val="18"/>
                <w:szCs w:val="18"/>
                <w:color w:val="0000FF"/>
                <w:w w:val="94"/>
              </w:rPr>
            </w:pPr>
            <w:hyperlink r:id="rId86">
              <w:r>
                <w:rPr>
                  <w:rFonts w:ascii="Arial" w:cs="Arial" w:eastAsia="Arial" w:hAnsi="Arial"/>
                  <w:sz w:val="18"/>
                  <w:szCs w:val="18"/>
                  <w:color w:val="0000FF"/>
                  <w:w w:val="94"/>
                </w:rPr>
                <w:t>Specimen Common Stock Certificate of Opendoor Technologies Inc.</w:t>
              </w:r>
            </w:hyperlink>
          </w:p>
        </w:tc>
        <w:tc>
          <w:tcPr>
            <w:tcW w:w="660" w:type="dxa"/>
            <w:vAlign w:val="bottom"/>
          </w:tcPr>
          <w:p>
            <w:pPr>
              <w:ind w:left="60"/>
              <w:spacing w:after="0"/>
              <w:rPr>
                <w:sz w:val="20"/>
                <w:szCs w:val="20"/>
                <w:color w:val="auto"/>
              </w:rPr>
            </w:pPr>
            <w:r>
              <w:rPr>
                <w:rFonts w:ascii="Arial" w:cs="Arial" w:eastAsia="Arial" w:hAnsi="Arial"/>
                <w:sz w:val="18"/>
                <w:szCs w:val="18"/>
                <w:color w:val="auto"/>
              </w:rPr>
              <w:t>S-4/A</w:t>
            </w:r>
          </w:p>
        </w:tc>
        <w:tc>
          <w:tcPr>
            <w:tcW w:w="1240" w:type="dxa"/>
            <w:vAlign w:val="bottom"/>
          </w:tcPr>
          <w:p>
            <w:pPr>
              <w:ind w:left="180"/>
              <w:spacing w:after="0"/>
              <w:rPr>
                <w:sz w:val="20"/>
                <w:szCs w:val="20"/>
                <w:color w:val="auto"/>
              </w:rPr>
            </w:pPr>
            <w:r>
              <w:rPr>
                <w:rFonts w:ascii="Arial" w:cs="Arial" w:eastAsia="Arial" w:hAnsi="Arial"/>
                <w:sz w:val="18"/>
                <w:szCs w:val="18"/>
                <w:color w:val="auto"/>
              </w:rPr>
              <w:t>333-249302</w:t>
            </w:r>
          </w:p>
        </w:tc>
        <w:tc>
          <w:tcPr>
            <w:tcW w:w="680" w:type="dxa"/>
            <w:vAlign w:val="bottom"/>
          </w:tcPr>
          <w:p>
            <w:pPr>
              <w:ind w:left="200"/>
              <w:spacing w:after="0"/>
              <w:rPr>
                <w:sz w:val="20"/>
                <w:szCs w:val="20"/>
                <w:color w:val="auto"/>
              </w:rPr>
            </w:pPr>
            <w:r>
              <w:rPr>
                <w:rFonts w:ascii="Arial" w:cs="Arial" w:eastAsia="Arial" w:hAnsi="Arial"/>
                <w:sz w:val="18"/>
                <w:szCs w:val="18"/>
                <w:color w:val="auto"/>
              </w:rPr>
              <w:t>4.5</w:t>
            </w:r>
          </w:p>
        </w:tc>
        <w:tc>
          <w:tcPr>
            <w:tcW w:w="1000" w:type="dxa"/>
            <w:vAlign w:val="bottom"/>
          </w:tcPr>
          <w:p>
            <w:pPr>
              <w:jc w:val="right"/>
              <w:spacing w:after="0"/>
              <w:rPr>
                <w:sz w:val="20"/>
                <w:szCs w:val="20"/>
                <w:color w:val="auto"/>
              </w:rPr>
            </w:pPr>
            <w:r>
              <w:rPr>
                <w:rFonts w:ascii="Arial" w:cs="Arial" w:eastAsia="Arial" w:hAnsi="Arial"/>
                <w:sz w:val="18"/>
                <w:szCs w:val="18"/>
                <w:color w:val="auto"/>
              </w:rPr>
              <w:t>11/06/2020</w:t>
            </w:r>
          </w:p>
        </w:tc>
        <w:tc>
          <w:tcPr>
            <w:tcW w:w="0" w:type="dxa"/>
            <w:vAlign w:val="bottom"/>
          </w:tcPr>
          <w:p>
            <w:pPr>
              <w:spacing w:after="0"/>
              <w:rPr>
                <w:sz w:val="1"/>
                <w:szCs w:val="1"/>
                <w:color w:val="auto"/>
              </w:rPr>
            </w:pPr>
          </w:p>
        </w:tc>
      </w:tr>
      <w:tr>
        <w:trPr>
          <w:trHeight w:val="304"/>
        </w:trPr>
        <w:tc>
          <w:tcPr>
            <w:tcW w:w="340" w:type="dxa"/>
            <w:vAlign w:val="bottom"/>
          </w:tcPr>
          <w:p>
            <w:pPr>
              <w:jc w:val="right"/>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24"/>
                <w:szCs w:val="24"/>
                <w:color w:val="auto"/>
              </w:rPr>
            </w:pPr>
          </w:p>
        </w:tc>
        <w:tc>
          <w:tcPr>
            <w:tcW w:w="438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89"/>
              </w:rPr>
            </w:pPr>
            <w:hyperlink r:id="rId87">
              <w:r>
                <w:rPr>
                  <w:rFonts w:ascii="Arial" w:cs="Arial" w:eastAsia="Arial" w:hAnsi="Arial"/>
                  <w:sz w:val="18"/>
                  <w:szCs w:val="18"/>
                  <w:color w:val="0000FF"/>
                  <w:w w:val="89"/>
                </w:rPr>
                <w:t>Warrant Agreement, dated July 28, 2022, between Opendoor</w:t>
              </w:r>
            </w:hyperlink>
          </w:p>
        </w:tc>
        <w:tc>
          <w:tcPr>
            <w:tcW w:w="580" w:type="dxa"/>
            <w:vAlign w:val="bottom"/>
            <w:tcBorders>
              <w:top w:val="single" w:sz="8" w:color="0000FF"/>
            </w:tcBorders>
            <w:gridSpan w:val="3"/>
          </w:tcPr>
          <w:p>
            <w:pPr>
              <w:spacing w:after="0"/>
              <w:rPr>
                <w:sz w:val="24"/>
                <w:szCs w:val="24"/>
                <w:color w:val="auto"/>
              </w:rPr>
            </w:pPr>
          </w:p>
        </w:tc>
        <w:tc>
          <w:tcPr>
            <w:tcW w:w="200" w:type="dxa"/>
            <w:vAlign w:val="bottom"/>
            <w:gridSpan w:val="3"/>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160" w:type="dxa"/>
            <w:vAlign w:val="bottom"/>
            <w:gridSpan w:val="12"/>
          </w:tcPr>
          <w:p>
            <w:pPr>
              <w:spacing w:after="0" w:line="196" w:lineRule="exact"/>
              <w:rPr>
                <w:rFonts w:ascii="Arial" w:cs="Arial" w:eastAsia="Arial" w:hAnsi="Arial"/>
                <w:sz w:val="18"/>
                <w:szCs w:val="18"/>
                <w:color w:val="0000FF"/>
              </w:rPr>
            </w:pPr>
            <w:hyperlink r:id="rId87">
              <w:r>
                <w:rPr>
                  <w:rFonts w:ascii="Arial" w:cs="Arial" w:eastAsia="Arial" w:hAnsi="Arial"/>
                  <w:sz w:val="18"/>
                  <w:szCs w:val="18"/>
                  <w:color w:val="0000FF"/>
                </w:rPr>
                <w:t>Technologies Inc. and Zillow, Inc.</w:t>
              </w:r>
            </w:hyperlink>
          </w:p>
        </w:tc>
        <w:tc>
          <w:tcPr>
            <w:tcW w:w="660" w:type="dxa"/>
            <w:vAlign w:val="bottom"/>
          </w:tcPr>
          <w:p>
            <w:pPr>
              <w:ind w:left="60"/>
              <w:spacing w:after="0" w:line="196" w:lineRule="exact"/>
              <w:rPr>
                <w:sz w:val="20"/>
                <w:szCs w:val="20"/>
                <w:color w:val="auto"/>
              </w:rPr>
            </w:pPr>
            <w:r>
              <w:rPr>
                <w:rFonts w:ascii="Arial" w:cs="Arial" w:eastAsia="Arial" w:hAnsi="Arial"/>
                <w:sz w:val="18"/>
                <w:szCs w:val="18"/>
                <w:color w:val="auto"/>
              </w:rPr>
              <w:t>8-K</w:t>
            </w:r>
          </w:p>
        </w:tc>
        <w:tc>
          <w:tcPr>
            <w:tcW w:w="1240" w:type="dxa"/>
            <w:vAlign w:val="bottom"/>
          </w:tcPr>
          <w:p>
            <w:pPr>
              <w:ind w:left="180"/>
              <w:spacing w:after="0" w:line="196" w:lineRule="exact"/>
              <w:rPr>
                <w:sz w:val="20"/>
                <w:szCs w:val="20"/>
                <w:color w:val="auto"/>
              </w:rPr>
            </w:pPr>
            <w:r>
              <w:rPr>
                <w:rFonts w:ascii="Arial" w:cs="Arial" w:eastAsia="Arial" w:hAnsi="Arial"/>
                <w:sz w:val="18"/>
                <w:szCs w:val="18"/>
                <w:color w:val="auto"/>
              </w:rPr>
              <w:t>001-39253</w:t>
            </w:r>
          </w:p>
        </w:tc>
        <w:tc>
          <w:tcPr>
            <w:tcW w:w="680" w:type="dxa"/>
            <w:vAlign w:val="bottom"/>
          </w:tcPr>
          <w:p>
            <w:pPr>
              <w:ind w:left="200"/>
              <w:spacing w:after="0" w:line="196" w:lineRule="exact"/>
              <w:rPr>
                <w:sz w:val="20"/>
                <w:szCs w:val="20"/>
                <w:color w:val="auto"/>
              </w:rPr>
            </w:pPr>
            <w:r>
              <w:rPr>
                <w:rFonts w:ascii="Arial" w:cs="Arial" w:eastAsia="Arial" w:hAnsi="Arial"/>
                <w:sz w:val="18"/>
                <w:szCs w:val="18"/>
                <w:color w:val="auto"/>
              </w:rPr>
              <w:t>99.2</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08/05/2022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jc w:val="right"/>
              <w:spacing w:after="0"/>
              <w:rPr>
                <w:sz w:val="20"/>
                <w:szCs w:val="20"/>
                <w:color w:val="auto"/>
              </w:rPr>
            </w:pPr>
            <w:r>
              <w:rPr>
                <w:rFonts w:ascii="Arial" w:cs="Arial" w:eastAsia="Arial" w:hAnsi="Arial"/>
                <w:sz w:val="18"/>
                <w:szCs w:val="18"/>
                <w:color w:val="auto"/>
                <w:w w:val="85"/>
              </w:rPr>
              <w:t>10.1</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492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0"/>
              </w:rPr>
              <w:t>Opendoor Technologies Inc. Non-Employee Director Compensation</w:t>
            </w:r>
          </w:p>
        </w:tc>
        <w:tc>
          <w:tcPr>
            <w:tcW w:w="240" w:type="dxa"/>
            <w:vAlign w:val="bottom"/>
            <w:gridSpan w:val="4"/>
          </w:tcPr>
          <w:p>
            <w:pPr>
              <w:spacing w:after="0"/>
              <w:rPr>
                <w:sz w:val="21"/>
                <w:szCs w:val="21"/>
                <w:color w:val="auto"/>
              </w:rPr>
            </w:pPr>
          </w:p>
        </w:tc>
        <w:tc>
          <w:tcPr>
            <w:tcW w:w="6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160" w:type="dxa"/>
            <w:vAlign w:val="bottom"/>
            <w:gridSpan w:val="12"/>
          </w:tcPr>
          <w:p>
            <w:pPr>
              <w:spacing w:after="0" w:line="196" w:lineRule="exact"/>
              <w:rPr>
                <w:sz w:val="20"/>
                <w:szCs w:val="20"/>
                <w:color w:val="auto"/>
              </w:rPr>
            </w:pPr>
            <w:r>
              <w:rPr>
                <w:rFonts w:ascii="Arial" w:cs="Arial" w:eastAsia="Arial" w:hAnsi="Arial"/>
                <w:sz w:val="18"/>
                <w:szCs w:val="18"/>
                <w:color w:val="0000FF"/>
              </w:rPr>
              <w:t>Policy (as amended May 23, 2023)</w:t>
            </w: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jc w:val="right"/>
              <w:spacing w:after="0"/>
              <w:rPr>
                <w:sz w:val="20"/>
                <w:szCs w:val="20"/>
                <w:color w:val="auto"/>
              </w:rPr>
            </w:pPr>
            <w:r>
              <w:rPr>
                <w:rFonts w:ascii="Arial" w:cs="Arial" w:eastAsia="Arial" w:hAnsi="Arial"/>
                <w:sz w:val="18"/>
                <w:szCs w:val="18"/>
                <w:color w:val="auto"/>
                <w:w w:val="85"/>
              </w:rPr>
              <w:t>31.1</w:t>
            </w:r>
          </w:p>
        </w:tc>
        <w:tc>
          <w:tcPr>
            <w:tcW w:w="38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510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2"/>
              </w:rPr>
              <w:t>Certification of Chief Executive Officer Pursuant to Section 302 of the</w:t>
            </w:r>
          </w:p>
        </w:tc>
        <w:tc>
          <w:tcPr>
            <w:tcW w:w="60" w:type="dxa"/>
            <w:vAlign w:val="bottom"/>
            <w:gridSpan w:val="2"/>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60" w:type="dxa"/>
            <w:vAlign w:val="bottom"/>
            <w:tcBorders>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90"/>
              </w:rPr>
              <w:t>Sarbanes-Oxley Act of 2002</w:t>
            </w:r>
          </w:p>
        </w:tc>
        <w:tc>
          <w:tcPr>
            <w:tcW w:w="3100" w:type="dxa"/>
            <w:vAlign w:val="bottom"/>
            <w:gridSpan w:val="10"/>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59" w:lineRule="exact"/>
        <w:rPr>
          <w:sz w:val="20"/>
          <w:szCs w:val="20"/>
          <w:color w:val="auto"/>
        </w:rPr>
      </w:pPr>
    </w:p>
    <w:p>
      <w:pPr>
        <w:sectPr>
          <w:pgSz w:w="11900" w:h="16838" w:orient="portrait"/>
          <w:cols w:equalWidth="0" w:num="2">
            <w:col w:w="10060" w:space="720"/>
            <w:col w:w="220"/>
          </w:cols>
          <w:pgMar w:left="320" w:top="139" w:right="579" w:bottom="1440" w:gutter="0" w:footer="0" w:header="0"/>
          <w:type w:val="continuous"/>
        </w:sectPr>
      </w:pPr>
    </w:p>
    <w:tbl>
      <w:tblPr>
        <w:tblLayout w:type="fixed"/>
        <w:tblInd w:w="240" w:type="dxa"/>
        <w:tblCellMar>
          <w:top w:w="0" w:type="dxa"/>
          <w:left w:w="0" w:type="dxa"/>
          <w:bottom w:w="0" w:type="dxa"/>
          <w:right w:w="0" w:type="dxa"/>
        </w:tblCellMar>
      </w:tblPr>
      <w:tr>
        <w:trPr>
          <w:trHeight w:val="230"/>
        </w:trPr>
        <w:tc>
          <w:tcPr>
            <w:tcW w:w="1080" w:type="dxa"/>
            <w:vAlign w:val="bottom"/>
          </w:tcPr>
          <w:p>
            <w:pPr>
              <w:jc w:val="right"/>
              <w:ind w:right="310"/>
              <w:spacing w:after="0"/>
              <w:rPr>
                <w:sz w:val="20"/>
                <w:szCs w:val="20"/>
                <w:color w:val="auto"/>
              </w:rPr>
            </w:pPr>
            <w:r>
              <w:rPr>
                <w:rFonts w:ascii="Arial" w:cs="Arial" w:eastAsia="Arial" w:hAnsi="Arial"/>
                <w:sz w:val="18"/>
                <w:szCs w:val="18"/>
                <w:color w:val="auto"/>
              </w:rPr>
              <w:t>31.2</w:t>
            </w:r>
          </w:p>
        </w:tc>
        <w:tc>
          <w:tcPr>
            <w:tcW w:w="7280" w:type="dxa"/>
            <w:vAlign w:val="bottom"/>
            <w:gridSpan w:val="5"/>
          </w:tcPr>
          <w:p>
            <w:pPr>
              <w:spacing w:after="0"/>
              <w:rPr>
                <w:sz w:val="20"/>
                <w:szCs w:val="20"/>
                <w:color w:val="auto"/>
              </w:rPr>
            </w:pPr>
            <w:r>
              <w:rPr>
                <w:rFonts w:ascii="Arial" w:cs="Arial" w:eastAsia="Arial" w:hAnsi="Arial"/>
                <w:sz w:val="18"/>
                <w:szCs w:val="18"/>
                <w:color w:val="0000FF"/>
              </w:rPr>
              <w:t>Certification of Interim Chief Financial Officer Pursuant to Section 302</w:t>
            </w:r>
          </w:p>
        </w:tc>
        <w:tc>
          <w:tcPr>
            <w:tcW w:w="2320" w:type="dxa"/>
            <w:vAlign w:val="bottom"/>
          </w:tcPr>
          <w:p>
            <w:pPr>
              <w:jc w:val="center"/>
              <w:ind w:left="2030"/>
              <w:spacing w:after="0"/>
              <w:rPr>
                <w:sz w:val="20"/>
                <w:szCs w:val="20"/>
                <w:color w:val="auto"/>
              </w:rPr>
            </w:pPr>
            <w:r>
              <w:rPr>
                <w:rFonts w:ascii="Arial" w:cs="Arial" w:eastAsia="Arial" w:hAnsi="Arial"/>
                <w:sz w:val="18"/>
                <w:szCs w:val="18"/>
                <w:color w:val="auto"/>
              </w:rPr>
              <w:t>*</w:t>
            </w:r>
          </w:p>
        </w:tc>
      </w:tr>
      <w:tr>
        <w:trPr>
          <w:trHeight w:val="196"/>
        </w:trPr>
        <w:tc>
          <w:tcPr>
            <w:tcW w:w="1080" w:type="dxa"/>
            <w:vAlign w:val="bottom"/>
          </w:tcPr>
          <w:p>
            <w:pPr>
              <w:spacing w:after="0"/>
              <w:rPr>
                <w:sz w:val="17"/>
                <w:szCs w:val="17"/>
                <w:color w:val="auto"/>
              </w:rPr>
            </w:pPr>
          </w:p>
        </w:tc>
        <w:tc>
          <w:tcPr>
            <w:tcW w:w="252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18"/>
                <w:szCs w:val="18"/>
                <w:color w:val="0000FF"/>
                <w:w w:val="90"/>
              </w:rPr>
              <w:t>of the Sarbanes-Oxley Act of 2002</w:t>
            </w:r>
          </w:p>
        </w:tc>
        <w:tc>
          <w:tcPr>
            <w:tcW w:w="2640" w:type="dxa"/>
            <w:vAlign w:val="bottom"/>
            <w:tcBorders>
              <w:top w:val="single" w:sz="8" w:color="0000FF"/>
            </w:tcBorders>
            <w:gridSpan w:val="3"/>
          </w:tcPr>
          <w:p>
            <w:pPr>
              <w:spacing w:after="0"/>
              <w:rPr>
                <w:sz w:val="17"/>
                <w:szCs w:val="17"/>
                <w:color w:val="auto"/>
              </w:rPr>
            </w:pPr>
          </w:p>
        </w:tc>
        <w:tc>
          <w:tcPr>
            <w:tcW w:w="212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331"/>
        </w:trPr>
        <w:tc>
          <w:tcPr>
            <w:tcW w:w="1080" w:type="dxa"/>
            <w:vAlign w:val="bottom"/>
          </w:tcPr>
          <w:p>
            <w:pPr>
              <w:jc w:val="right"/>
              <w:ind w:right="310"/>
              <w:spacing w:after="0"/>
              <w:rPr>
                <w:sz w:val="20"/>
                <w:szCs w:val="20"/>
                <w:color w:val="auto"/>
              </w:rPr>
            </w:pPr>
            <w:r>
              <w:rPr>
                <w:rFonts w:ascii="Arial" w:cs="Arial" w:eastAsia="Arial" w:hAnsi="Arial"/>
                <w:sz w:val="18"/>
                <w:szCs w:val="18"/>
                <w:color w:val="auto"/>
              </w:rPr>
              <w:t>32.1</w:t>
            </w:r>
          </w:p>
        </w:tc>
        <w:tc>
          <w:tcPr>
            <w:tcW w:w="49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3"/>
              </w:rPr>
              <w:t>Certification of Chief Executive Officer and Interim Chief Financial</w:t>
            </w:r>
          </w:p>
        </w:tc>
        <w:tc>
          <w:tcPr>
            <w:tcW w:w="2360" w:type="dxa"/>
            <w:vAlign w:val="bottom"/>
            <w:gridSpan w:val="2"/>
          </w:tcPr>
          <w:p>
            <w:pPr>
              <w:spacing w:after="0"/>
              <w:rPr>
                <w:sz w:val="24"/>
                <w:szCs w:val="24"/>
                <w:color w:val="auto"/>
              </w:rPr>
            </w:pPr>
          </w:p>
        </w:tc>
        <w:tc>
          <w:tcPr>
            <w:tcW w:w="2320" w:type="dxa"/>
            <w:vAlign w:val="bottom"/>
          </w:tcPr>
          <w:p>
            <w:pPr>
              <w:jc w:val="center"/>
              <w:ind w:left="2050"/>
              <w:spacing w:after="0"/>
              <w:rPr>
                <w:sz w:val="20"/>
                <w:szCs w:val="20"/>
                <w:color w:val="auto"/>
              </w:rPr>
            </w:pPr>
            <w:r>
              <w:rPr>
                <w:rFonts w:ascii="Arial" w:cs="Arial" w:eastAsia="Arial" w:hAnsi="Arial"/>
                <w:sz w:val="18"/>
                <w:szCs w:val="18"/>
                <w:color w:val="auto"/>
              </w:rPr>
              <w:t>**</w:t>
            </w:r>
          </w:p>
        </w:tc>
      </w:tr>
      <w:tr>
        <w:trPr>
          <w:trHeight w:val="196"/>
        </w:trPr>
        <w:tc>
          <w:tcPr>
            <w:tcW w:w="1080" w:type="dxa"/>
            <w:vAlign w:val="bottom"/>
          </w:tcPr>
          <w:p>
            <w:pPr>
              <w:spacing w:after="0"/>
              <w:rPr>
                <w:sz w:val="17"/>
                <w:szCs w:val="17"/>
                <w:color w:val="auto"/>
              </w:rPr>
            </w:pPr>
          </w:p>
        </w:tc>
        <w:tc>
          <w:tcPr>
            <w:tcW w:w="4840" w:type="dxa"/>
            <w:vAlign w:val="bottom"/>
            <w:tcBorders>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90"/>
              </w:rPr>
              <w:t>Officer Pursuant to Section 906 of the Sarbanes-Oxley Act of 2002</w:t>
            </w:r>
          </w:p>
        </w:tc>
        <w:tc>
          <w:tcPr>
            <w:tcW w:w="2440" w:type="dxa"/>
            <w:vAlign w:val="bottom"/>
            <w:gridSpan w:val="3"/>
          </w:tcPr>
          <w:p>
            <w:pPr>
              <w:spacing w:after="0"/>
              <w:rPr>
                <w:sz w:val="17"/>
                <w:szCs w:val="17"/>
                <w:color w:val="auto"/>
              </w:rPr>
            </w:pPr>
          </w:p>
        </w:tc>
        <w:tc>
          <w:tcPr>
            <w:tcW w:w="2320" w:type="dxa"/>
            <w:vAlign w:val="bottom"/>
          </w:tcPr>
          <w:p>
            <w:pPr>
              <w:spacing w:after="0"/>
              <w:rPr>
                <w:sz w:val="17"/>
                <w:szCs w:val="17"/>
                <w:color w:val="auto"/>
              </w:rPr>
            </w:pPr>
          </w:p>
        </w:tc>
      </w:tr>
      <w:tr>
        <w:trPr>
          <w:trHeight w:val="317"/>
        </w:trPr>
        <w:tc>
          <w:tcPr>
            <w:tcW w:w="1080" w:type="dxa"/>
            <w:vAlign w:val="bottom"/>
          </w:tcPr>
          <w:p>
            <w:pPr>
              <w:jc w:val="right"/>
              <w:ind w:right="310"/>
              <w:spacing w:after="0"/>
              <w:rPr>
                <w:sz w:val="20"/>
                <w:szCs w:val="20"/>
                <w:color w:val="auto"/>
              </w:rPr>
            </w:pPr>
            <w:r>
              <w:rPr>
                <w:rFonts w:ascii="Arial" w:cs="Arial" w:eastAsia="Arial" w:hAnsi="Arial"/>
                <w:sz w:val="18"/>
                <w:szCs w:val="18"/>
                <w:color w:val="auto"/>
              </w:rPr>
              <w:t>101.INS</w:t>
            </w:r>
          </w:p>
        </w:tc>
        <w:tc>
          <w:tcPr>
            <w:tcW w:w="7280" w:type="dxa"/>
            <w:vAlign w:val="bottom"/>
            <w:gridSpan w:val="5"/>
          </w:tcPr>
          <w:p>
            <w:pPr>
              <w:spacing w:after="0"/>
              <w:rPr>
                <w:sz w:val="20"/>
                <w:szCs w:val="20"/>
                <w:color w:val="auto"/>
              </w:rPr>
            </w:pPr>
            <w:r>
              <w:rPr>
                <w:rFonts w:ascii="Arial" w:cs="Arial" w:eastAsia="Arial" w:hAnsi="Arial"/>
                <w:sz w:val="18"/>
                <w:szCs w:val="18"/>
                <w:color w:val="auto"/>
              </w:rPr>
              <w:t>Inline XBRL Instance Document - the instance document does not</w:t>
            </w:r>
          </w:p>
        </w:tc>
        <w:tc>
          <w:tcPr>
            <w:tcW w:w="2320" w:type="dxa"/>
            <w:vAlign w:val="bottom"/>
          </w:tcPr>
          <w:p>
            <w:pPr>
              <w:jc w:val="center"/>
              <w:ind w:left="2030"/>
              <w:spacing w:after="0"/>
              <w:rPr>
                <w:sz w:val="20"/>
                <w:szCs w:val="20"/>
                <w:color w:val="auto"/>
              </w:rPr>
            </w:pPr>
            <w:r>
              <w:rPr>
                <w:rFonts w:ascii="Arial" w:cs="Arial" w:eastAsia="Arial" w:hAnsi="Arial"/>
                <w:sz w:val="18"/>
                <w:szCs w:val="18"/>
                <w:color w:val="auto"/>
              </w:rPr>
              <w:t>*</w:t>
            </w:r>
          </w:p>
        </w:tc>
      </w:tr>
      <w:tr>
        <w:trPr>
          <w:trHeight w:val="216"/>
        </w:trPr>
        <w:tc>
          <w:tcPr>
            <w:tcW w:w="1080" w:type="dxa"/>
            <w:vAlign w:val="bottom"/>
          </w:tcPr>
          <w:p>
            <w:pPr>
              <w:spacing w:after="0"/>
              <w:rPr>
                <w:sz w:val="18"/>
                <w:szCs w:val="18"/>
                <w:color w:val="auto"/>
              </w:rPr>
            </w:pPr>
          </w:p>
        </w:tc>
        <w:tc>
          <w:tcPr>
            <w:tcW w:w="7280" w:type="dxa"/>
            <w:vAlign w:val="bottom"/>
            <w:gridSpan w:val="5"/>
          </w:tcPr>
          <w:p>
            <w:pPr>
              <w:spacing w:after="0"/>
              <w:rPr>
                <w:sz w:val="20"/>
                <w:szCs w:val="20"/>
                <w:color w:val="auto"/>
              </w:rPr>
            </w:pPr>
            <w:r>
              <w:rPr>
                <w:rFonts w:ascii="Arial" w:cs="Arial" w:eastAsia="Arial" w:hAnsi="Arial"/>
                <w:sz w:val="18"/>
                <w:szCs w:val="18"/>
                <w:color w:val="auto"/>
              </w:rPr>
              <w:t>appear in the Interactive Data file because its XBRL tags are embedded</w:t>
            </w:r>
          </w:p>
        </w:tc>
        <w:tc>
          <w:tcPr>
            <w:tcW w:w="2320" w:type="dxa"/>
            <w:vAlign w:val="bottom"/>
          </w:tcPr>
          <w:p>
            <w:pPr>
              <w:spacing w:after="0"/>
              <w:rPr>
                <w:sz w:val="18"/>
                <w:szCs w:val="18"/>
                <w:color w:val="auto"/>
              </w:rPr>
            </w:pPr>
          </w:p>
        </w:tc>
      </w:tr>
      <w:tr>
        <w:trPr>
          <w:trHeight w:val="230"/>
        </w:trPr>
        <w:tc>
          <w:tcPr>
            <w:tcW w:w="1080" w:type="dxa"/>
            <w:vAlign w:val="bottom"/>
          </w:tcPr>
          <w:p>
            <w:pPr>
              <w:spacing w:after="0"/>
              <w:rPr>
                <w:sz w:val="20"/>
                <w:szCs w:val="20"/>
                <w:color w:val="auto"/>
              </w:rPr>
            </w:pPr>
          </w:p>
        </w:tc>
        <w:tc>
          <w:tcPr>
            <w:tcW w:w="7280" w:type="dxa"/>
            <w:vAlign w:val="bottom"/>
            <w:gridSpan w:val="5"/>
          </w:tcPr>
          <w:p>
            <w:pPr>
              <w:spacing w:after="0"/>
              <w:rPr>
                <w:sz w:val="20"/>
                <w:szCs w:val="20"/>
                <w:color w:val="auto"/>
              </w:rPr>
            </w:pPr>
            <w:r>
              <w:rPr>
                <w:rFonts w:ascii="Arial" w:cs="Arial" w:eastAsia="Arial" w:hAnsi="Arial"/>
                <w:sz w:val="18"/>
                <w:szCs w:val="18"/>
                <w:color w:val="auto"/>
              </w:rPr>
              <w:t>within the Inline XBRL document.</w:t>
            </w:r>
          </w:p>
        </w:tc>
        <w:tc>
          <w:tcPr>
            <w:tcW w:w="2320" w:type="dxa"/>
            <w:vAlign w:val="bottom"/>
          </w:tcPr>
          <w:p>
            <w:pPr>
              <w:spacing w:after="0"/>
              <w:rPr>
                <w:sz w:val="20"/>
                <w:szCs w:val="20"/>
                <w:color w:val="auto"/>
              </w:rPr>
            </w:pPr>
          </w:p>
        </w:tc>
      </w:tr>
      <w:tr>
        <w:trPr>
          <w:trHeight w:val="270"/>
        </w:trPr>
        <w:tc>
          <w:tcPr>
            <w:tcW w:w="1080" w:type="dxa"/>
            <w:vAlign w:val="bottom"/>
          </w:tcPr>
          <w:p>
            <w:pPr>
              <w:jc w:val="right"/>
              <w:ind w:right="310"/>
              <w:spacing w:after="0"/>
              <w:rPr>
                <w:sz w:val="20"/>
                <w:szCs w:val="20"/>
                <w:color w:val="auto"/>
              </w:rPr>
            </w:pPr>
            <w:r>
              <w:rPr>
                <w:rFonts w:ascii="Arial" w:cs="Arial" w:eastAsia="Arial" w:hAnsi="Arial"/>
                <w:sz w:val="18"/>
                <w:szCs w:val="18"/>
                <w:color w:val="auto"/>
                <w:w w:val="90"/>
              </w:rPr>
              <w:t>101.SCH</w:t>
            </w:r>
          </w:p>
        </w:tc>
        <w:tc>
          <w:tcPr>
            <w:tcW w:w="728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c>
          <w:tcPr>
            <w:tcW w:w="2320" w:type="dxa"/>
            <w:vAlign w:val="bottom"/>
          </w:tcPr>
          <w:p>
            <w:pPr>
              <w:jc w:val="center"/>
              <w:ind w:left="2030"/>
              <w:spacing w:after="0"/>
              <w:rPr>
                <w:sz w:val="20"/>
                <w:szCs w:val="20"/>
                <w:color w:val="auto"/>
              </w:rPr>
            </w:pPr>
            <w:r>
              <w:rPr>
                <w:rFonts w:ascii="Arial" w:cs="Arial" w:eastAsia="Arial" w:hAnsi="Arial"/>
                <w:sz w:val="18"/>
                <w:szCs w:val="18"/>
                <w:color w:val="auto"/>
              </w:rPr>
              <w:t>*</w:t>
            </w:r>
          </w:p>
        </w:tc>
      </w:tr>
      <w:tr>
        <w:trPr>
          <w:trHeight w:val="270"/>
        </w:trPr>
        <w:tc>
          <w:tcPr>
            <w:tcW w:w="1080" w:type="dxa"/>
            <w:vAlign w:val="bottom"/>
          </w:tcPr>
          <w:p>
            <w:pPr>
              <w:jc w:val="right"/>
              <w:ind w:right="310"/>
              <w:spacing w:after="0"/>
              <w:rPr>
                <w:sz w:val="20"/>
                <w:szCs w:val="20"/>
                <w:color w:val="auto"/>
              </w:rPr>
            </w:pPr>
            <w:r>
              <w:rPr>
                <w:rFonts w:ascii="Arial" w:cs="Arial" w:eastAsia="Arial" w:hAnsi="Arial"/>
                <w:sz w:val="18"/>
                <w:szCs w:val="18"/>
                <w:color w:val="auto"/>
                <w:w w:val="94"/>
              </w:rPr>
              <w:t>101.CAL</w:t>
            </w:r>
          </w:p>
        </w:tc>
        <w:tc>
          <w:tcPr>
            <w:tcW w:w="728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2320" w:type="dxa"/>
            <w:vAlign w:val="bottom"/>
          </w:tcPr>
          <w:p>
            <w:pPr>
              <w:jc w:val="center"/>
              <w:ind w:left="2030"/>
              <w:spacing w:after="0"/>
              <w:rPr>
                <w:sz w:val="20"/>
                <w:szCs w:val="20"/>
                <w:color w:val="auto"/>
              </w:rPr>
            </w:pPr>
            <w:r>
              <w:rPr>
                <w:rFonts w:ascii="Arial" w:cs="Arial" w:eastAsia="Arial" w:hAnsi="Arial"/>
                <w:sz w:val="18"/>
                <w:szCs w:val="18"/>
                <w:color w:val="auto"/>
              </w:rPr>
              <w:t>*</w:t>
            </w:r>
          </w:p>
        </w:tc>
      </w:tr>
      <w:tr>
        <w:trPr>
          <w:trHeight w:val="270"/>
        </w:trPr>
        <w:tc>
          <w:tcPr>
            <w:tcW w:w="1080" w:type="dxa"/>
            <w:vAlign w:val="bottom"/>
          </w:tcPr>
          <w:p>
            <w:pPr>
              <w:jc w:val="right"/>
              <w:ind w:right="310"/>
              <w:spacing w:after="0"/>
              <w:rPr>
                <w:sz w:val="20"/>
                <w:szCs w:val="20"/>
                <w:color w:val="auto"/>
              </w:rPr>
            </w:pPr>
            <w:r>
              <w:rPr>
                <w:rFonts w:ascii="Arial" w:cs="Arial" w:eastAsia="Arial" w:hAnsi="Arial"/>
                <w:sz w:val="18"/>
                <w:szCs w:val="18"/>
                <w:color w:val="auto"/>
                <w:w w:val="92"/>
              </w:rPr>
              <w:t>101.DEF</w:t>
            </w:r>
          </w:p>
        </w:tc>
        <w:tc>
          <w:tcPr>
            <w:tcW w:w="728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2320" w:type="dxa"/>
            <w:vAlign w:val="bottom"/>
          </w:tcPr>
          <w:p>
            <w:pPr>
              <w:jc w:val="center"/>
              <w:ind w:left="2030"/>
              <w:spacing w:after="0"/>
              <w:rPr>
                <w:sz w:val="20"/>
                <w:szCs w:val="20"/>
                <w:color w:val="auto"/>
              </w:rPr>
            </w:pPr>
            <w:r>
              <w:rPr>
                <w:rFonts w:ascii="Arial" w:cs="Arial" w:eastAsia="Arial" w:hAnsi="Arial"/>
                <w:sz w:val="18"/>
                <w:szCs w:val="18"/>
                <w:color w:val="auto"/>
              </w:rPr>
              <w:t>*</w:t>
            </w:r>
          </w:p>
        </w:tc>
      </w:tr>
      <w:tr>
        <w:trPr>
          <w:trHeight w:val="270"/>
        </w:trPr>
        <w:tc>
          <w:tcPr>
            <w:tcW w:w="1080" w:type="dxa"/>
            <w:vAlign w:val="bottom"/>
          </w:tcPr>
          <w:p>
            <w:pPr>
              <w:jc w:val="right"/>
              <w:ind w:right="310"/>
              <w:spacing w:after="0"/>
              <w:rPr>
                <w:sz w:val="20"/>
                <w:szCs w:val="20"/>
                <w:color w:val="auto"/>
              </w:rPr>
            </w:pPr>
            <w:r>
              <w:rPr>
                <w:rFonts w:ascii="Arial" w:cs="Arial" w:eastAsia="Arial" w:hAnsi="Arial"/>
                <w:sz w:val="18"/>
                <w:szCs w:val="18"/>
                <w:color w:val="auto"/>
                <w:w w:val="95"/>
              </w:rPr>
              <w:t>101.LAB</w:t>
            </w:r>
          </w:p>
        </w:tc>
        <w:tc>
          <w:tcPr>
            <w:tcW w:w="728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2320" w:type="dxa"/>
            <w:vAlign w:val="bottom"/>
          </w:tcPr>
          <w:p>
            <w:pPr>
              <w:jc w:val="center"/>
              <w:ind w:left="2030"/>
              <w:spacing w:after="0"/>
              <w:rPr>
                <w:sz w:val="20"/>
                <w:szCs w:val="20"/>
                <w:color w:val="auto"/>
              </w:rPr>
            </w:pPr>
            <w:r>
              <w:rPr>
                <w:rFonts w:ascii="Arial" w:cs="Arial" w:eastAsia="Arial" w:hAnsi="Arial"/>
                <w:sz w:val="18"/>
                <w:szCs w:val="18"/>
                <w:color w:val="auto"/>
              </w:rPr>
              <w:t>*</w:t>
            </w:r>
          </w:p>
        </w:tc>
      </w:tr>
      <w:tr>
        <w:trPr>
          <w:trHeight w:val="270"/>
        </w:trPr>
        <w:tc>
          <w:tcPr>
            <w:tcW w:w="1080" w:type="dxa"/>
            <w:vAlign w:val="bottom"/>
          </w:tcPr>
          <w:p>
            <w:pPr>
              <w:jc w:val="right"/>
              <w:ind w:right="310"/>
              <w:spacing w:after="0"/>
              <w:rPr>
                <w:sz w:val="20"/>
                <w:szCs w:val="20"/>
                <w:color w:val="auto"/>
              </w:rPr>
            </w:pPr>
            <w:r>
              <w:rPr>
                <w:rFonts w:ascii="Arial" w:cs="Arial" w:eastAsia="Arial" w:hAnsi="Arial"/>
                <w:sz w:val="18"/>
                <w:szCs w:val="18"/>
                <w:color w:val="auto"/>
                <w:w w:val="91"/>
              </w:rPr>
              <w:t>101.PRE</w:t>
            </w:r>
          </w:p>
        </w:tc>
        <w:tc>
          <w:tcPr>
            <w:tcW w:w="728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2320" w:type="dxa"/>
            <w:vAlign w:val="bottom"/>
          </w:tcPr>
          <w:p>
            <w:pPr>
              <w:jc w:val="center"/>
              <w:ind w:left="2030"/>
              <w:spacing w:after="0"/>
              <w:rPr>
                <w:sz w:val="20"/>
                <w:szCs w:val="20"/>
                <w:color w:val="auto"/>
              </w:rPr>
            </w:pPr>
            <w:r>
              <w:rPr>
                <w:rFonts w:ascii="Arial" w:cs="Arial" w:eastAsia="Arial" w:hAnsi="Arial"/>
                <w:sz w:val="18"/>
                <w:szCs w:val="18"/>
                <w:color w:val="auto"/>
              </w:rPr>
              <w:t>*</w:t>
            </w:r>
          </w:p>
        </w:tc>
      </w:tr>
      <w:tr>
        <w:trPr>
          <w:trHeight w:val="256"/>
        </w:trPr>
        <w:tc>
          <w:tcPr>
            <w:tcW w:w="1080" w:type="dxa"/>
            <w:vAlign w:val="bottom"/>
          </w:tcPr>
          <w:p>
            <w:pPr>
              <w:jc w:val="right"/>
              <w:ind w:right="310"/>
              <w:spacing w:after="0"/>
              <w:rPr>
                <w:sz w:val="20"/>
                <w:szCs w:val="20"/>
                <w:color w:val="auto"/>
              </w:rPr>
            </w:pPr>
            <w:r>
              <w:rPr>
                <w:rFonts w:ascii="Arial" w:cs="Arial" w:eastAsia="Arial" w:hAnsi="Arial"/>
                <w:sz w:val="18"/>
                <w:szCs w:val="18"/>
                <w:color w:val="auto"/>
              </w:rPr>
              <w:t>104</w:t>
            </w:r>
          </w:p>
        </w:tc>
        <w:tc>
          <w:tcPr>
            <w:tcW w:w="7280" w:type="dxa"/>
            <w:vAlign w:val="bottom"/>
            <w:gridSpan w:val="5"/>
          </w:tcPr>
          <w:p>
            <w:pPr>
              <w:spacing w:after="0"/>
              <w:rPr>
                <w:sz w:val="20"/>
                <w:szCs w:val="20"/>
                <w:color w:val="auto"/>
              </w:rPr>
            </w:pPr>
            <w:r>
              <w:rPr>
                <w:rFonts w:ascii="Arial" w:cs="Arial" w:eastAsia="Arial" w:hAnsi="Arial"/>
                <w:sz w:val="18"/>
                <w:szCs w:val="18"/>
                <w:color w:val="auto"/>
              </w:rPr>
              <w:t>Cover Page Interactive Data File (as formatted as Inline XBRL and</w:t>
            </w:r>
          </w:p>
        </w:tc>
        <w:tc>
          <w:tcPr>
            <w:tcW w:w="2320" w:type="dxa"/>
            <w:vAlign w:val="bottom"/>
          </w:tcPr>
          <w:p>
            <w:pPr>
              <w:jc w:val="center"/>
              <w:ind w:left="2030"/>
              <w:spacing w:after="0"/>
              <w:rPr>
                <w:sz w:val="20"/>
                <w:szCs w:val="20"/>
                <w:color w:val="auto"/>
              </w:rPr>
            </w:pPr>
            <w:r>
              <w:rPr>
                <w:rFonts w:ascii="Arial" w:cs="Arial" w:eastAsia="Arial" w:hAnsi="Arial"/>
                <w:sz w:val="18"/>
                <w:szCs w:val="18"/>
                <w:color w:val="auto"/>
              </w:rPr>
              <w:t>*</w:t>
            </w:r>
          </w:p>
        </w:tc>
      </w:tr>
      <w:tr>
        <w:trPr>
          <w:trHeight w:val="230"/>
        </w:trPr>
        <w:tc>
          <w:tcPr>
            <w:tcW w:w="1080" w:type="dxa"/>
            <w:vAlign w:val="bottom"/>
          </w:tcPr>
          <w:p>
            <w:pPr>
              <w:spacing w:after="0"/>
              <w:rPr>
                <w:sz w:val="20"/>
                <w:szCs w:val="20"/>
                <w:color w:val="auto"/>
              </w:rPr>
            </w:pPr>
          </w:p>
        </w:tc>
        <w:tc>
          <w:tcPr>
            <w:tcW w:w="7280" w:type="dxa"/>
            <w:vAlign w:val="bottom"/>
            <w:gridSpan w:val="5"/>
          </w:tcPr>
          <w:p>
            <w:pPr>
              <w:spacing w:after="0"/>
              <w:rPr>
                <w:sz w:val="20"/>
                <w:szCs w:val="20"/>
                <w:color w:val="auto"/>
              </w:rPr>
            </w:pPr>
            <w:r>
              <w:rPr>
                <w:rFonts w:ascii="Arial" w:cs="Arial" w:eastAsia="Arial" w:hAnsi="Arial"/>
                <w:sz w:val="18"/>
                <w:szCs w:val="18"/>
                <w:color w:val="auto"/>
              </w:rPr>
              <w:t>contained in Exhibit 101)</w:t>
            </w:r>
          </w:p>
        </w:tc>
        <w:tc>
          <w:tcPr>
            <w:tcW w:w="2320" w:type="dxa"/>
            <w:vAlign w:val="bottom"/>
          </w:tcPr>
          <w:p>
            <w:pPr>
              <w:spacing w:after="0"/>
              <w:rPr>
                <w:sz w:val="20"/>
                <w:szCs w:val="20"/>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w:t>
      </w:r>
    </w:p>
    <w:p>
      <w:pPr>
        <w:spacing w:after="0" w:line="120"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36"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50"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Indicates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39" w:right="579" w:bottom="1440" w:gutter="0" w:footer="0" w:header="0"/>
          <w:type w:val="continuous"/>
        </w:sectPr>
      </w:pPr>
    </w:p>
    <w:bookmarkStart w:id="53" w:name="page54"/>
    <w:bookmarkEnd w:id="53"/>
    <w:p>
      <w:pPr>
        <w:jc w:val="center"/>
        <w:ind w:right="-399"/>
        <w:spacing w:after="0"/>
        <w:rPr>
          <w:sz w:val="20"/>
          <w:szCs w:val="20"/>
          <w:color w:val="auto"/>
        </w:rPr>
      </w:pPr>
      <w:r>
        <w:rPr>
          <w:rFonts w:ascii="Arial" w:cs="Arial" w:eastAsia="Arial" w:hAnsi="Arial"/>
          <w:sz w:val="18"/>
          <w:szCs w:val="18"/>
          <w:b w:val="1"/>
          <w:bCs w:val="1"/>
          <w:color w:val="auto"/>
        </w:rPr>
        <w:t>OPENDOOR TECHNOLOGIES INC.</w:t>
      </w:r>
    </w:p>
    <w:p>
      <w:pPr>
        <w:spacing w:after="0" w:line="200" w:lineRule="exact"/>
        <w:rPr>
          <w:sz w:val="20"/>
          <w:szCs w:val="20"/>
          <w:color w:val="auto"/>
        </w:rPr>
      </w:pPr>
    </w:p>
    <w:p>
      <w:pPr>
        <w:spacing w:after="0" w:line="241"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270" w:lineRule="exact"/>
        <w:rPr>
          <w:sz w:val="20"/>
          <w:szCs w:val="20"/>
          <w:color w:val="auto"/>
        </w:rPr>
      </w:pPr>
    </w:p>
    <w:p>
      <w:pPr>
        <w:ind w:firstLine="405"/>
        <w:spacing w:after="0" w:line="308"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180"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OPENDOOR TECHNOLOGIES INC.</w:t>
      </w:r>
    </w:p>
    <w:p>
      <w:pPr>
        <w:spacing w:after="0" w:line="324" w:lineRule="exact"/>
        <w:rPr>
          <w:sz w:val="20"/>
          <w:szCs w:val="20"/>
          <w:color w:val="auto"/>
        </w:rPr>
      </w:pPr>
    </w:p>
    <w:p>
      <w:pPr>
        <w:ind w:left="20"/>
        <w:spacing w:after="0"/>
        <w:tabs>
          <w:tab w:leader="none" w:pos="900" w:val="left"/>
          <w:tab w:leader="none" w:pos="6080" w:val="left"/>
          <w:tab w:leader="none" w:pos="65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02,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Carrie Wheeler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31750</wp:posOffset>
            </wp:positionV>
            <wp:extent cx="295719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ectPr>
          <w:pgSz w:w="11900" w:h="16838" w:orient="portrait"/>
          <w:cols w:equalWidth="0" w:num="1">
            <w:col w:w="10860"/>
          </w:cols>
          <w:pgMar w:left="320" w:top="378" w:right="719" w:bottom="1440" w:gutter="0" w:footer="0" w:header="0"/>
        </w:sectPr>
      </w:pPr>
    </w:p>
    <w:p>
      <w:pPr>
        <w:spacing w:after="0" w:line="117"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Name:</w:t>
      </w:r>
    </w:p>
    <w:p>
      <w:pPr>
        <w:spacing w:after="0" w:line="8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Carrie Wheeler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Executive Officer)</w:t>
      </w:r>
    </w:p>
    <w:p>
      <w:pPr>
        <w:spacing w:after="0" w:line="200" w:lineRule="exact"/>
        <w:rPr>
          <w:sz w:val="20"/>
          <w:szCs w:val="20"/>
          <w:color w:val="auto"/>
        </w:rPr>
      </w:pPr>
    </w:p>
    <w:p>
      <w:pPr>
        <w:sectPr>
          <w:pgSz w:w="11900" w:h="16838" w:orient="portrait"/>
          <w:cols w:equalWidth="0" w:num="2">
            <w:col w:w="7080" w:space="420"/>
            <w:col w:w="3360"/>
          </w:cols>
          <w:pgMar w:left="320" w:top="378" w:right="7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tabs>
          <w:tab w:leader="none" w:pos="880" w:val="left"/>
          <w:tab w:leader="none" w:pos="6040" w:val="left"/>
          <w:tab w:leader="none" w:pos="6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02,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Christina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31750</wp:posOffset>
            </wp:positionV>
            <wp:extent cx="298323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ectPr>
          <w:pgSz w:w="11900" w:h="16838" w:orient="portrait"/>
          <w:cols w:equalWidth="0" w:num="1">
            <w:col w:w="10860"/>
          </w:cols>
          <w:pgMar w:left="320" w:top="378" w:right="719" w:bottom="1440" w:gutter="0" w:footer="0" w:header="0"/>
          <w:type w:val="continuous"/>
        </w:sectPr>
      </w:pPr>
    </w:p>
    <w:p>
      <w:pPr>
        <w:spacing w:after="0" w:line="117" w:lineRule="exact"/>
        <w:rPr>
          <w:sz w:val="20"/>
          <w:szCs w:val="20"/>
          <w:color w:val="auto"/>
        </w:rPr>
      </w:pPr>
    </w:p>
    <w:p>
      <w:pPr>
        <w:ind w:left="6560"/>
        <w:spacing w:after="0"/>
        <w:rPr>
          <w:sz w:val="20"/>
          <w:szCs w:val="20"/>
          <w:color w:val="auto"/>
        </w:rPr>
      </w:pPr>
      <w:r>
        <w:rPr>
          <w:rFonts w:ascii="Arial" w:cs="Arial" w:eastAsia="Arial" w:hAnsi="Arial"/>
          <w:sz w:val="16"/>
          <w:szCs w:val="16"/>
          <w:color w:val="auto"/>
        </w:rPr>
        <w:t>Name:</w:t>
      </w:r>
    </w:p>
    <w:p>
      <w:pPr>
        <w:spacing w:after="0" w:line="86"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Christina Schwartz</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Chief Financial Officer</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(Principal Financial and Accounting Officer)</w:t>
      </w:r>
    </w:p>
    <w:p>
      <w:pPr>
        <w:spacing w:after="0" w:line="200" w:lineRule="exact"/>
        <w:rPr>
          <w:sz w:val="20"/>
          <w:szCs w:val="20"/>
          <w:color w:val="auto"/>
        </w:rPr>
      </w:pPr>
    </w:p>
    <w:p>
      <w:pPr>
        <w:sectPr>
          <w:pgSz w:w="11900" w:h="16838" w:orient="portrait"/>
          <w:cols w:equalWidth="0" w:num="2">
            <w:col w:w="7040" w:space="420"/>
            <w:col w:w="3400"/>
          </w:cols>
          <w:pgMar w:left="320" w:top="378" w:right="7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0860"/>
          </w:cols>
          <w:pgMar w:left="320" w:top="378" w:right="719" w:bottom="1440" w:gutter="0" w:footer="0" w:header="0"/>
          <w:type w:val="continuous"/>
        </w:sectPr>
      </w:pPr>
    </w:p>
    <w:bookmarkStart w:id="54" w:name="page55"/>
    <w:bookmarkEnd w:id="54"/>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Opendoor Technologies Inc.</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Non-Employee Director Compensation Policy</w:t>
      </w:r>
    </w:p>
    <w:p>
      <w:pPr>
        <w:spacing w:after="0" w:line="238"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As Amended, May 23,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0637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0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8"/>
          <w:szCs w:val="18"/>
          <w:color w:val="auto"/>
        </w:rPr>
        <w:t>Each member of the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of Opendoor Technologies Inc. (“</w:t>
      </w:r>
      <w:r>
        <w:rPr>
          <w:rFonts w:ascii="Arial" w:cs="Arial" w:eastAsia="Arial" w:hAnsi="Arial"/>
          <w:sz w:val="18"/>
          <w:szCs w:val="18"/>
          <w:b w:val="1"/>
          <w:bCs w:val="1"/>
          <w:i w:val="1"/>
          <w:iCs w:val="1"/>
          <w:color w:val="auto"/>
        </w:rPr>
        <w:t>Opendoor</w:t>
      </w:r>
      <w:r>
        <w:rPr>
          <w:rFonts w:ascii="Arial" w:cs="Arial" w:eastAsia="Arial" w:hAnsi="Arial"/>
          <w:sz w:val="18"/>
          <w:szCs w:val="18"/>
          <w:color w:val="auto"/>
        </w:rPr>
        <w:t>”) who is a non-employee director of Opendoor (each such member, a “</w:t>
      </w:r>
      <w:r>
        <w:rPr>
          <w:rFonts w:ascii="Arial" w:cs="Arial" w:eastAsia="Arial" w:hAnsi="Arial"/>
          <w:sz w:val="18"/>
          <w:szCs w:val="18"/>
          <w:b w:val="1"/>
          <w:bCs w:val="1"/>
          <w:i w:val="1"/>
          <w:iCs w:val="1"/>
          <w:color w:val="auto"/>
        </w:rPr>
        <w:t>Non-Employee Director</w:t>
      </w:r>
      <w:r>
        <w:rPr>
          <w:rFonts w:ascii="Arial" w:cs="Arial" w:eastAsia="Arial" w:hAnsi="Arial"/>
          <w:sz w:val="18"/>
          <w:szCs w:val="18"/>
          <w:color w:val="auto"/>
        </w:rPr>
        <w:t>”) will receive the compensation described in this Non-Employee Director Compensation Policy (this “</w:t>
      </w:r>
      <w:r>
        <w:rPr>
          <w:rFonts w:ascii="Arial" w:cs="Arial" w:eastAsia="Arial" w:hAnsi="Arial"/>
          <w:sz w:val="18"/>
          <w:szCs w:val="18"/>
          <w:b w:val="1"/>
          <w:bCs w:val="1"/>
          <w:i w:val="1"/>
          <w:iCs w:val="1"/>
          <w:color w:val="auto"/>
        </w:rPr>
        <w:t>Policy</w:t>
      </w:r>
      <w:r>
        <w:rPr>
          <w:rFonts w:ascii="Arial" w:cs="Arial" w:eastAsia="Arial" w:hAnsi="Arial"/>
          <w:sz w:val="18"/>
          <w:szCs w:val="18"/>
          <w:color w:val="auto"/>
        </w:rPr>
        <w:t>”) for his or her Board service. This Policy may be amended at any time in the sole discretion of the Board or the Compensation Committee of the Board. A Non-Employee Director may decline all or any portion of his or her compensation by giving written notice to Opendoor prior to the date cash is to be paid or equity awards are to be granted, as the case may be.</w:t>
      </w:r>
    </w:p>
    <w:p>
      <w:pPr>
        <w:spacing w:after="0" w:line="165"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Annual Cash Compensation</w:t>
      </w:r>
    </w:p>
    <w:p>
      <w:pPr>
        <w:spacing w:after="0" w:line="2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b w:val="1"/>
          <w:bCs w:val="1"/>
          <w:color w:val="auto"/>
        </w:rPr>
        <w:t>General</w:t>
      </w:r>
      <w:r>
        <w:rPr>
          <w:rFonts w:ascii="Arial" w:cs="Arial" w:eastAsia="Arial" w:hAnsi="Arial"/>
          <w:sz w:val="20"/>
          <w:szCs w:val="20"/>
          <w:color w:val="auto"/>
        </w:rPr>
        <w:t>. Each Non-Employee Director will receive the cash compensation set forth below for service on the Board. The annual cash compensation amounts will be payable in equal quarterly installments, in arrears, promptly following the end of each quarter in which the service occurred, provided that the quarterly payment for each Non-Employee Director will be pro-rated for the portion of such calendar quarter actually served as a Non-Employee Director, or in such position, as applicable. All annual cash fees are vested upon payment.</w:t>
      </w:r>
    </w:p>
    <w:p>
      <w:pPr>
        <w:spacing w:after="0" w:line="177" w:lineRule="exact"/>
        <w:rPr>
          <w:sz w:val="20"/>
          <w:szCs w:val="20"/>
          <w:color w:val="auto"/>
        </w:rPr>
      </w:pPr>
    </w:p>
    <w:p>
      <w:pPr>
        <w:ind w:left="1140"/>
        <w:spacing w:after="0"/>
        <w:tabs>
          <w:tab w:leader="none" w:pos="176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8"/>
          <w:szCs w:val="18"/>
          <w:b w:val="1"/>
          <w:bCs w:val="1"/>
          <w:color w:val="auto"/>
        </w:rPr>
        <w:t>Annual Board Service Retainer</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All Eligible Directors: $50,000</w:t>
      </w:r>
    </w:p>
    <w:p>
      <w:pPr>
        <w:spacing w:after="0" w:line="16"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Non-executive Chair/Lead Independent Director (as applicable): $75,000 (in lieu of above)</w:t>
      </w:r>
    </w:p>
    <w:p>
      <w:pPr>
        <w:spacing w:after="0" w:line="207" w:lineRule="exact"/>
        <w:rPr>
          <w:sz w:val="20"/>
          <w:szCs w:val="20"/>
          <w:color w:val="auto"/>
        </w:rPr>
      </w:pPr>
    </w:p>
    <w:p>
      <w:pPr>
        <w:ind w:left="1140"/>
        <w:spacing w:after="0"/>
        <w:tabs>
          <w:tab w:leader="none" w:pos="176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8"/>
          <w:szCs w:val="18"/>
          <w:b w:val="1"/>
          <w:bCs w:val="1"/>
          <w:color w:val="auto"/>
        </w:rPr>
        <w:t>Annual Committee Member Service Retainer</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Member of the Audit Committee: $10,000</w:t>
      </w:r>
    </w:p>
    <w:p>
      <w:pPr>
        <w:spacing w:after="0" w:line="16"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Member of the Compensation Committee: $7,500</w:t>
      </w:r>
    </w:p>
    <w:p>
      <w:pPr>
        <w:spacing w:after="0" w:line="4"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Member of the Nominating and Corporate Governance Committee: $5,000</w:t>
      </w:r>
    </w:p>
    <w:p>
      <w:pPr>
        <w:spacing w:after="0" w:line="202" w:lineRule="exact"/>
        <w:rPr>
          <w:sz w:val="20"/>
          <w:szCs w:val="20"/>
          <w:color w:val="auto"/>
        </w:rPr>
      </w:pPr>
    </w:p>
    <w:p>
      <w:pPr>
        <w:ind w:left="1140"/>
        <w:spacing w:after="0"/>
        <w:tabs>
          <w:tab w:leader="none" w:pos="176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8"/>
          <w:szCs w:val="18"/>
          <w:b w:val="1"/>
          <w:bCs w:val="1"/>
          <w:color w:val="auto"/>
        </w:rPr>
        <w:t>Annual Committee Chair Service Retainer (in lieu of Committee Member Service Retainer)</w:t>
      </w:r>
    </w:p>
    <w:p>
      <w:pPr>
        <w:spacing w:after="0" w:line="235"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Chair of the Audit Committee: $20,000</w:t>
      </w:r>
    </w:p>
    <w:p>
      <w:pPr>
        <w:spacing w:after="0" w:line="20"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Chair of the Compensation Committee: $15,000</w:t>
      </w:r>
    </w:p>
    <w:p>
      <w:pPr>
        <w:spacing w:after="0" w:line="8"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Chair of the Nominating and Corporate Governance Committee: $10,000</w:t>
      </w:r>
    </w:p>
    <w:p>
      <w:pPr>
        <w:spacing w:after="0" w:line="2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6"/>
          <w:szCs w:val="16"/>
          <w:b w:val="1"/>
          <w:bCs w:val="1"/>
          <w:color w:val="auto"/>
        </w:rPr>
        <w:t>Ability to Take Cash Compensation as RSUs</w:t>
      </w:r>
      <w:r>
        <w:rPr>
          <w:rFonts w:ascii="Arial" w:cs="Arial" w:eastAsia="Arial" w:hAnsi="Arial"/>
          <w:sz w:val="16"/>
          <w:szCs w:val="16"/>
          <w:color w:val="auto"/>
        </w:rPr>
        <w:t>.</w:t>
      </w:r>
    </w:p>
    <w:p>
      <w:pPr>
        <w:spacing w:after="0" w:line="216" w:lineRule="exact"/>
        <w:rPr>
          <w:sz w:val="20"/>
          <w:szCs w:val="20"/>
          <w:color w:val="auto"/>
        </w:rPr>
      </w:pPr>
    </w:p>
    <w:p>
      <w:pPr>
        <w:jc w:val="both"/>
        <w:ind w:firstLine="1134"/>
        <w:spacing w:after="0" w:line="253" w:lineRule="auto"/>
        <w:rPr>
          <w:sz w:val="20"/>
          <w:szCs w:val="20"/>
          <w:color w:val="auto"/>
        </w:rPr>
      </w:pPr>
      <w:r>
        <w:rPr>
          <w:rFonts w:ascii="Arial" w:cs="Arial" w:eastAsia="Arial" w:hAnsi="Arial"/>
          <w:sz w:val="20"/>
          <w:szCs w:val="20"/>
          <w:color w:val="auto"/>
        </w:rPr>
        <w:t xml:space="preserve">1.2.1 </w:t>
      </w:r>
      <w:r>
        <w:rPr>
          <w:rFonts w:ascii="Arial" w:cs="Arial" w:eastAsia="Arial" w:hAnsi="Arial"/>
          <w:sz w:val="20"/>
          <w:szCs w:val="20"/>
          <w:b w:val="1"/>
          <w:bCs w:val="1"/>
          <w:color w:val="auto"/>
        </w:rPr>
        <w:t>Election</w:t>
      </w:r>
      <w:r>
        <w:rPr>
          <w:rFonts w:ascii="Arial" w:cs="Arial" w:eastAsia="Arial" w:hAnsi="Arial"/>
          <w:sz w:val="20"/>
          <w:szCs w:val="20"/>
          <w:color w:val="auto"/>
        </w:rPr>
        <w:t>. Prior to the start of each fiscal year, a Non-Employee Director may elect to receive 100% of the annual cash compensation set forth herein for that next fiscal year as restricted stock units (“</w:t>
      </w:r>
      <w:r>
        <w:rPr>
          <w:rFonts w:ascii="Arial" w:cs="Arial" w:eastAsia="Arial" w:hAnsi="Arial"/>
          <w:sz w:val="20"/>
          <w:szCs w:val="20"/>
          <w:b w:val="1"/>
          <w:bCs w:val="1"/>
          <w:i w:val="1"/>
          <w:iCs w:val="1"/>
          <w:color w:val="auto"/>
        </w:rPr>
        <w:t>RSUs</w:t>
      </w:r>
      <w:r>
        <w:rPr>
          <w:rFonts w:ascii="Arial" w:cs="Arial" w:eastAsia="Arial" w:hAnsi="Arial"/>
          <w:sz w:val="20"/>
          <w:szCs w:val="20"/>
          <w:color w:val="auto"/>
        </w:rPr>
        <w:t>”) under Opendoor’s 2020 Incentive Award Plan or any successor equity incentive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for that number of shares equal to (a) the projected annual cash compensation for such Non-Employee Director for the fiscal year based on Board and committee membership as of the first day of such fiscal year divided by (b) the Share Price (as defined in Section 2), rounded to the nearest whole share. Any such RSU grant is referred to herein as the “</w:t>
      </w:r>
      <w:r>
        <w:rPr>
          <w:rFonts w:ascii="Arial" w:cs="Arial" w:eastAsia="Arial" w:hAnsi="Arial"/>
          <w:sz w:val="20"/>
          <w:szCs w:val="20"/>
          <w:b w:val="1"/>
          <w:bCs w:val="1"/>
          <w:i w:val="1"/>
          <w:iCs w:val="1"/>
          <w:color w:val="auto"/>
        </w:rPr>
        <w:t>Optional RSU</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Grant</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98" w:right="339" w:bottom="1440" w:gutter="0" w:footer="0" w:header="0"/>
        </w:sectPr>
      </w:pPr>
    </w:p>
    <w:bookmarkStart w:id="55" w:name="page56"/>
    <w:bookmarkEnd w:id="55"/>
    <w:p>
      <w:pPr>
        <w:jc w:val="both"/>
        <w:ind w:right="20" w:firstLine="1134"/>
        <w:spacing w:after="0" w:line="281" w:lineRule="auto"/>
        <w:rPr>
          <w:sz w:val="20"/>
          <w:szCs w:val="20"/>
          <w:color w:val="auto"/>
        </w:rPr>
      </w:pPr>
      <w:r>
        <w:rPr>
          <w:rFonts w:ascii="Arial" w:cs="Arial" w:eastAsia="Arial" w:hAnsi="Arial"/>
          <w:sz w:val="20"/>
          <w:szCs w:val="20"/>
          <w:color w:val="auto"/>
        </w:rPr>
        <w:t xml:space="preserve">1.2.2 </w:t>
      </w:r>
      <w:r>
        <w:rPr>
          <w:rFonts w:ascii="Arial" w:cs="Arial" w:eastAsia="Arial" w:hAnsi="Arial"/>
          <w:sz w:val="20"/>
          <w:szCs w:val="20"/>
          <w:b w:val="1"/>
          <w:bCs w:val="1"/>
          <w:color w:val="auto"/>
        </w:rPr>
        <w:t>Grant Date</w:t>
      </w:r>
      <w:r>
        <w:rPr>
          <w:rFonts w:ascii="Arial" w:cs="Arial" w:eastAsia="Arial" w:hAnsi="Arial"/>
          <w:sz w:val="20"/>
          <w:szCs w:val="20"/>
          <w:color w:val="auto"/>
        </w:rPr>
        <w:t>. The grant date for an Optional RSU Grant will be on or about February 15 first occurring after the start of the applicable fiscal year.</w:t>
      </w:r>
    </w:p>
    <w:p>
      <w:pPr>
        <w:spacing w:after="0" w:line="150" w:lineRule="exact"/>
        <w:rPr>
          <w:sz w:val="20"/>
          <w:szCs w:val="20"/>
          <w:color w:val="auto"/>
        </w:rPr>
      </w:pPr>
    </w:p>
    <w:p>
      <w:pPr>
        <w:jc w:val="both"/>
        <w:ind w:firstLine="1134"/>
        <w:spacing w:after="0" w:line="258" w:lineRule="auto"/>
        <w:rPr>
          <w:sz w:val="20"/>
          <w:szCs w:val="20"/>
          <w:color w:val="auto"/>
        </w:rPr>
      </w:pPr>
      <w:r>
        <w:rPr>
          <w:rFonts w:ascii="Arial" w:cs="Arial" w:eastAsia="Arial" w:hAnsi="Arial"/>
          <w:sz w:val="20"/>
          <w:szCs w:val="20"/>
          <w:color w:val="auto"/>
        </w:rPr>
        <w:t xml:space="preserve">1.2.3 </w:t>
      </w:r>
      <w:r>
        <w:rPr>
          <w:rFonts w:ascii="Arial" w:cs="Arial" w:eastAsia="Arial" w:hAnsi="Arial"/>
          <w:sz w:val="20"/>
          <w:szCs w:val="20"/>
          <w:b w:val="1"/>
          <w:bCs w:val="1"/>
          <w:color w:val="auto"/>
        </w:rPr>
        <w:t>Vesting</w:t>
      </w:r>
      <w:r>
        <w:rPr>
          <w:rFonts w:ascii="Arial" w:cs="Arial" w:eastAsia="Arial" w:hAnsi="Arial"/>
          <w:sz w:val="20"/>
          <w:szCs w:val="20"/>
          <w:color w:val="auto"/>
        </w:rPr>
        <w:t>. Unless otherwise determined by the Compensation Committee, each Optional RSU Grant will vest with respect to 1/4th of the total number of units on the last trading day in each fiscal quarter occurring during such fiscal year, provided in each case that the Non-Employee Director remains a Non-Employee Director on such vesting date. Optional RSU Grants will not be subject to accelerated vesting in connection with a Change in Control (as defined in the Plan).</w:t>
      </w:r>
    </w:p>
    <w:p>
      <w:pPr>
        <w:spacing w:after="0" w:line="186" w:lineRule="exact"/>
        <w:rPr>
          <w:sz w:val="20"/>
          <w:szCs w:val="20"/>
          <w:color w:val="auto"/>
        </w:rPr>
      </w:pPr>
    </w:p>
    <w:p>
      <w:pPr>
        <w:jc w:val="both"/>
        <w:ind w:firstLine="1134"/>
        <w:spacing w:after="0" w:line="283"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b w:val="1"/>
          <w:bCs w:val="1"/>
          <w:color w:val="auto"/>
        </w:rPr>
        <w:t>Changes in Cash Compensation Amount</w:t>
      </w:r>
      <w:r>
        <w:rPr>
          <w:rFonts w:ascii="Arial" w:cs="Arial" w:eastAsia="Arial" w:hAnsi="Arial"/>
          <w:sz w:val="18"/>
          <w:szCs w:val="18"/>
          <w:color w:val="auto"/>
        </w:rPr>
        <w:t>. In the event a Non-Employee Director would have otherwise been entitled to a greater annual cash compensation amount than that which was used to calculate the Optional RSU Grant (either as a result of an increase in the cash compensation amounts approved by the Board or a new committee membership or role), such Non-Employee Director will be entitled to receive the difference paid in cash pursuant to the terms above. In the event a Non-Employee Director would have otherwise been entitled to a lesser amount of cash compensation than that which was used to calculate the Optional RSU Grant as a result of a decrease in the cash compensation amounts approved by the Board or a decreased committee membership or role, there will be no effect on the Optional RSU Grant, nor will the Non-Employee Director be required to reimburse the Company for the difference.</w:t>
      </w:r>
    </w:p>
    <w:p>
      <w:pPr>
        <w:spacing w:after="0" w:line="168"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color w:val="auto"/>
        </w:rPr>
        <w:t>Equity Compensation</w:t>
      </w:r>
    </w:p>
    <w:p>
      <w:pPr>
        <w:spacing w:after="0" w:line="215"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2.1</w:t>
      </w:r>
      <w:r>
        <w:rPr>
          <w:rFonts w:ascii="Arial" w:cs="Arial" w:eastAsia="Arial" w:hAnsi="Arial"/>
          <w:sz w:val="18"/>
          <w:szCs w:val="18"/>
          <w:b w:val="1"/>
          <w:bCs w:val="1"/>
          <w:color w:val="auto"/>
        </w:rPr>
        <w:t>Automatic Equity Grants</w:t>
      </w:r>
      <w:r>
        <w:rPr>
          <w:rFonts w:ascii="Arial" w:cs="Arial" w:eastAsia="Arial" w:hAnsi="Arial"/>
          <w:sz w:val="18"/>
          <w:szCs w:val="18"/>
          <w:color w:val="auto"/>
        </w:rPr>
        <w:t>.</w:t>
      </w:r>
    </w:p>
    <w:p>
      <w:pPr>
        <w:spacing w:after="0" w:line="229" w:lineRule="exact"/>
        <w:rPr>
          <w:sz w:val="20"/>
          <w:szCs w:val="20"/>
          <w:color w:val="auto"/>
        </w:rPr>
      </w:pPr>
    </w:p>
    <w:p>
      <w:pPr>
        <w:jc w:val="both"/>
        <w:ind w:firstLine="1134"/>
        <w:spacing w:after="0" w:line="283"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b w:val="1"/>
          <w:bCs w:val="1"/>
          <w:color w:val="auto"/>
        </w:rPr>
        <w:t>Annual Grant</w:t>
      </w:r>
      <w:r>
        <w:rPr>
          <w:rFonts w:ascii="Arial" w:cs="Arial" w:eastAsia="Arial" w:hAnsi="Arial"/>
          <w:sz w:val="18"/>
          <w:szCs w:val="18"/>
          <w:color w:val="auto"/>
        </w:rPr>
        <w:t>. Without any further action of the Board, at the close of business on the date of each annual meeting of Opendoor’s stockholders, each person who is then a Non-Employee Director will automatically be granted a RSU for that number of shares of common stock equal to $200,000 divided by the Share Price, rounded to the nearest whole share (the “</w:t>
      </w:r>
      <w:r>
        <w:rPr>
          <w:rFonts w:ascii="Arial" w:cs="Arial" w:eastAsia="Arial" w:hAnsi="Arial"/>
          <w:sz w:val="18"/>
          <w:szCs w:val="18"/>
          <w:b w:val="1"/>
          <w:bCs w:val="1"/>
          <w:i w:val="1"/>
          <w:iCs w:val="1"/>
          <w:color w:val="auto"/>
        </w:rPr>
        <w:t>Annual Grant</w:t>
      </w:r>
      <w:r>
        <w:rPr>
          <w:rFonts w:ascii="Arial" w:cs="Arial" w:eastAsia="Arial" w:hAnsi="Arial"/>
          <w:sz w:val="18"/>
          <w:szCs w:val="18"/>
          <w:color w:val="auto"/>
        </w:rPr>
        <w:t>”). Each Annual Grant will vest in a single installment on the earlier to occur of (a) Opendoor’s next annual meeting of stockholders and (b) the first anniversary of the date of grant of the Annual Grant, provided that the Non-Employee Director continues to be a Non-Employee Director on</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such vesting date. In the event a Non-Employee Director has not been serving as a member of the Board for twelve months as of the date of grant of any Annual Grant, the Board may determine to prorate the Annual Grant to such Non-Employee Director to reflect the number of months served since such initial election through the date of grant of the Annual Grant.</w:t>
      </w:r>
    </w:p>
    <w:p>
      <w:pPr>
        <w:spacing w:after="0" w:line="187" w:lineRule="exact"/>
        <w:rPr>
          <w:sz w:val="20"/>
          <w:szCs w:val="20"/>
          <w:color w:val="auto"/>
        </w:rPr>
      </w:pPr>
    </w:p>
    <w:p>
      <w:pPr>
        <w:jc w:val="both"/>
        <w:ind w:firstLine="1134"/>
        <w:spacing w:after="0" w:line="280" w:lineRule="auto"/>
        <w:rPr>
          <w:sz w:val="20"/>
          <w:szCs w:val="20"/>
          <w:color w:val="auto"/>
        </w:rPr>
      </w:pPr>
      <w:r>
        <w:rPr>
          <w:rFonts w:ascii="Arial" w:cs="Arial" w:eastAsia="Arial" w:hAnsi="Arial"/>
          <w:sz w:val="19"/>
          <w:szCs w:val="19"/>
          <w:color w:val="auto"/>
        </w:rPr>
        <w:t xml:space="preserve">2.1.2 </w:t>
      </w:r>
      <w:r>
        <w:rPr>
          <w:rFonts w:ascii="Arial" w:cs="Arial" w:eastAsia="Arial" w:hAnsi="Arial"/>
          <w:sz w:val="19"/>
          <w:szCs w:val="19"/>
          <w:b w:val="1"/>
          <w:bCs w:val="1"/>
          <w:color w:val="auto"/>
        </w:rPr>
        <w:t>Vesting; Change in Control</w:t>
      </w:r>
      <w:r>
        <w:rPr>
          <w:rFonts w:ascii="Arial" w:cs="Arial" w:eastAsia="Arial" w:hAnsi="Arial"/>
          <w:sz w:val="19"/>
          <w:szCs w:val="19"/>
          <w:color w:val="auto"/>
        </w:rPr>
        <w:t>. Notwithstanding the foregoing vesting schedules, for each Non-Employee Director in office as of immediately prior to the closing of a Change in Control, the shares subject to his or her then-outstanding equity awards that were granted pursuant to this Policy will become fully vested immediately prior to the closing of such Change in Control.</w:t>
      </w:r>
    </w:p>
    <w:p>
      <w:pPr>
        <w:spacing w:after="0" w:line="153" w:lineRule="exact"/>
        <w:rPr>
          <w:sz w:val="20"/>
          <w:szCs w:val="20"/>
          <w:color w:val="auto"/>
        </w:rPr>
      </w:pPr>
    </w:p>
    <w:p>
      <w:pPr>
        <w:jc w:val="both"/>
        <w:ind w:firstLine="1134"/>
        <w:spacing w:after="0" w:line="267" w:lineRule="auto"/>
        <w:rPr>
          <w:sz w:val="20"/>
          <w:szCs w:val="20"/>
          <w:color w:val="auto"/>
        </w:rPr>
      </w:pPr>
      <w:r>
        <w:rPr>
          <w:rFonts w:ascii="Arial" w:cs="Arial" w:eastAsia="Arial" w:hAnsi="Arial"/>
          <w:sz w:val="20"/>
          <w:szCs w:val="20"/>
          <w:color w:val="auto"/>
        </w:rPr>
        <w:t xml:space="preserve">2.1.3 </w:t>
      </w:r>
      <w:r>
        <w:rPr>
          <w:rFonts w:ascii="Arial" w:cs="Arial" w:eastAsia="Arial" w:hAnsi="Arial"/>
          <w:sz w:val="20"/>
          <w:szCs w:val="20"/>
          <w:b w:val="1"/>
          <w:bCs w:val="1"/>
          <w:color w:val="auto"/>
        </w:rPr>
        <w:t>Share Price</w:t>
      </w:r>
      <w:r>
        <w:rPr>
          <w:rFonts w:ascii="Arial" w:cs="Arial" w:eastAsia="Arial" w:hAnsi="Arial"/>
          <w:sz w:val="20"/>
          <w:szCs w:val="20"/>
          <w:color w:val="auto"/>
        </w:rPr>
        <w:t>. For any RSU grant to be made under this Policy, the “</w:t>
      </w:r>
      <w:r>
        <w:rPr>
          <w:rFonts w:ascii="Arial" w:cs="Arial" w:eastAsia="Arial" w:hAnsi="Arial"/>
          <w:sz w:val="20"/>
          <w:szCs w:val="20"/>
          <w:b w:val="1"/>
          <w:bCs w:val="1"/>
          <w:i w:val="1"/>
          <w:iCs w:val="1"/>
          <w:color w:val="auto"/>
        </w:rPr>
        <w:t>Share Price</w:t>
      </w:r>
      <w:r>
        <w:rPr>
          <w:rFonts w:ascii="Arial" w:cs="Arial" w:eastAsia="Arial" w:hAnsi="Arial"/>
          <w:sz w:val="20"/>
          <w:szCs w:val="20"/>
          <w:color w:val="auto"/>
        </w:rPr>
        <w:t>” shall be the average Fair Market Value (as defined in the Plan) over the 20 trading days ending on the last trading day of the month preceding the month in which the RSU grant is made.</w:t>
      </w:r>
    </w:p>
    <w:p>
      <w:pPr>
        <w:spacing w:after="0" w:line="164" w:lineRule="exact"/>
        <w:rPr>
          <w:sz w:val="20"/>
          <w:szCs w:val="20"/>
          <w:color w:val="auto"/>
        </w:rPr>
      </w:pPr>
    </w:p>
    <w:p>
      <w:pPr>
        <w:jc w:val="both"/>
        <w:ind w:firstLine="1134"/>
        <w:spacing w:after="0" w:line="275" w:lineRule="auto"/>
        <w:rPr>
          <w:sz w:val="20"/>
          <w:szCs w:val="20"/>
          <w:color w:val="auto"/>
        </w:rPr>
      </w:pPr>
      <w:r>
        <w:rPr>
          <w:rFonts w:ascii="Arial" w:cs="Arial" w:eastAsia="Arial" w:hAnsi="Arial"/>
          <w:sz w:val="19"/>
          <w:szCs w:val="19"/>
          <w:color w:val="auto"/>
        </w:rPr>
        <w:t xml:space="preserve">2.1.4 </w:t>
      </w:r>
      <w:r>
        <w:rPr>
          <w:rFonts w:ascii="Arial" w:cs="Arial" w:eastAsia="Arial" w:hAnsi="Arial"/>
          <w:sz w:val="19"/>
          <w:szCs w:val="19"/>
          <w:b w:val="1"/>
          <w:bCs w:val="1"/>
          <w:color w:val="auto"/>
        </w:rPr>
        <w:t>Remaining Terms</w:t>
      </w:r>
      <w:r>
        <w:rPr>
          <w:rFonts w:ascii="Arial" w:cs="Arial" w:eastAsia="Arial" w:hAnsi="Arial"/>
          <w:sz w:val="19"/>
          <w:szCs w:val="19"/>
          <w:color w:val="auto"/>
        </w:rPr>
        <w:t>. The remaining terms and conditions of each RSU grant under this Policy, including transferability, will be as set forth in Opendoor’s standard RSU grant notice and agreement, in the form adopted from time to time by the Board or its Compensation Committee. In the event any grant date set forth above for any RSU grant to be made under this Policy is not a trading day on the Nasdaq Stock Exchange (e.g., a weekend or holiday), then the grant date shall be the next trading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13" w:right="339" w:bottom="1440" w:gutter="0" w:footer="0" w:header="0"/>
        </w:sectPr>
      </w:pPr>
    </w:p>
    <w:bookmarkStart w:id="56" w:name="page57"/>
    <w:bookmarkEnd w:id="56"/>
    <w:p>
      <w:pPr>
        <w:ind w:left="660" w:hanging="652"/>
        <w:spacing w:after="0"/>
        <w:tabs>
          <w:tab w:leader="none" w:pos="66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Expenses</w:t>
      </w:r>
    </w:p>
    <w:p>
      <w:pPr>
        <w:spacing w:after="0" w:line="235"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Opendoor will reimburse each Non-Employee Director for ordinary, necessary and reasonable out-of-pocket travel expenses to cover in-person attendance at and participation in Board and committee meetings; provided that the Non-Employee Director timely submits to Opendoor appropriate documentation substantiating such expenses in accordance with Opendoor’s travel and expense policy, as in effect from time to time.</w:t>
      </w:r>
    </w:p>
    <w:p>
      <w:pPr>
        <w:spacing w:after="0" w:line="202"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20"/>
          <w:szCs w:val="20"/>
          <w:b w:val="1"/>
          <w:bCs w:val="1"/>
          <w:color w:val="auto"/>
        </w:rPr>
      </w:pPr>
      <w:r>
        <w:rPr>
          <w:rFonts w:ascii="Arial" w:cs="Arial" w:eastAsia="Arial" w:hAnsi="Arial"/>
          <w:sz w:val="22"/>
          <w:szCs w:val="22"/>
          <w:b w:val="1"/>
          <w:bCs w:val="1"/>
          <w:color w:val="auto"/>
        </w:rPr>
        <w:t>Compensation Limits</w:t>
      </w:r>
    </w:p>
    <w:p>
      <w:pPr>
        <w:spacing w:after="0" w:line="230"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Notwithstanding anything to the contrary in this Policy, all compensation payable under this Policy will be subject to any limits on the maximum amount of Non-Employee Director compensation set forth in the Plan, as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(As adopted by the Board of Directors on December 18, 2020 and amended as of May 23, 2023)</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13"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293" w:lineRule="exact"/>
        <w:rPr>
          <w:sz w:val="20"/>
          <w:szCs w:val="20"/>
          <w:color w:val="auto"/>
        </w:rPr>
      </w:pPr>
    </w:p>
    <w:p>
      <w:pPr>
        <w:jc w:val="center"/>
        <w:spacing w:after="0" w:line="321" w:lineRule="auto"/>
        <w:rPr>
          <w:sz w:val="20"/>
          <w:szCs w:val="20"/>
          <w:color w:val="auto"/>
        </w:rPr>
      </w:pPr>
      <w:r>
        <w:rPr>
          <w:rFonts w:ascii="Arial" w:cs="Arial" w:eastAsia="Arial" w:hAnsi="Arial"/>
          <w:sz w:val="18"/>
          <w:szCs w:val="18"/>
          <w:b w:val="1"/>
          <w:bCs w:val="1"/>
          <w:color w:val="auto"/>
        </w:rPr>
        <w:t>CERTIFICATION OF CHIEF EXECUTIVE OFFICER PURSUANT TO EXCHANGE ACT RULES 13a-14(a) AND 15d-14(a) AS ADOPTED PURSUANT TO SECTION 302 OF THE SARBANES-OXLEY ACT OF 2002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I, Carrie Wheeler, certify that:</w:t>
      </w:r>
    </w:p>
    <w:p>
      <w:pPr>
        <w:spacing w:after="0" w:line="225"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Opendoor Technologies,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980" w:right="60" w:hanging="324"/>
        <w:spacing w:after="0" w:line="263" w:lineRule="auto"/>
        <w:tabs>
          <w:tab w:leader="none" w:pos="97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980" w:right="360" w:hanging="324"/>
        <w:spacing w:after="0" w:line="263"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980" w:right="540" w:hanging="324"/>
        <w:spacing w:after="0" w:line="342" w:lineRule="auto"/>
        <w:tabs>
          <w:tab w:leader="none" w:pos="97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40" w:hanging="324"/>
        <w:spacing w:after="0" w:line="263"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780" w:hanging="324"/>
        <w:spacing w:after="0" w:line="342" w:lineRule="auto"/>
        <w:tabs>
          <w:tab w:leader="none" w:pos="97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980" w:right="460" w:hanging="324"/>
        <w:spacing w:after="0" w:line="277"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ind w:left="380"/>
        <w:spacing w:after="0"/>
        <w:tabs>
          <w:tab w:leader="none" w:pos="5020" w:val="left"/>
          <w:tab w:leader="none" w:pos="5620" w:val="left"/>
        </w:tabs>
        <w:rPr>
          <w:sz w:val="20"/>
          <w:szCs w:val="20"/>
          <w:color w:val="auto"/>
        </w:rPr>
      </w:pPr>
      <w:r>
        <w:rPr>
          <w:rFonts w:ascii="Arial" w:cs="Arial" w:eastAsia="Arial" w:hAnsi="Arial"/>
          <w:sz w:val="18"/>
          <w:szCs w:val="18"/>
          <w:color w:val="auto"/>
        </w:rPr>
        <w:t>Date: November 02,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Carrie Wheeler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27514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Carrie Wheeler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958"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293" w:lineRule="exact"/>
        <w:rPr>
          <w:sz w:val="20"/>
          <w:szCs w:val="20"/>
          <w:color w:val="auto"/>
        </w:rPr>
      </w:pPr>
    </w:p>
    <w:p>
      <w:pPr>
        <w:jc w:val="center"/>
        <w:spacing w:after="0" w:line="321" w:lineRule="auto"/>
        <w:rPr>
          <w:sz w:val="20"/>
          <w:szCs w:val="20"/>
          <w:color w:val="auto"/>
        </w:rPr>
      </w:pPr>
      <w:r>
        <w:rPr>
          <w:rFonts w:ascii="Arial" w:cs="Arial" w:eastAsia="Arial" w:hAnsi="Arial"/>
          <w:sz w:val="18"/>
          <w:szCs w:val="18"/>
          <w:b w:val="1"/>
          <w:bCs w:val="1"/>
          <w:color w:val="auto"/>
        </w:rPr>
        <w:t>CERTIFICATION OF INTERIM CHIEF FINANCIAL OFFICER PURSUANT TO EXCHANGE ACT RULES 13a-14(a) AND 15d-14(a) AS ADOPTED PURSUANT TO SECTION 302 OF THE SARBANES-OXLEY ACT OF 2002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I, Christina Schwartz, certify that:</w:t>
      </w:r>
    </w:p>
    <w:p>
      <w:pPr>
        <w:spacing w:after="0" w:line="225"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Opendoor Technologies,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980" w:right="60" w:hanging="324"/>
        <w:spacing w:after="0" w:line="263" w:lineRule="auto"/>
        <w:tabs>
          <w:tab w:leader="none" w:pos="97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980" w:right="360" w:hanging="324"/>
        <w:spacing w:after="0" w:line="263"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980" w:right="540" w:hanging="324"/>
        <w:spacing w:after="0" w:line="342" w:lineRule="auto"/>
        <w:tabs>
          <w:tab w:leader="none" w:pos="97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40" w:hanging="324"/>
        <w:spacing w:after="0" w:line="263"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780" w:hanging="324"/>
        <w:spacing w:after="0" w:line="342" w:lineRule="auto"/>
        <w:tabs>
          <w:tab w:leader="none" w:pos="97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980" w:right="460" w:hanging="324"/>
        <w:spacing w:after="0" w:line="277"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ind w:left="380"/>
        <w:spacing w:after="0"/>
        <w:tabs>
          <w:tab w:leader="none" w:pos="5020" w:val="left"/>
          <w:tab w:leader="none" w:pos="5620" w:val="left"/>
        </w:tabs>
        <w:rPr>
          <w:sz w:val="20"/>
          <w:szCs w:val="20"/>
          <w:color w:val="auto"/>
        </w:rPr>
      </w:pPr>
      <w:r>
        <w:rPr>
          <w:rFonts w:ascii="Arial" w:cs="Arial" w:eastAsia="Arial" w:hAnsi="Arial"/>
          <w:sz w:val="18"/>
          <w:szCs w:val="18"/>
          <w:color w:val="auto"/>
        </w:rPr>
        <w:t>Date: November 02,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Christina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31750</wp:posOffset>
            </wp:positionV>
            <wp:extent cx="27514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Christina Schwartz</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Interim Chief Financial Officer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240"/>
          </w:cols>
          <w:pgMar w:left="320" w:top="958"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32.1</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INTERIM CHIEF FINANCIAL OFFICER</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31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Quarterly Report on Form 10-Q of Opendoor Technologies Inc. (the “Company”) for the period ended September 30, 2023 as filed with the Securities and Exchange Commission on the date hereof (the “Report”), the undersigned, Carrie Wheeler, Chief Executive Officer of the Company, and Christina Schwartz, Interim Chief Financial Officer of the Company, each certifies, pursuant to 18 U.S.C. Section 1350, as adopted pursuant to Section 906 of the Sarbanes-Oxley Act of 2002, that:</w:t>
      </w:r>
    </w:p>
    <w:p>
      <w:pPr>
        <w:spacing w:after="0" w:line="214"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8" w:lineRule="exact"/>
        <w:rPr>
          <w:sz w:val="20"/>
          <w:szCs w:val="20"/>
          <w:color w:val="auto"/>
        </w:rPr>
      </w:pPr>
    </w:p>
    <w:p>
      <w:pPr>
        <w:ind w:left="20"/>
        <w:spacing w:after="0"/>
        <w:tabs>
          <w:tab w:leader="none" w:pos="780" w:val="left"/>
          <w:tab w:leader="none" w:pos="5020" w:val="left"/>
          <w:tab w:leader="none" w:pos="5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02,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Carrie Wheeler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31750</wp:posOffset>
            </wp:positionV>
            <wp:extent cx="28200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Carrie Wheeler</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tabs>
          <w:tab w:leader="none" w:pos="780" w:val="left"/>
          <w:tab w:leader="none" w:pos="5020" w:val="left"/>
          <w:tab w:leader="none" w:pos="5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02,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Christina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31750</wp:posOffset>
            </wp:positionV>
            <wp:extent cx="28200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Christina Schwartz</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Interim Chief Financial Officer</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Financial and Accounting Officer</w:t>
      </w:r>
    </w:p>
    <w:sectPr>
      <w:pgSz w:w="11900" w:h="16838" w:orient="portrait"/>
      <w:cols w:equalWidth="0" w:num="1">
        <w:col w:w="11240"/>
      </w:cols>
      <w:pgMar w:left="320" w:top="9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2"/>
    </w:lvl>
  </w:abstractNum>
  <w:abstractNum w:abstractNumId="7">
    <w:nsid w:val="3F2DBA31"/>
    <w:multiLevelType w:val="hybridMultilevel"/>
    <w:lvl w:ilvl="0">
      <w:lvlJc w:val="left"/>
      <w:lvlText w:val="%1."/>
      <w:numFmt w:val="decimal"/>
      <w:start w:val="3"/>
    </w:lvl>
  </w:abstractNum>
  <w:abstractNum w:abstractNumId="8">
    <w:nsid w:val="7C83E458"/>
    <w:multiLevelType w:val="hybridMultilevel"/>
    <w:lvl w:ilvl="0">
      <w:lvlJc w:val="left"/>
      <w:lvlText w:val="%1."/>
      <w:numFmt w:val="decimal"/>
      <w:start w:val="4"/>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5"/>
    </w:lvl>
  </w:abstractNum>
  <w:abstractNum w:abstractNumId="11">
    <w:nsid w:val="436C6125"/>
    <w:multiLevelType w:val="hybridMultilevel"/>
    <w:lvl w:ilvl="0">
      <w:lvlJc w:val="left"/>
      <w:lvlText w:val="%1."/>
      <w:numFmt w:val="decimal"/>
      <w:start w:val="6"/>
    </w:lvl>
  </w:abstractNum>
  <w:abstractNum w:abstractNumId="12">
    <w:nsid w:val="628C895D"/>
    <w:multiLevelType w:val="hybridMultilevel"/>
    <w:lvl w:ilvl="0">
      <w:lvlJc w:val="left"/>
      <w:lvlText w:val="%1."/>
      <w:numFmt w:val="decimal"/>
      <w:start w:val="7"/>
    </w:lvl>
  </w:abstractNum>
  <w:abstractNum w:abstractNumId="13">
    <w:nsid w:val="333AB105"/>
    <w:multiLevelType w:val="hybridMultilevel"/>
    <w:lvl w:ilvl="0">
      <w:lvlJc w:val="left"/>
      <w:lvlText w:val="%1."/>
      <w:numFmt w:val="decimal"/>
      <w:start w:val="8"/>
    </w:lvl>
  </w:abstractNum>
  <w:abstractNum w:abstractNumId="14">
    <w:nsid w:val="721DA317"/>
    <w:multiLevelType w:val="hybridMultilevel"/>
    <w:lvl w:ilvl="0">
      <w:lvlJc w:val="left"/>
      <w:lvlText w:val="%1."/>
      <w:numFmt w:val="decimal"/>
      <w:start w:val="9"/>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9"/>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1."/>
      <w:numFmt w:val="decimal"/>
      <w:start w:val="2"/>
    </w:lvl>
  </w:abstractNum>
  <w:abstractNum w:abstractNumId="24">
    <w:nsid w:val="54E49EB4"/>
    <w:multiLevelType w:val="hybridMultilevel"/>
    <w:lvl w:ilvl="0">
      <w:lvlJc w:val="left"/>
      <w:lvlText w:val="%1."/>
      <w:numFmt w:val="decimal"/>
      <w:start w:val="3"/>
    </w:lvl>
  </w:abstractNum>
  <w:abstractNum w:abstractNumId="25">
    <w:nsid w:val="71F32454"/>
    <w:multiLevelType w:val="hybridMultilevel"/>
    <w:lvl w:ilvl="0">
      <w:lvlJc w:val="left"/>
      <w:lvlText w:val="%1."/>
      <w:numFmt w:val="decimal"/>
      <w:start w:val="4"/>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83" Type="http://schemas.openxmlformats.org/officeDocument/2006/relationships/hyperlink" Target="http://www.sec.gov/Archives/edgar/data/1801169/000110465920105791/tm2030935d1_ex2-1.htm" TargetMode="External"/><Relationship Id="rId84" Type="http://schemas.openxmlformats.org/officeDocument/2006/relationships/hyperlink" Target="http://www.sec.gov/Archives/edgar/data/1801169/000110465920137517/tm2038661d2_ex3-1.htm" TargetMode="External"/><Relationship Id="rId85" Type="http://schemas.openxmlformats.org/officeDocument/2006/relationships/hyperlink" Target="https://www.sec.gov/Archives/edgar/data/1801169/000119312523013575/d386352dex31.htm" TargetMode="External"/><Relationship Id="rId86" Type="http://schemas.openxmlformats.org/officeDocument/2006/relationships/hyperlink" Target="http://www.sec.gov/Archives/edgar/data/1801169/000110465920122215/tm2030455d5_ex4-5.htm" TargetMode="External"/><Relationship Id="rId87" Type="http://schemas.openxmlformats.org/officeDocument/2006/relationships/hyperlink" Target="https://www.sec.gov/Archives/edgar/data/1801169/000180116922000079/exhibit992opendoor-warra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2023-11-02T15:49:28Z</dcterms:created>
  <dcterms:modified xsi:type="dcterms:W3CDTF">2023-11-02T15:49:28Z</dcterms:modified>
</cp:coreProperties>
</file>