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50010.xml.htm"/>
      <w:bookmarkStart w:id="1" w:name="kswkform4_17867500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Nejatian Kasra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703"/>
        <w:gridCol w:w="1351"/>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27,625</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w:t>
            </w:r>
            <w:r>
              <w:rPr>
                <w:rFonts w:ascii="Times;serif" w:hAnsi="Times;serif"/>
                <w:color w:val="008000"/>
                <w:position w:val="7"/>
                <w:sz w:val="16"/>
                <w:sz w:val="20"/>
                <w:shd w:fill="FFFFFF" w:val="clear"/>
              </w:rPr>
              <w:t>(2)</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83,605,924</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open market purchase of shares of the Issuer's common stock by the Reporting Person in accordance with the Issuer's Insider Trading and Trading Window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$3.6150 to $3.6200, inclusive. The Reporting Person undertakes to provide to the Issuer, any security holder of the Issuer or the staff of the Securities and Exchange Commission, upon request, full information regarding the number of shares purchased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Rishi Kotiya,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729"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3633</Characters>
  <CharactersWithSpaces>4228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