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17,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Opendoor Technologies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tbl>
      <w:tblPr>
        <w:tblW w:w="9180" w:type="dxa"/>
        <w:jc w:val="left"/>
        <w:tblInd w:w="0" w:type="dxa"/>
        <w:tblLayout w:type="fixed"/>
        <w:tblCellMar>
          <w:top w:w="0" w:type="dxa"/>
          <w:left w:w="0" w:type="dxa"/>
          <w:bottom w:w="0" w:type="dxa"/>
          <w:right w:w="0" w:type="dxa"/>
        </w:tblCellMar>
      </w:tblPr>
      <w:tblGrid>
        <w:gridCol w:w="3755"/>
        <w:gridCol w:w="60"/>
        <w:gridCol w:w="2300"/>
        <w:gridCol w:w="60"/>
        <w:gridCol w:w="3005"/>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0"/>
              <w:jc w:val="left"/>
              <w:rPr>
                <w:color w:val="000000"/>
              </w:rPr>
            </w:pPr>
            <w:r>
              <w:rPr>
                <w:color w:val="000000"/>
              </w:rPr>
              <w:t> </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001-39253</w:t>
            </w:r>
          </w:p>
        </w:tc>
        <w:tc>
          <w:tcPr>
            <w:tcW w:w="60" w:type="dxa"/>
            <w:tcBorders/>
            <w:vAlign w:val="center"/>
          </w:tcPr>
          <w:p>
            <w:pPr>
              <w:pStyle w:val="TableContents"/>
              <w:bidi w:val="0"/>
              <w:spacing w:before="0" w:after="0"/>
              <w:jc w:val="left"/>
              <w:rPr>
                <w:color w:val="000000"/>
              </w:rPr>
            </w:pPr>
            <w:r>
              <w:rPr>
                <w:color w:val="000000"/>
              </w:rPr>
              <w:t> </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30-1318214</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60" w:type="dxa"/>
            <w:tcBorders/>
            <w:vAlign w:val="center"/>
          </w:tcPr>
          <w:p>
            <w:pPr>
              <w:pStyle w:val="TableContents"/>
              <w:bidi w:val="0"/>
              <w:spacing w:before="0" w:after="0"/>
              <w:jc w:val="left"/>
              <w:rPr>
                <w:color w:val="000000"/>
              </w:rPr>
            </w:pPr>
            <w:r>
              <w:rPr>
                <w:color w:val="000000"/>
              </w:rPr>
              <w:t> </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60" w:type="dxa"/>
            <w:tcBorders/>
            <w:vAlign w:val="center"/>
          </w:tcPr>
          <w:p>
            <w:pPr>
              <w:pStyle w:val="TableContents"/>
              <w:bidi w:val="0"/>
              <w:spacing w:before="0" w:after="0"/>
              <w:jc w:val="left"/>
              <w:rPr>
                <w:color w:val="000000"/>
              </w:rPr>
            </w:pPr>
            <w:r>
              <w:rPr>
                <w:color w:val="000000"/>
              </w:rPr>
              <w:t> </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color w:val="000000"/>
          <w:shd w:fill="FFFFFF" w:val="clear"/>
        </w:rPr>
      </w:pPr>
      <w:r>
        <w:rPr>
          <w:color w:val="000000"/>
          <w:shd w:fill="FFFFFF" w:val="clear"/>
        </w:rPr>
        <w:t> </w:t>
      </w:r>
    </w:p>
    <w:tbl>
      <w:tblPr>
        <w:tblW w:w="4360" w:type="dxa"/>
        <w:jc w:val="left"/>
        <w:tblInd w:w="0" w:type="dxa"/>
        <w:tblLayout w:type="fixed"/>
        <w:tblCellMar>
          <w:top w:w="0" w:type="dxa"/>
          <w:left w:w="0" w:type="dxa"/>
          <w:bottom w:w="0" w:type="dxa"/>
          <w:right w:w="0" w:type="dxa"/>
        </w:tblCellMar>
      </w:tblPr>
      <w:tblGrid>
        <w:gridCol w:w="3380"/>
        <w:gridCol w:w="60"/>
        <w:gridCol w:w="920"/>
      </w:tblGrid>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1295 West Washington Street, Suite 115</w:t>
            </w:r>
          </w:p>
        </w:tc>
        <w:tc>
          <w:tcPr>
            <w:tcW w:w="60" w:type="dxa"/>
            <w:tcBorders/>
            <w:vAlign w:val="center"/>
          </w:tcPr>
          <w:p>
            <w:pPr>
              <w:pStyle w:val="TableContents"/>
              <w:bidi w:val="0"/>
              <w:spacing w:before="0" w:after="0"/>
              <w:jc w:val="left"/>
              <w:rPr>
                <w:color w:val="000000"/>
              </w:rPr>
            </w:pPr>
            <w:r>
              <w:rPr>
                <w:color w:val="000000"/>
              </w:rPr>
              <w:t> </w:t>
            </w:r>
          </w:p>
        </w:tc>
        <w:tc>
          <w:tcPr>
            <w:tcW w:w="92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Tempe, AZ</w:t>
            </w:r>
          </w:p>
        </w:tc>
        <w:tc>
          <w:tcPr>
            <w:tcW w:w="60" w:type="dxa"/>
            <w:tcBorders/>
            <w:vAlign w:val="center"/>
          </w:tcPr>
          <w:p>
            <w:pPr>
              <w:pStyle w:val="TableContents"/>
              <w:bidi w:val="0"/>
              <w:spacing w:before="0" w:after="0"/>
              <w:jc w:val="left"/>
              <w:rPr>
                <w:color w:val="000000"/>
              </w:rPr>
            </w:pPr>
            <w:r>
              <w:rPr>
                <w:color w:val="000000"/>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85288</w:t>
            </w:r>
          </w:p>
        </w:tc>
      </w:tr>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0"/>
              <w:jc w:val="left"/>
              <w:rPr>
                <w:color w:val="000000"/>
              </w:rPr>
            </w:pPr>
            <w:r>
              <w:rPr>
                <w:color w:val="000000"/>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(480) 618-6760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540" w:right="0" w:hanging="54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7303"/>
        <w:gridCol w:w="60"/>
        <w:gridCol w:w="813"/>
        <w:gridCol w:w="60"/>
        <w:gridCol w:w="1969"/>
      </w:tblGrid>
      <w:tr>
        <w:trPr/>
        <w:tc>
          <w:tcPr>
            <w:tcW w:w="730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13"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969"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 per share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K Warrants, each whole warrant exercisable to purchase one share of common stock at an exercise price of $9.00 per warrant</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OPENW</w:t>
            </w:r>
          </w:p>
        </w:tc>
        <w:tc>
          <w:tcPr>
            <w:tcW w:w="60" w:type="dxa"/>
            <w:tcBorders/>
            <w:tcMar>
              <w:bottom w:w="0" w:type="dxa"/>
            </w:tcMar>
            <w:vAlign w:val="center"/>
          </w:tcPr>
          <w:p>
            <w:pPr>
              <w:pStyle w:val="TableContents"/>
              <w:bidi w:val="0"/>
              <w:spacing w:before="0" w:after="283"/>
              <w:jc w:val="left"/>
              <w:rPr/>
            </w:pPr>
            <w:r>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A Warrants, each whole warrant exercisable to purchase one share of common stock at an exercise price of $13.00 per warrant</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OPENL</w:t>
            </w:r>
          </w:p>
        </w:tc>
        <w:tc>
          <w:tcPr>
            <w:tcW w:w="60" w:type="dxa"/>
            <w:tcBorders/>
            <w:tcMar>
              <w:bottom w:w="0" w:type="dxa"/>
            </w:tcMar>
            <w:vAlign w:val="center"/>
          </w:tcPr>
          <w:p>
            <w:pPr>
              <w:pStyle w:val="TableContents"/>
              <w:bidi w:val="0"/>
              <w:spacing w:before="0" w:after="283"/>
              <w:jc w:val="left"/>
              <w:rPr/>
            </w:pPr>
            <w:r>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r>
        <w:trPr/>
        <w:tc>
          <w:tcPr>
            <w:tcW w:w="730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Series Z Warrants, each whole warrant exercisable to purchase one share of common stock at an exercise price of $17.00 per warrant</w:t>
            </w:r>
          </w:p>
        </w:tc>
        <w:tc>
          <w:tcPr>
            <w:tcW w:w="60" w:type="dxa"/>
            <w:tcBorders/>
            <w:tcMar>
              <w:bottom w:w="0" w:type="dxa"/>
            </w:tcMar>
            <w:vAlign w:val="center"/>
          </w:tcPr>
          <w:p>
            <w:pPr>
              <w:pStyle w:val="TableContents"/>
              <w:bidi w:val="0"/>
              <w:spacing w:before="0" w:after="283"/>
              <w:jc w:val="left"/>
              <w:rPr/>
            </w:pPr>
            <w:r>
              <w:rPr/>
              <w:t> </w:t>
            </w:r>
          </w:p>
        </w:tc>
        <w:tc>
          <w:tcPr>
            <w:tcW w:w="813"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OPENZ</w:t>
            </w:r>
          </w:p>
        </w:tc>
        <w:tc>
          <w:tcPr>
            <w:tcW w:w="60" w:type="dxa"/>
            <w:tcBorders/>
            <w:tcMar>
              <w:bottom w:w="0" w:type="dxa"/>
            </w:tcMar>
            <w:vAlign w:val="center"/>
          </w:tcPr>
          <w:p>
            <w:pPr>
              <w:pStyle w:val="TableContents"/>
              <w:bidi w:val="0"/>
              <w:spacing w:before="0" w:after="283"/>
              <w:jc w:val="left"/>
              <w:rPr/>
            </w:pPr>
            <w:r>
              <w:rPr/>
              <w:t> </w:t>
            </w:r>
          </w:p>
        </w:tc>
        <w:tc>
          <w:tcPr>
            <w:tcW w:w="1969"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Indenture and Convertible Notes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19, 2026, Opendoor Technologies Inc. (the “Company”) consummated (the “Closing”) the previously announced separate, privately negotiated subscription transactions with certain investors, pursuant to which it issued $650.0 million aggregate principal amount of its 0.00% Convertible Senior Notes due 2030 (the “Notes”) to such investors (the “Transactions”), in each case, pursuant to exemptions from registration under the Securities Act of 1933, as amended (the “Securities Act”), and the rules and regulations thereunder.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Notes were issued pursuant to, and are governed by, an indenture (the “Indenture”), dated as of August 19, 2026, between the Company and U.S. Bank Trust Company, National Association, as trustee (the “Trustee”).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Notes are senior, unsecured obligations of the Company. The Notes will not bear regular interest, and the principal amount of the Notes will not accrete. The Notes will mature on August 15, 2030, unless earlier converted, redeemed or repurchased.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Before February 15, 2030, noteholders have the right to convert their Notes only upon the occurrence of certain events. From and including February 15, 2030,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its election. The initial conversion rate is 212.2466 shares of common stock per $1,000 principal amount of Notes, which represents an initial conversion price of approximately $4.71 per share of common stock. Based on the initial conversion rate, 137,960,290 shares of common stock would be issued upon conversion of the Notes. The initial conversion price represents a premium of approximately 35% over the last reported sale price of $3.49 per share of the Company’s common stock on August 12, 2026.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Except in the case of a “Cleanup Redemption” (as defined below), the Company may not redeem the Notes prior to February 22, 2029. The Notes are redeemable, in whole or in part (subject to certain limitations), for cash at the Company’s option at any time, and from time to time, on or after February 22, 2029 and on or before the 36th scheduled trading day immediately before the maturity date, but only if the last reported sale price per share of the Company’s common stock exceeds 130% of the conversion price for a specified period of time and certain liquidity conditions have been satisfied. However, the Company may not redeem less than all of the outstanding Notes unless at least $100.0 million aggregate principal amount of Notes are outstanding and not called for redemption as of the time the Company sends the related redemption notice. The redemption price is equal to the principal amount of the Notes to be redeemed, plus accrued and unpaid special interest and additional interest, if any, to, but excluding, the relevant redemption date. In addition, the Company may redeem for cash all, but not less than all, of the Notes, at any time on or before the 36th scheduled trading day immediately before the maturity date, at a redemption price equal to 100% of the principal amount of the Notes to be redeemed, plus accrued and unpaid special interest and additional interest, if any, to, but excluding, the redemption date if less than $75.0 million aggregate principal amount of the Notes remains outstanding and certain liquidity conditions have been satisfied (such redemption, a “Cleanup Redemption”). Calling the Notes will constitute a Make-Whole Fundamental Change, which will result in an increase to the conversion rate in certain circumstances for a specified period of time.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certain corporate events that constitute a “Fundamental Change” (as defined in the Indenture) occur, then noteholders may require the Company to repurchase their Notes at a cash repurchase price equal to the principal amount of the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Notes have customary provisions relating to the occurrence of “Events of Default” (as defined in the Indenture), which include the following: (i) certain payment defaults on the Notes (which, in the case of a default in the payment of special interest and additional interest, if any,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$50,000,000; and (vii) certain events of bankruptcy, insolvency and reorganization involving the Company or any of its significant subsidiaries.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Event of Default involving bankruptcy, insolvency or reorganization events with respect to the Company (and not solely with respect to a significant subsidiary of the Company) occurs, then the principal amount of, and all accrued and unpaid special interest and additional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special interest and additional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for up to 180 days, exclusively of the right of the noteholders to receive special interest on the Notes at a specified rate per annum not exceeding 1.00% on the principal amount of the Notes. If the Company makes such an election, then the Notes will be subject to acceleration on account of the relevant reporting covenant failure from, and including, the 181st day after which such failure occurred or if the Company fails to pay any accrued and unpaid special interest. Special interest will cease to accrue on any Notes from, and including, such 181</w:t>
      </w:r>
      <w:r>
        <w:rPr>
          <w:rFonts w:ascii="Times New Roman" w:hAnsi="Times New Roman"/>
          <w:color w:val="000000"/>
          <w:position w:val="7"/>
          <w:sz w:val="16"/>
          <w:sz w:val="20"/>
          <w:shd w:fill="FFFFFF" w:val="clear"/>
        </w:rPr>
        <w:t>st</w:t>
      </w:r>
      <w:r>
        <w:rPr>
          <w:rFonts w:ascii="Times New Roman" w:hAnsi="Times New Roman"/>
          <w:color w:val="000000"/>
          <w:sz w:val="20"/>
          <w:shd w:fill="FFFFFF" w:val="clear"/>
        </w:rPr>
        <w:t xml:space="preserve"> day.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above description of the Indenture and the Notes is a summary and is not complete. Copies of the Indenture and the form of the Notes are filed as Exhibits 4.1 and 4.2, respectively, to this Current Report on Form 8-K, and the above summary is qualified by reference to the terms of the Indenture and the Notes set forth in such exhibits.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Capped Call Transactions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12, 2026, the Company entered into privately negotiated capped call transactions (the “capped call transactions”) with certain financial institutions (the “option counterparties”). The capped call transactions cover, subject to anti-dilution adjustments substantially similar to those applicable to the Notes, the number of shares of the Company’s common stock that will initially underlie the Notes, and are expected generally to reduce the potential dilution to the Company’s common stock upon any conversion of the Notes and/or offset any potential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$6.98 per share, which represents a premium of 100% over the last reported sale price of $3.49 per share of the Company’s common stock on August 12, 2026, and is subject to certain adjustments under the terms of the capped call transactions. The cost of the capped call transactions was approximately $52.5 million.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capped call transactions are separate transactions, each between the Company and the applicable option counterparty, and are not part of the terms of the Notes and will not affect any holder’s rights under the Notes or the Indenture. Holders of the Notes will not have any rights with respect to the capped call transactions.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above description of the capped call transactions is a summary and is not complete and is qualified in its entirety by reference to the terms of the form of confirmation for the capped call transactions, which was filed as Exhibit 10.2 to the Company’s Current Report on Form 8-K filed with the Securities and Exchange Commission on August 13, 2026 and is incorporated herein by reference.</w:t>
      </w:r>
    </w:p>
    <w:p>
      <w:pPr>
        <w:pStyle w:val="TextBody"/>
        <w:bidi w:val="0"/>
        <w:spacing w:before="0" w:after="0"/>
        <w:jc w:val="left"/>
        <w:rPr>
          <w:sz w:val="20"/>
        </w:rPr>
      </w:pPr>
      <w:r>
        <w:rPr>
          <w:sz w:val="20"/>
        </w:rPr>
      </w:r>
    </w:p>
    <w:p>
      <w:pPr>
        <w:pStyle w:val="HorizontalLine"/>
        <w:bidi w:val="0"/>
        <w:spacing w:before="200" w:after="200"/>
        <w:jc w:val="left"/>
        <w:rPr/>
      </w:pPr>
      <w:r>
        <w:rPr/>
      </w:r>
    </w:p>
    <w:tbl>
      <w:tblPr>
        <w:tblW w:w="8170" w:type="dxa"/>
        <w:jc w:val="left"/>
        <w:tblInd w:w="0" w:type="dxa"/>
        <w:tblLayout w:type="fixed"/>
        <w:tblCellMar>
          <w:top w:w="0" w:type="dxa"/>
          <w:left w:w="0" w:type="dxa"/>
          <w:bottom w:w="0" w:type="dxa"/>
          <w:right w:w="0" w:type="dxa"/>
        </w:tblCellMar>
      </w:tblPr>
      <w:tblGrid>
        <w:gridCol w:w="830"/>
        <w:gridCol w:w="73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2.03</w:t>
            </w:r>
          </w:p>
        </w:tc>
        <w:tc>
          <w:tcPr>
            <w:tcW w:w="7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Creation of a Direct Financial Obligation or an Obligation under an Off-Balance Sheet</w:t>
            </w:r>
          </w:p>
        </w:tc>
      </w:tr>
    </w:tbl>
    <w:p>
      <w:pPr>
        <w:pStyle w:val="TextBody"/>
        <w:bidi w:val="0"/>
        <w:spacing w:before="0" w:after="0"/>
        <w:jc w:val="left"/>
        <w:rPr/>
      </w:pPr>
      <w:r>
        <w:rPr/>
      </w:r>
    </w:p>
    <w:p>
      <w:pPr>
        <w:pStyle w:val="TextBody"/>
        <w:bidi w:val="0"/>
        <w:spacing w:before="0" w:after="0"/>
        <w:ind w:left="1440" w:right="0" w:hanging="1440"/>
        <w:jc w:val="left"/>
        <w:rPr>
          <w:rFonts w:ascii="Times New Roman" w:hAnsi="Times New Roman"/>
          <w:b/>
          <w:color w:val="000000"/>
          <w:sz w:val="20"/>
          <w:shd w:fill="FFFFFF" w:val="clear"/>
        </w:rPr>
      </w:pPr>
      <w:r>
        <w:rPr>
          <w:rFonts w:ascii="Times New Roman" w:hAnsi="Times New Roman"/>
          <w:b/>
          <w:color w:val="000000"/>
          <w:sz w:val="20"/>
          <w:shd w:fill="FFFFFF" w:val="clear"/>
        </w:rPr>
        <w:t>Arrangement of a Registrant.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1.01 of this Current Report on Form 8-K is incorporated herein by reference.</w:t>
      </w:r>
    </w:p>
    <w:p>
      <w:pPr>
        <w:pStyle w:val="TextBody"/>
        <w:bidi w:val="0"/>
        <w:spacing w:before="0" w:after="0"/>
        <w:jc w:val="left"/>
        <w:rPr>
          <w:sz w:val="20"/>
        </w:rPr>
      </w:pPr>
      <w:r>
        <w:rPr>
          <w:sz w:val="20"/>
        </w:rPr>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Unregistered Sales of Equity Securities.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1.01 of this Current Report on Form 8-K is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shares of the Company’s common stock that may be issued upon conversion of the Notes will be issued in reliance upon Section 3(a)(9) of the Securities Act as involving an exchange by the Company exclusively with its security holders. Initially, a maximum of 186,246,385 shares of the Company’s common stock may be issued upon conversion of the Notes based on the initial maximum conversion rate of 286.5329 shares of common stock per $1,000 principal amount of Notes, which is subject to customary anti-dilution adjustment provisions.</w:t>
      </w:r>
    </w:p>
    <w:p>
      <w:pPr>
        <w:pStyle w:val="TextBody"/>
        <w:bidi w:val="0"/>
        <w:spacing w:before="0" w:after="0"/>
        <w:jc w:val="left"/>
        <w:rPr>
          <w:sz w:val="20"/>
        </w:rPr>
      </w:pPr>
      <w:r>
        <w:rPr>
          <w:sz w:val="20"/>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Share Repurchases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17, 2026, the Company repurchased approximately $158 million of shares of its common stock from certain participants in the Transactions through a financial intermediary at the last reported sale price of the common stock on August 12, 2026, and J. Wood Capital Advisors LLC, the placement agent for the Transactions, purchased approximately $25 million of shares of the Company’s common stock from certain participants in the Transactions through a financial intermediary at a discount to the last reported sale price of the common stock on August 12,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 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certain forward-looking statements within the meaning of Section 27A of the Private Securities Litigation Reform Act of 1995, as amended. All statements contained in this Current Report on Form 8-K that do not relate to matters of historical fact should be considered forward-looking.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Current Report on Form 8-K include but are not limited to: risks related to our indebtedness;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may impact demand for our products and services, lower our profitability or reduce our access to future financings; actual or anticipated fluctuations in our financial condition and results of operations; changes in projected operational and financial results; and our real estate assets and increased competition in the U.S. residential real estate industry; our ability to operate and grow our core business products, including the ability to obtain sufficient financing and resell purchased homes.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19, 2026, as updated by the Company’s Quarterly Reports on Form 10-Q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28" w:type="dxa"/>
          <w:right w:w="0" w:type="dxa"/>
        </w:tblCellMar>
      </w:tblPr>
      <w:tblGrid>
        <w:gridCol w:w="907"/>
        <w:gridCol w:w="60"/>
        <w:gridCol w:w="9238"/>
      </w:tblGrid>
      <w:tr>
        <w:trPr/>
        <w:tc>
          <w:tcPr>
            <w:tcW w:w="907"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 No.</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9238"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907" w:type="dxa"/>
            <w:tcBorders/>
            <w:tcMar>
              <w:bottom w:w="0" w:type="dxa"/>
            </w:tcMar>
            <w:vAlign w:val="center"/>
          </w:tcPr>
          <w:p>
            <w:pPr>
              <w:pStyle w:val="TableContents"/>
              <w:bidi w:val="0"/>
              <w:spacing w:before="0" w:after="283"/>
              <w:jc w:val="left"/>
              <w:rPr/>
            </w:pPr>
            <w:r>
              <w:rPr/>
              <w:t> </w:t>
            </w:r>
          </w:p>
        </w:tc>
        <w:tc>
          <w:tcPr>
            <w:tcW w:w="9298" w:type="dxa"/>
            <w:gridSpan w:val="2"/>
            <w:tcBorders/>
            <w:tcMar>
              <w:bottom w:w="0" w:type="dxa"/>
            </w:tcMar>
            <w:vAlign w:val="center"/>
          </w:tcPr>
          <w:p>
            <w:pPr>
              <w:pStyle w:val="TableContents"/>
              <w:bidi w:val="0"/>
              <w:spacing w:before="0" w:after="283"/>
              <w:jc w:val="left"/>
              <w:rPr/>
            </w:pPr>
            <w:r>
              <w:rPr/>
              <w:t> </w:t>
            </w:r>
          </w:p>
        </w:tc>
      </w:tr>
      <w:tr>
        <w:trPr/>
        <w:tc>
          <w:tcPr>
            <w:tcW w:w="907" w:type="dxa"/>
            <w:tcBorders/>
            <w:tcMar>
              <w:bottom w:w="0" w:type="dxa"/>
            </w:tcMar>
            <w:vAlign w:val="center"/>
          </w:tcPr>
          <w:p>
            <w:pPr>
              <w:pStyle w:val="TableContents"/>
              <w:bidi w:val="0"/>
              <w:spacing w:before="0" w:after="0"/>
              <w:jc w:val="left"/>
              <w:rPr/>
            </w:pPr>
            <w:hyperlink w:anchor="ef20080596_ex4-1.htm">
              <w:r>
                <w:rPr>
                  <w:rStyle w:val="InternetLink"/>
                  <w:rFonts w:ascii="Times New Roman" w:hAnsi="Times New Roman"/>
                  <w:color w:val="000000"/>
                  <w:sz w:val="20"/>
                </w:rPr>
                <w:t>4.1</w:t>
              </w:r>
            </w:hyperlink>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9238"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Indenture, dated as of August 19, 2026, between Opendoor Technologies Inc. and U.S. Bank Trust Company, National Association, as Trustee.</w:t>
            </w:r>
          </w:p>
        </w:tc>
      </w:tr>
      <w:tr>
        <w:trPr/>
        <w:tc>
          <w:tcPr>
            <w:tcW w:w="907" w:type="dxa"/>
            <w:tcBorders/>
            <w:tcMar>
              <w:bottom w:w="0" w:type="dxa"/>
            </w:tcMar>
            <w:vAlign w:val="center"/>
          </w:tcPr>
          <w:p>
            <w:pPr>
              <w:pStyle w:val="TableContents"/>
              <w:bidi w:val="0"/>
              <w:spacing w:before="0" w:after="0"/>
              <w:jc w:val="left"/>
              <w:rPr/>
            </w:pPr>
            <w:hyperlink w:anchor="EXHIBITA">
              <w:r>
                <w:rPr>
                  <w:rStyle w:val="InternetLink"/>
                  <w:rFonts w:ascii="Times New Roman" w:hAnsi="Times New Roman"/>
                  <w:color w:val="000000"/>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Form of 0.00% Convertible Senior Notes due 2030 (included as Exhibit A to Exhibit 4.1).</w:t>
            </w:r>
          </w:p>
        </w:tc>
      </w:tr>
      <w:tr>
        <w:trPr/>
        <w:tc>
          <w:tcPr>
            <w:tcW w:w="907"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9238"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Cover Page Interactive Data File (Cover page XBRL tags are embedded within the Inline XBRL document)</w:t>
            </w:r>
            <w:r>
              <w:rPr>
                <w:rFonts w:ascii="Times New Roman" w:hAnsi="Times New Roman"/>
                <w:sz w:val="20"/>
              </w:rPr>
              <w: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275" w:type="dxa"/>
        <w:jc w:val="left"/>
        <w:tblInd w:w="0" w:type="dxa"/>
        <w:tblLayout w:type="fixed"/>
        <w:tblCellMar>
          <w:top w:w="0" w:type="dxa"/>
          <w:left w:w="0" w:type="dxa"/>
          <w:bottom w:w="0" w:type="dxa"/>
          <w:right w:w="0" w:type="dxa"/>
        </w:tblCellMar>
      </w:tblPr>
      <w:tblGrid>
        <w:gridCol w:w="1850"/>
        <w:gridCol w:w="545"/>
        <w:gridCol w:w="1880"/>
      </w:tblGrid>
      <w:tr>
        <w:trPr/>
        <w:tc>
          <w:tcPr>
            <w:tcW w:w="1850"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Opendoor Technologies Inc.</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19, 2026</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8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Christy Schwartz</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Christy Schwartz</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jc w:val="left"/>
        <w:rPr>
          <w:caps w:val="false"/>
          <w:smallCaps w:val="false"/>
        </w:rPr>
      </w:pPr>
      <w:bookmarkStart w:id="0" w:name="ef20080596_ex4-1.htm"/>
      <w:bookmarkStart w:id="1" w:name="ksef20080596_ex41"/>
      <w:bookmarkEnd w:id="0"/>
      <w:bookmarkEnd w:id="1"/>
      <w:r>
        <w:rPr>
          <w:caps w:val="false"/>
          <w:smallCaps w:val="false"/>
        </w:rPr>
        <w:t> </w:t>
      </w:r>
      <w:r>
        <w:br w:type="page"/>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OPENDOOR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880" w:right="28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2880" w:right="2880" w:hanging="0"/>
        <w:jc w:val="center"/>
        <w:rPr>
          <w:caps w:val="false"/>
          <w:smallCaps w:val="false"/>
        </w:rPr>
      </w:pPr>
      <w:r>
        <w:rPr>
          <w:caps w:val="false"/>
          <w:smallCaps w:val="false"/>
        </w:rPr>
        <w:t> </w:t>
      </w:r>
    </w:p>
    <w:p>
      <w:pPr>
        <w:pStyle w:val="TextBody"/>
        <w:bidi w:val="0"/>
        <w:spacing w:before="0" w:after="0"/>
        <w:ind w:left="2880" w:right="28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19, 2026</w:t>
      </w:r>
    </w:p>
    <w:p>
      <w:pPr>
        <w:pStyle w:val="TextBody"/>
        <w:bidi w:val="0"/>
        <w:spacing w:before="0" w:after="0"/>
        <w:ind w:left="2880" w:right="2880" w:hanging="0"/>
        <w:jc w:val="center"/>
        <w:rPr>
          <w:caps w:val="false"/>
          <w:smallCaps w:val="false"/>
        </w:rPr>
      </w:pPr>
      <w:r>
        <w:rPr>
          <w:caps w:val="false"/>
          <w:smallCaps w:val="false"/>
        </w:rPr>
        <w:t> </w:t>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2880" w:right="288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3"/>
        <w:gridCol w:w="8926"/>
        <w:gridCol w:w="246"/>
      </w:tblGrid>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Definitions; Rules of Construction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5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Construction.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The Notes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95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Dating and Denominations.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Authentication and Delivery.</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Notes and Additional Notes.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Payment.</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Regular Interest; Accrual and Payment of Special Interest and Additional Interest; Defaulted Amounts; When Payment Date is Not a Business Day.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 Paying Agent and Conversion Agent.</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 and Conversion Agent to Hold Property in Trust.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Lists.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and Exchanges; Certain Transfer Restrictions.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and Cancellation of Notes to Be Converted or to Be Redeemed or Repurchased Pursuant to a Repurchase Upon Fundamental Change or Redemption.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Transfer Restrictions.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Notes.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Certain Rights with Respect to Global Notes.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Held by the Company or its Affiliates.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Notes.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Notes.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by the Company.</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and ISIN Numbers.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95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Covenants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95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on Notes.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Reports.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144A Information.</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and Default Certificates.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p>
        </w:tc>
        <w:tc>
          <w:tcPr>
            <w:tcW w:w="89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Notes by the Company and its Affiliates.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p>
        </w:tc>
        <w:tc>
          <w:tcPr>
            <w:tcW w:w="89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i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6"/>
        <w:gridCol w:w="8823"/>
        <w:gridCol w:w="246"/>
      </w:tblGrid>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Repurchase and Redemption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95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Holders to Require the Company to Repurchase Notes Upon a Fundamental Change.</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the Company to Redeem the Notes.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Conversion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995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Convert.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Procedures.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Upon Conversion.</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and Status of Common Stock Issued Upon Conversion.</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Adjustments.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 in Connection with a Make-Whole Fundamental Change.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in Lieu of Conversion.</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Common Stock Change Event.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Successors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95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May Merge, Etc.</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for Certain Asset Transfers.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95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Defaults and Remedies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95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Remedy for a Failure to Report.</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Remedies.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Majority.</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Absolute Right of Holders to Institute Suit for the Enforcement of the Right to Receive Payment and Conversion Consideration.</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Suit by Trustee.</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File Proofs of Claim.</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for Costs.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95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Amendments, Supplements and Waivers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95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Holders.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Holders.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Amendments, Supplements and Waivers.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Effect and Solicitation of Consents; Special Record Dates; Etc.</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p>
        </w:tc>
        <w:tc>
          <w:tcPr>
            <w:tcW w:w="8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Notations and Exchanges.</w:t>
            </w:r>
          </w:p>
        </w:tc>
        <w:tc>
          <w:tcPr>
            <w:tcW w:w="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p>
        </w:tc>
        <w:tc>
          <w:tcPr>
            <w:tcW w:w="8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Execute Supplemental Indentures.</w:t>
            </w:r>
          </w:p>
        </w:tc>
        <w:tc>
          <w:tcPr>
            <w:tcW w:w="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ii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1340"/>
        <w:gridCol w:w="6830"/>
        <w:gridCol w:w="245"/>
      </w:tblGrid>
      <w:tr>
        <w:trPr/>
        <w:tc>
          <w:tcPr>
            <w:tcW w:w="817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Satisfaction and Discharge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817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Company’s Obligations.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3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17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817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the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the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Rights of the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Disclaimer.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the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Trustee by Merger, Etc.</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Disqualification.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3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17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817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Officer’s Certificate and Opinion of Counsel as to Conditions Precedent.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Required in Officer’s Certificate and Opinion of Counsel.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by the Trustee, the Registrar, the Paying Agent and Conversion Agent.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Personal Liability of Directors, Officers, Employees and Stockholders.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Waiver of Jury Trial.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Adverse Interpretation of Other Agreements.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11.14.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Electronic Signatures.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11.15.   </w:t>
            </w:r>
          </w:p>
        </w:tc>
        <w:tc>
          <w:tcPr>
            <w:tcW w:w="6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11.16.   </w:t>
            </w:r>
          </w:p>
        </w:tc>
        <w:tc>
          <w:tcPr>
            <w:tcW w:w="6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740"/>
        <w:gridCol w:w="440"/>
      </w:tblGrid>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 A: Form of Note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w:t>
            </w:r>
          </w:p>
        </w:tc>
      </w:tr>
      <w:tr>
        <w:trPr/>
        <w:tc>
          <w:tcPr>
            <w:tcW w:w="37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 B-1: Form of Restricted Note Legend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B1-1</w:t>
            </w:r>
          </w:p>
        </w:tc>
      </w:tr>
      <w:tr>
        <w:trPr/>
        <w:tc>
          <w:tcPr>
            <w:tcW w:w="37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B-2: Form of Global Note Legend</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B2-1</w:t>
            </w:r>
          </w:p>
        </w:tc>
      </w:tr>
      <w:tr>
        <w:trPr/>
        <w:tc>
          <w:tcPr>
            <w:tcW w:w="37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 B-3: Form of Non-Affiliate Legend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iii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August 19, 2026, between Opendoor Technologies Inc., a Delaware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Indenture (as defined below) agrees as follows for the benefit of the other party and for the equal and ratable benefit of the Holders (as defined below) of the Company’s 0.00% Convertible Senior Notes due 2030.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         Definitions; Rules of Construction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1.01.    </w:t>
      </w:r>
      <w:r>
        <w:rPr>
          <w:rFonts w:ascii="Times New Roman;Times;Serif" w:hAnsi="Times New Roman;Times;Serif"/>
          <w:b/>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xml:space="preserve">” means any interest that accrues on any Note pursuant to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144 as in effect on the Issue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Denomination</w:t>
      </w:r>
      <w:r>
        <w:rPr>
          <w:rFonts w:ascii="Times New Roman;Times;Serif" w:hAnsi="Times New Roman;Times;Serif"/>
          <w:b w:val="false"/>
          <w:i w:val="false"/>
          <w:caps w:val="false"/>
          <w:smallCaps w:val="false"/>
          <w:sz w:val="20"/>
        </w:rPr>
        <w:t>” means, with respect to a Note, a principal amount thereof equal to a minimum of $1,000 or any integral multiple of $1,000 in excess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United States Code, or any similar U.S. federal or state or non-U.S. law for the relief of debtors.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xml:space="preserve">” means the Person who is required to obtain bids for the Trading Price in accordance with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xml:space="preserve"> and the definition of “Trading Price.” The initial Bid Solicitation Agent on the Issue Date will be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appoint any other Person (including any of the Company’s Subsidiaries) to be the Bid Solicitation Agent at any time after the Issue Date without prior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on behalf of such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day on which the Federal Reserve Bank of New York is authorized or required by law or executive order to close or be closed.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xml:space="preserve">” of any Person means Capital Stock of such Person that is generally entitled (i) to vote in the election of directors of such Person or (ii) if such Person is not a corporation, to vote or otherwise participate in the selection of the governing body, partners, managers or others that will control the management or policies of such Person.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means the common stock, $0.0001 par value per share, of the Company, subject to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Person named as such in the first paragraph of this Indenture and, 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its successors and assigns.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request or order signed on behalf of the Company by one (1) of its Officers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means, with respect to a Note, the first Business Day on which the requirements set forth in </w:t>
      </w:r>
      <w:r>
        <w:rPr>
          <w:rFonts w:ascii="Times New Roman;Times;Serif" w:hAnsi="Times New Roman;Times;Serif"/>
          <w:b/>
          <w:i w:val="false"/>
          <w:caps w:val="false"/>
          <w:smallCaps w:val="false"/>
          <w:sz w:val="20"/>
        </w:rPr>
        <w:t xml:space="preserve">Section 5.02(A) </w:t>
      </w:r>
      <w:r>
        <w:rPr>
          <w:rFonts w:ascii="Times New Roman;Times;Serif" w:hAnsi="Times New Roman;Times;Serif"/>
          <w:b w:val="false"/>
          <w:i w:val="false"/>
          <w:caps w:val="false"/>
          <w:smallCaps w:val="false"/>
          <w:sz w:val="20"/>
        </w:rPr>
        <w:t>to convert such Note are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an amount equal to (A) one thousand dollars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Conversion Rate in effect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initially means 212.2466 shares of Common Stock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is subject to adjustment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whenever this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Share</w:t>
      </w:r>
      <w:r>
        <w:rPr>
          <w:rFonts w:ascii="Times New Roman;Times;Serif" w:hAnsi="Times New Roman;Times;Serif"/>
          <w:b w:val="false"/>
          <w:i w:val="false"/>
          <w:caps w:val="false"/>
          <w:smallCaps w:val="false"/>
          <w:sz w:val="20"/>
        </w:rPr>
        <w:t>” means any share of Common Stock issued or issuable upon conversion of any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Cash Amount</w:t>
      </w:r>
      <w:r>
        <w:rPr>
          <w:rFonts w:ascii="Times New Roman;Times;Serif" w:hAnsi="Times New Roman;Times;Serif"/>
          <w:b w:val="false"/>
          <w:i w:val="false"/>
          <w:caps w:val="false"/>
          <w:smallCaps w:val="false"/>
          <w:sz w:val="20"/>
        </w:rPr>
        <w:t>” means, with respect to any VWAP Trading Day, the lesser of (A) the applicable Daily Maximum Cash Amount; and (B) the Daily Conversion Value for such VWAP Trading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with respect to any VWAP Trading Day, one-thirtieth of the product of (A) the Conversion Rate on such VWAP Trading Day; and (B) the Daily VWAP per share of Common Stock on such VWAP Trading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Maximum Cash Amount</w:t>
      </w:r>
      <w:r>
        <w:rPr>
          <w:rFonts w:ascii="Times New Roman;Times;Serif" w:hAnsi="Times New Roman;Times;Serif"/>
          <w:b w:val="false"/>
          <w:i w:val="false"/>
          <w:caps w:val="false"/>
          <w:smallCaps w:val="false"/>
          <w:sz w:val="20"/>
        </w:rPr>
        <w:t>” means, with respect to the conversion of any Note, the quotient obtained by dividing (A) the Specified Dollar Amount applicable to such conversion by (B) 30.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Share Amount</w:t>
      </w:r>
      <w:r>
        <w:rPr>
          <w:rFonts w:ascii="Times New Roman;Times;Serif" w:hAnsi="Times New Roman;Times;Serif"/>
          <w:b w:val="false"/>
          <w:i w:val="false"/>
          <w:caps w:val="false"/>
          <w:smallCaps w:val="false"/>
          <w:sz w:val="20"/>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any VWAP Trading Day, the per share volume-weighted average price of the Common Stock as displayed under the heading “Bloomberg VWAP” on Bloomberg page “OPEN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xml:space="preserve">” means Combination Settlement with a Specified Dollar Amount of $1,000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(x) subject to </w:t>
      </w:r>
      <w:r>
        <w:rPr>
          <w:rFonts w:ascii="Times New Roman;Times;Serif" w:hAnsi="Times New Roman;Times;Serif"/>
          <w:b/>
          <w:i w:val="false"/>
          <w:caps w:val="false"/>
          <w:smallCaps w:val="false"/>
          <w:sz w:val="20"/>
        </w:rPr>
        <w:t>Section 5.03(A)(iii)</w:t>
      </w:r>
      <w:r>
        <w:rPr>
          <w:rFonts w:ascii="Times New Roman;Times;Serif" w:hAnsi="Times New Roman;Times;Serif"/>
          <w:b w:val="false"/>
          <w:i w:val="false"/>
          <w:caps w:val="false"/>
          <w:smallCaps w:val="false"/>
          <w:sz w:val="20"/>
        </w:rPr>
        <w:t xml:space="preserve">, the Company may, from time to time, change the Default Settlement Method, to any Settlement Method that the Company is then permitted to elect, by sending notice of the new Default Settlement Method to the Holders, the Trustee and the Conversion Agent; and (y) the Default Settlement Method will be subject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 Participant</w:t>
      </w:r>
      <w:r>
        <w:rPr>
          <w:rFonts w:ascii="Times New Roman;Times;Serif" w:hAnsi="Times New Roman;Times;Serif"/>
          <w:b w:val="false"/>
          <w:i w:val="false"/>
          <w:caps w:val="false"/>
          <w:smallCaps w:val="false"/>
          <w:sz w:val="20"/>
        </w:rPr>
        <w:t>” means any member of, or participant in,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 Procedures</w:t>
      </w:r>
      <w:r>
        <w:rPr>
          <w:rFonts w:ascii="Times New Roman;Times;Serif" w:hAnsi="Times New Roman;Times;Serif"/>
          <w:b w:val="false"/>
          <w:i w:val="false"/>
          <w:caps w:val="false"/>
          <w:smallCaps w:val="false"/>
          <w:sz w:val="20"/>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in relation to a stock split or stock combination, means the first date on which the shares of Common Stock trade on the relevant stock exchange, regular way, reflecting the relevant stock split or stock combination,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xml:space="preserve">” means any Fundamental Change with respect to which, in accordance with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 the Company does not offer to repurchase any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Freely Tradable</w:t>
      </w:r>
      <w:r>
        <w:rPr>
          <w:rFonts w:ascii="Times New Roman;Times;Serif" w:hAnsi="Times New Roman;Times;Serif"/>
          <w:b w:val="false"/>
          <w:i w:val="false"/>
          <w:caps w:val="false"/>
          <w:smallCaps w:val="false"/>
          <w:sz w:val="20"/>
        </w:rPr>
        <w:t xml:space="preserve">” means, with respect to any security of the Company, that such security would be eligible to be offered, sold or otherwise transferred pursuant to Rule 144 if held by a person that is not an Affiliate of the Company, and that has not been an Affiliate of the Company during the immediately preceding three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13(d)(3) of the Exchange Act), other than the Company or its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Company and its Subsidiaries, taken as a whole, to any Person, other than (A) solely to one or more of the Company’s Wholly Owned Subsidiaries, (B) sales or other transfers of residential real property and/or mortgage loans in the ordinary course of the Company’s business and (C) transfers to the Company’s Subsidiaries in connection with bona fide financing transactions and equity transfers of the equity of the Company’s Subsidiaries in connection with establishing bona fide financing vehicles;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stockholders approve any plan or proposal for the liquidation or dissolution of the Company;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ceases to be listed on any of The New York Stock Exchange, The Nasdaq Global Market or The Nasdaq Global Select Market (or any of their respective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transaction or event described in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listed (or depositary receipts representing shares of common stock,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transaction in which the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of “Fundamental Change” shall instead be references to such other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definition, (x) any transaction or event described in both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i w:val="false"/>
          <w:caps w:val="false"/>
          <w:smallCaps w:val="false"/>
          <w:sz w:val="20"/>
        </w:rPr>
        <w:t>clause (B)(i)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above (without regard to the proviso in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will be deemed to occur solely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above (subject to such proviso); and (y) whether a Person is a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whether shares are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and percentage beneficial ownership, will be determined in accordance with Rule 13d-3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means the date fixed for the repurchase of any Notes by the Company pursuant to a Repurchase Upon Fundamental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means a notice (including a notice substantially in the form of the “Fundamental Change Repurchase Notice”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containing the information, or otherwise complying with the requirements, set forth in </w:t>
      </w:r>
      <w:r>
        <w:rPr>
          <w:rFonts w:ascii="Times New Roman;Times;Serif" w:hAnsi="Times New Roman;Times;Serif"/>
          <w:b/>
          <w:i w:val="false"/>
          <w:caps w:val="false"/>
          <w:smallCaps w:val="false"/>
          <w:sz w:val="20"/>
        </w:rPr>
        <w:t>Section 4.02(F)(i)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4.02(F)(ii)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xml:space="preserve">” means the cash price payable by the Company to repurchase any Note upon its Repurchase Upon Fundamental Change, calculated pursuant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means a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Depositary or its nominee, duly executed by the Company and authenticated by the Trustee, and deposited with the Trustee, as custodian for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person in whose name a Note is registered on the Registrar’s books.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with respect to a Note, each February 15 and August 15 of each year, commencing on February 15, 2027 (if and to the extent Special Interest or Additional Interest is then payable on a Note). For the avoidance of doubt, the Maturity Date is an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 means, with respect to any Interest Payment Date, (A) if such Interest Payment Date occurs on February 15, the immediately preceding February 1 (whether or not a Business Day); and (B) if such Interest Payment Date occurs on August 15, the immediately preceding August 1 (whether or not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August 19,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Original Issue Date</w:t>
      </w:r>
      <w:r>
        <w:rPr>
          <w:rFonts w:ascii="Times New Roman;Times;Serif" w:hAnsi="Times New Roman;Times;Serif"/>
          <w:b w:val="false"/>
          <w:i w:val="false"/>
          <w:caps w:val="false"/>
          <w:smallCaps w:val="false"/>
          <w:sz w:val="20"/>
        </w:rPr>
        <w:t xml:space="preserve">” means (A) with respect to any Notes issued on the Issue Date and any Notes issued in exchange therefor or in substitution thereof, the Issue Date; and (B) with respect to any Notes issued pursuant to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 and any Notes issued in exchange therefor or in substitution thereof, either (i) the date such Notes are originally issued; or (ii) such other date as is specified in an Officer’s Certificate delivered to the Trustee before the original issuance of such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Neither the Trustee nor the Conversion Agent will have any duty to determine the Last Reported Sale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Liquidity Conditions</w:t>
      </w:r>
      <w:r>
        <w:rPr>
          <w:rFonts w:ascii="Times New Roman;Times;Serif" w:hAnsi="Times New Roman;Times;Serif"/>
          <w:b w:val="false"/>
          <w:i w:val="false"/>
          <w:caps w:val="false"/>
          <w:smallCaps w:val="false"/>
          <w:sz w:val="20"/>
        </w:rPr>
        <w:t xml:space="preserve">” with respect to the Redemption of any Notes will be satisfied if each of the following has been satisfied as of the Redemption Notice Date for such Redemption and is reasonably expected to continue to be satisfied through at least the thirtieth (30th) calendar day after the Redemption Date for such Redemption: (A) the Company has satisfied the reporting conditions (including, for the avoidance of doubt, the requirement for current Form 10 information) set forth in Rule 144(c) and (i)(2) under the Securities Act; and (B) the shares of Common Stock, if any, issued or issuable upon conversion of the Notes are Freely Tradable;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Liquidity Conditions will also be deemed to be satisfied with respect to such Redemption if, in accordance with </w:t>
      </w:r>
      <w:r>
        <w:rPr>
          <w:rFonts w:ascii="Times New Roman;Times;Serif" w:hAnsi="Times New Roman;Times;Serif"/>
          <w:b/>
          <w:i w:val="false"/>
          <w:caps w:val="false"/>
          <w:smallCaps w:val="false"/>
          <w:sz w:val="20"/>
        </w:rPr>
        <w:t>Section 5.03(A)(i)(3)</w:t>
      </w:r>
      <w:r>
        <w:rPr>
          <w:rFonts w:ascii="Times New Roman;Times;Serif" w:hAnsi="Times New Roman;Times;Serif"/>
          <w:b w:val="false"/>
          <w:i w:val="false"/>
          <w:caps w:val="false"/>
          <w:smallCaps w:val="false"/>
          <w:sz w:val="20"/>
        </w:rPr>
        <w:t>, the Company has elected to settle all conversions of called (or deemed called) Notes with a Conversion Date that occurs on or after such Redemption Notice Date and on or before the Business Day immediately before such Redemption Date by Cash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 a Fundamental Change (determined after giving effect to the proviso immediately after </w:t>
      </w:r>
      <w:r>
        <w:rPr>
          <w:rFonts w:ascii="Times New Roman;Times;Serif" w:hAnsi="Times New Roman;Times;Serif"/>
          <w:b/>
          <w:i w:val="false"/>
          <w:caps w:val="false"/>
          <w:smallCaps w:val="false"/>
          <w:sz w:val="20"/>
        </w:rPr>
        <w:t>clause (D)</w:t>
      </w:r>
      <w:r>
        <w:rPr>
          <w:rFonts w:ascii="Times New Roman;Times;Serif" w:hAnsi="Times New Roman;Times;Serif"/>
          <w:b w:val="false"/>
          <w:i w:val="false"/>
          <w:caps w:val="false"/>
          <w:smallCaps w:val="false"/>
          <w:sz w:val="20"/>
        </w:rPr>
        <w:t xml:space="preserve"> of the definition thereof, but without regard to the proviso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xml:space="preserve"> of such definition); or (B) the sending of a Redemption Notice pursuant to </w:t>
      </w:r>
      <w:r>
        <w:rPr>
          <w:rFonts w:ascii="Times New Roman;Times;Serif" w:hAnsi="Times New Roman;Times;Serif"/>
          <w:b/>
          <w:i w:val="false"/>
          <w:caps w:val="false"/>
          <w:smallCaps w:val="false"/>
          <w:sz w:val="20"/>
        </w:rPr>
        <w:t>Section 4.03(G)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i w:val="false"/>
          <w:caps w:val="false"/>
          <w:smallCaps w:val="false"/>
          <w:sz w:val="20"/>
        </w:rPr>
        <w:t>Section 4.03(J)</w:t>
      </w:r>
      <w:r>
        <w:rPr>
          <w:rFonts w:ascii="Times New Roman;Times;Serif" w:hAnsi="Times New Roman;Times;Serif"/>
          <w:b w:val="false"/>
          <w:i w:val="false"/>
          <w:caps w:val="false"/>
          <w:smallCaps w:val="false"/>
          <w:sz w:val="20"/>
        </w:rPr>
        <w:t>, the sending of a Redemption Notice for a Provisional Redemption will constitute a Make-Whole Fundamental Change only with respect to the Notes called for Provisional Redemption pursuant to such Redemption Notice and not with respect to any other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Conversion Period</w:t>
      </w:r>
      <w:r>
        <w:rPr>
          <w:rFonts w:ascii="Times New Roman;Times;Serif" w:hAnsi="Times New Roman;Times;Serif"/>
          <w:b w:val="false"/>
          <w:i w:val="false"/>
          <w:caps w:val="false"/>
          <w:smallCaps w:val="false"/>
          <w:sz w:val="20"/>
        </w:rPr>
        <w:t>” has the following meaning: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the period from, and including, the Redemption Notice Date for the related Redemption to, and including, the Business Day immediately before the related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Conversion Date for the conversion of a Note that has been called (or deemed, pursuant to </w:t>
      </w:r>
      <w:r>
        <w:rPr>
          <w:rFonts w:ascii="Times New Roman;Times;Serif" w:hAnsi="Times New Roman;Times;Serif"/>
          <w:b/>
          <w:i w:val="false"/>
          <w:caps w:val="false"/>
          <w:smallCaps w:val="false"/>
          <w:sz w:val="20"/>
        </w:rPr>
        <w:t>Section 4.03(J)</w:t>
      </w:r>
      <w:r>
        <w:rPr>
          <w:rFonts w:ascii="Times New Roman;Times;Serif" w:hAnsi="Times New Roman;Times;Serif"/>
          <w:b w:val="false"/>
          <w:i w:val="false"/>
          <w:caps w:val="false"/>
          <w:smallCaps w:val="false"/>
          <w:sz w:val="20"/>
        </w:rPr>
        <w:t xml:space="preserve">, to be called) for Redemption occurs during the Make-Whole Fundamental Change Conversion Period for both a Make-Whole Fundamental Change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of “Make-Whole Fundamental Change” and a Make-Whole Fundamental Change resulting from such Redemption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such definition, then, notwithstanding anything to the contrary in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Effective Date</w:t>
      </w:r>
      <w:r>
        <w:rPr>
          <w:rFonts w:ascii="Times New Roman;Times;Serif" w:hAnsi="Times New Roman;Times;Serif"/>
          <w:b w:val="false"/>
          <w:i w:val="false"/>
          <w:caps w:val="false"/>
          <w:smallCaps w:val="false"/>
          <w:sz w:val="20"/>
        </w:rPr>
        <w:t>” means (A) with respect to a Make-Whole Fundamental Change pursuant to clause (A) of the definition thereof, the date on which such Make-Whole Fundamental Change occurs or becomes effective; and (B) with respect to a Make-Whole Fundamental Change pursuant to clause (B) of the definition thereof, the applicable Redemption Notice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August 15, 2030.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Non-Affiliate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Agent</w:t>
      </w:r>
      <w:r>
        <w:rPr>
          <w:rFonts w:ascii="Times New Roman;Times;Serif" w:hAnsi="Times New Roman;Times;Serif"/>
          <w:b w:val="false"/>
          <w:i w:val="false"/>
          <w:caps w:val="false"/>
          <w:smallCaps w:val="false"/>
          <w:sz w:val="20"/>
        </w:rPr>
        <w:t>” means any Registrar, Paying Agent or Conversion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0.00% Convertible Senior Notes due 2030 issued by the Company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xml:space="preserve">” means, with respect to any Note to be converted, (A)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below, if the Conversion Date for such Note occurs before February 15, 2030, the 30 consecutive VWAP Trading Days beginning on, and including, the third VWAP Trading Day immediately after such Conversion Date; (B) if such Conversion Date occurs on or after the date the Company has sent a Redemption Notice calling such Note for Redemption pursuant to </w:t>
      </w:r>
      <w:r>
        <w:rPr>
          <w:rFonts w:ascii="Times New Roman;Times;Serif" w:hAnsi="Times New Roman;Times;Serif"/>
          <w:b/>
          <w:i w:val="false"/>
          <w:caps w:val="false"/>
          <w:smallCaps w:val="false"/>
          <w:sz w:val="20"/>
        </w:rPr>
        <w:t>Section 4.03(G)</w:t>
      </w:r>
      <w:r>
        <w:rPr>
          <w:rFonts w:ascii="Times New Roman;Times;Serif" w:hAnsi="Times New Roman;Times;Serif"/>
          <w:b w:val="false"/>
          <w:i w:val="false"/>
          <w:caps w:val="false"/>
          <w:smallCaps w:val="false"/>
          <w:sz w:val="20"/>
        </w:rPr>
        <w:t xml:space="preserve"> and before the related Redemption Date, the 30 consecutive VWAP Trading Days beginning on, and including, the 31st Scheduled Trading Day immediately before such Redemption Date; and (C)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above, if such Conversion Date occurs on or after February 15, 2030, the 30 consecutive VWAP Trading Days beginning on, and including, the 31st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Chief Executive Officer, the President, the Chief Financial Officer, the Treasurer, the Secretary or any Assistant Secretary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that is signed on behalf of the Company by one (1) of its Officers and that meets the requirements of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xml:space="preserve">” means an opinion, from legal counsel (including an employee of, or counsel to, the Company or any of its Subsidiaries) reasonably acceptable to the Trustee, that meets the requirements of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subject to customary qualifications and exclusions.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Note</w:t>
      </w:r>
      <w:r>
        <w:rPr>
          <w:rFonts w:ascii="Times New Roman;Times;Serif" w:hAnsi="Times New Roman;Times;Serif"/>
          <w:b w:val="false"/>
          <w:i w:val="false"/>
          <w:caps w:val="false"/>
          <w:smallCaps w:val="false"/>
          <w:sz w:val="20"/>
        </w:rPr>
        <w:t xml:space="preserve">” means a Note (other than a Global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Holder of such Note and duly executed by the Company and authenticated by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Common Stock (or other applicable security) have the right to receive any cash, securities or other property or in which Common Stock (or such other security) is exchanged for or converted into any combination of cash, securities or other property, the date fixed for determination of holders of Common Stock (or such other security) entitled to receive such cash, securities or other property (whether such date is fixed by the Board of Directors, statute,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xml:space="preserve">” means a Provisional Redemption or a Cleanup Redemption, as the case may be, of any Note by the Company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means the date fixed, pursuant to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xml:space="preserve"> for the settlement of any Notes by the Company pursuant to a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xml:space="preserve">” means, with respect to a Redemption, the date on which the Company sends the Redemption Notice for such Redemption pursuant to </w:t>
      </w:r>
      <w:r>
        <w:rPr>
          <w:rFonts w:ascii="Times New Roman;Times;Serif" w:hAnsi="Times New Roman;Times;Serif"/>
          <w:b/>
          <w:i w:val="false"/>
          <w:caps w:val="false"/>
          <w:smallCaps w:val="false"/>
          <w:sz w:val="20"/>
        </w:rPr>
        <w:t>Section 4.03(G)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means the cash price payable by the Company to redeem any Note upon its Redemption, calculated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Repurchase Upon Fundamental Change</w:t>
      </w:r>
      <w:r>
        <w:rPr>
          <w:rFonts w:ascii="Times New Roman;Times;Serif" w:hAnsi="Times New Roman;Times;Serif"/>
          <w:b w:val="false"/>
          <w:i w:val="false"/>
          <w:caps w:val="false"/>
          <w:smallCaps w:val="false"/>
          <w:sz w:val="20"/>
        </w:rPr>
        <w:t xml:space="preserve">” means the repurchase of any Note by the Company pursuant to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Stock Legend</w:t>
      </w:r>
      <w:r>
        <w:rPr>
          <w:rFonts w:ascii="Times New Roman;Times;Serif" w:hAnsi="Times New Roman;Times;Serif"/>
          <w:b w:val="false"/>
          <w:i w:val="false"/>
          <w:caps w:val="false"/>
          <w:smallCaps w:val="false"/>
          <w:sz w:val="20"/>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thereto), as the same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under the Securities Act (or any successor rule thereto), as the same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means any Note or Conversion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Cash Settlement, Physical Settlement or Combination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of any Person means any Subsidiary of that Person that constitutes a “significant subsidiary” (as defined in Rule 1-02(w) of Regulation S-X under the Exchange Act) of that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Special Interest</w:t>
      </w:r>
      <w:r>
        <w:rPr>
          <w:rFonts w:ascii="Times New Roman;Times;Serif" w:hAnsi="Times New Roman;Times;Serif"/>
          <w:b w:val="false"/>
          <w:i w:val="false"/>
          <w:caps w:val="false"/>
          <w:smallCaps w:val="false"/>
          <w:sz w:val="20"/>
        </w:rPr>
        <w:t xml:space="preserve">” means any interest that accrues on any Note pursuant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with respect to the conversion of a Note to which Combination Settlement applies, the maximum cash amount per $1,000 principal amount of such Note deliverable upon such conversion (excluding cash in lieu of any fractional share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Transfer-Restricted Security</w:t>
      </w:r>
      <w:r>
        <w:rPr>
          <w:rFonts w:ascii="Times New Roman;Times;Serif" w:hAnsi="Times New Roman;Times;Serif"/>
          <w:b w:val="false"/>
          <w:i w:val="false"/>
          <w:caps w:val="false"/>
          <w:smallCaps w:val="false"/>
          <w:sz w:val="20"/>
        </w:rPr>
        <w:t xml:space="preserve">” means any Security that constitutes a “restricted security” (as defined in Rule 144);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Security will cease to be a Transfer-Restricted Security upon the earliest to occur of the following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Security is sold or otherwise transferred to a Person (other than the Company or an Affiliate of the Company) pursuant to a registration statement that was effective under the Securities Act at the time of such sale or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under no obligation to determine whether any Security is a Transfer-Restricted Security and may conclusively rely on an Officer’s Certificate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U.S. Trust Indenture Act of 1939,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such in the first paragraph of this Indenture until a successor replaces it in accordance with the provisions of this Indenture and, thereafter, means such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VWAP Market Disruption Event</w:t>
      </w:r>
      <w:r>
        <w:rPr>
          <w:rFonts w:ascii="Times New Roman;Times;Serif" w:hAnsi="Times New Roman;Times;Serif"/>
          <w:b w:val="false"/>
          <w:i w:val="false"/>
          <w:caps w:val="false"/>
          <w:smallCaps w:val="false"/>
          <w:sz w:val="20"/>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VWAP Trading Day</w:t>
      </w:r>
      <w:r>
        <w:rPr>
          <w:rFonts w:ascii="Times New Roman;Times;Serif" w:hAnsi="Times New Roman;Times;Serif"/>
          <w:b w:val="false"/>
          <w:i w:val="false"/>
          <w:caps w:val="false"/>
          <w:smallCaps w:val="false"/>
          <w:sz w:val="20"/>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1.02.     </w:t>
      </w:r>
      <w:r>
        <w:rPr>
          <w:rFonts w:ascii="Times New Roman;Times;Serif" w:hAnsi="Times New Roman;Times;Serif"/>
          <w:b/>
          <w:i w:val="false"/>
          <w:smallCaps/>
          <w:sz w:val="20"/>
        </w:rPr>
        <w:t>Other Definitions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4460"/>
        <w:gridCol w:w="60"/>
        <w:gridCol w:w="1385"/>
      </w:tblGrid>
      <w:tr>
        <w:trPr/>
        <w:tc>
          <w:tcPr>
            <w:tcW w:w="446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Defined in </w:t>
              <w:br/>
              <w:t>Section</w:t>
            </w:r>
          </w:p>
        </w:tc>
      </w:tr>
      <w:tr>
        <w:trPr/>
        <w:tc>
          <w:tcPr>
            <w:tcW w:w="4460" w:type="dxa"/>
            <w:tcBorders/>
            <w:shd w:fill="CCEEFF" w:val="clear"/>
            <w:vAlign w:val="center"/>
          </w:tcPr>
          <w:p>
            <w:pPr>
              <w:pStyle w:val="TableContents"/>
              <w:bidi w:val="0"/>
              <w:spacing w:before="0" w:after="283"/>
              <w:jc w:val="left"/>
              <w:rPr/>
            </w:pPr>
            <w:r>
              <w:rPr/>
              <w:t>“</w:t>
            </w:r>
            <w:r>
              <w:rPr>
                <w:b/>
              </w:rPr>
              <w:t>Additional Shares</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5.07(A)</w:t>
            </w:r>
          </w:p>
        </w:tc>
      </w:tr>
      <w:tr>
        <w:trPr/>
        <w:tc>
          <w:tcPr>
            <w:tcW w:w="4460" w:type="dxa"/>
            <w:tcBorders/>
            <w:shd w:fill="FFFFFF" w:val="clear"/>
            <w:vAlign w:val="center"/>
          </w:tcPr>
          <w:p>
            <w:pPr>
              <w:pStyle w:val="TableContents"/>
              <w:bidi w:val="0"/>
              <w:spacing w:before="0" w:after="283"/>
              <w:jc w:val="left"/>
              <w:rPr/>
            </w:pPr>
            <w:r>
              <w:rPr/>
              <w:t>“</w:t>
            </w:r>
            <w:r>
              <w:rPr>
                <w:b/>
              </w:rPr>
              <w:t>Business Combination Event</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6.01(A)</w:t>
            </w:r>
          </w:p>
        </w:tc>
      </w:tr>
      <w:tr>
        <w:trPr/>
        <w:tc>
          <w:tcPr>
            <w:tcW w:w="4460" w:type="dxa"/>
            <w:tcBorders/>
            <w:shd w:fill="CCEEFF" w:val="clear"/>
            <w:vAlign w:val="center"/>
          </w:tcPr>
          <w:p>
            <w:pPr>
              <w:pStyle w:val="TableContents"/>
              <w:bidi w:val="0"/>
              <w:spacing w:before="0" w:after="283"/>
              <w:jc w:val="left"/>
              <w:rPr/>
            </w:pPr>
            <w:r>
              <w:rPr/>
              <w:t>“</w:t>
            </w:r>
            <w:r>
              <w:rPr>
                <w:b/>
              </w:rPr>
              <w:t>Cash Settlement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5.03(A)</w:t>
            </w:r>
          </w:p>
        </w:tc>
      </w:tr>
      <w:tr>
        <w:trPr/>
        <w:tc>
          <w:tcPr>
            <w:tcW w:w="4460" w:type="dxa"/>
            <w:tcBorders/>
            <w:shd w:fill="FFFFFF" w:val="clear"/>
            <w:vAlign w:val="center"/>
          </w:tcPr>
          <w:p>
            <w:pPr>
              <w:pStyle w:val="TableContents"/>
              <w:bidi w:val="0"/>
              <w:spacing w:before="0" w:after="283"/>
              <w:jc w:val="left"/>
              <w:rPr/>
            </w:pPr>
            <w:r>
              <w:rPr/>
              <w:t>“</w:t>
            </w:r>
            <w:r>
              <w:rPr>
                <w:b/>
              </w:rPr>
              <w:t>Combination Settlement</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5.03(A)</w:t>
            </w:r>
          </w:p>
        </w:tc>
      </w:tr>
      <w:tr>
        <w:trPr/>
        <w:tc>
          <w:tcPr>
            <w:tcW w:w="4460" w:type="dxa"/>
            <w:tcBorders/>
            <w:shd w:fill="CCEEFF" w:val="clear"/>
            <w:vAlign w:val="center"/>
          </w:tcPr>
          <w:p>
            <w:pPr>
              <w:pStyle w:val="TableContents"/>
              <w:bidi w:val="0"/>
              <w:spacing w:before="0" w:after="283"/>
              <w:jc w:val="left"/>
              <w:rPr/>
            </w:pPr>
            <w:r>
              <w:rPr/>
              <w:t>“</w:t>
            </w:r>
            <w:r>
              <w:rPr>
                <w:b/>
              </w:rPr>
              <w:t>Cleanup Redemption</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4.03(B)(ii)</w:t>
            </w:r>
          </w:p>
        </w:tc>
      </w:tr>
      <w:tr>
        <w:trPr/>
        <w:tc>
          <w:tcPr>
            <w:tcW w:w="4460" w:type="dxa"/>
            <w:tcBorders/>
            <w:shd w:fill="FFFFFF" w:val="clear"/>
            <w:vAlign w:val="center"/>
          </w:tcPr>
          <w:p>
            <w:pPr>
              <w:pStyle w:val="TableContents"/>
              <w:bidi w:val="0"/>
              <w:spacing w:before="0" w:after="283"/>
              <w:jc w:val="left"/>
              <w:rPr/>
            </w:pPr>
            <w:r>
              <w:rPr/>
              <w:t>“</w:t>
            </w:r>
            <w:r>
              <w:rPr>
                <w:b/>
              </w:rPr>
              <w:t>Common Stock Change Event</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5.09(A)</w:t>
            </w:r>
          </w:p>
        </w:tc>
      </w:tr>
      <w:tr>
        <w:trPr/>
        <w:tc>
          <w:tcPr>
            <w:tcW w:w="4460" w:type="dxa"/>
            <w:tcBorders/>
            <w:shd w:fill="CCEEFF" w:val="clear"/>
            <w:vAlign w:val="center"/>
          </w:tcPr>
          <w:p>
            <w:pPr>
              <w:pStyle w:val="TableContents"/>
              <w:bidi w:val="0"/>
              <w:spacing w:before="0" w:after="283"/>
              <w:jc w:val="left"/>
              <w:rPr/>
            </w:pPr>
            <w:r>
              <w:rPr/>
              <w:t>“</w:t>
            </w:r>
            <w:r>
              <w:rPr>
                <w:b/>
              </w:rPr>
              <w:t>Conversion Agent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2.06(A)</w:t>
            </w:r>
          </w:p>
        </w:tc>
      </w:tr>
      <w:tr>
        <w:trPr/>
        <w:tc>
          <w:tcPr>
            <w:tcW w:w="4460" w:type="dxa"/>
            <w:tcBorders/>
            <w:shd w:fill="FFFFFF" w:val="clear"/>
            <w:vAlign w:val="center"/>
          </w:tcPr>
          <w:p>
            <w:pPr>
              <w:pStyle w:val="TableContents"/>
              <w:bidi w:val="0"/>
              <w:spacing w:before="0" w:after="283"/>
              <w:jc w:val="left"/>
              <w:rPr/>
            </w:pPr>
            <w:r>
              <w:rPr/>
              <w:t>“</w:t>
            </w:r>
            <w:r>
              <w:rPr>
                <w:b/>
              </w:rPr>
              <w:t>Conversion Consideration</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5.03(B)</w:t>
            </w:r>
          </w:p>
        </w:tc>
      </w:tr>
      <w:tr>
        <w:trPr/>
        <w:tc>
          <w:tcPr>
            <w:tcW w:w="4460" w:type="dxa"/>
            <w:tcBorders/>
            <w:shd w:fill="CCEEFF" w:val="clear"/>
            <w:vAlign w:val="center"/>
          </w:tcPr>
          <w:p>
            <w:pPr>
              <w:pStyle w:val="TableContents"/>
              <w:bidi w:val="0"/>
              <w:spacing w:before="0" w:after="283"/>
              <w:jc w:val="left"/>
              <w:rPr/>
            </w:pPr>
            <w:r>
              <w:rPr/>
              <w:t>“</w:t>
            </w:r>
            <w:r>
              <w:rPr>
                <w:b/>
              </w:rPr>
              <w:t>Default Interest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2.05(B)</w:t>
            </w:r>
          </w:p>
        </w:tc>
      </w:tr>
      <w:tr>
        <w:trPr/>
        <w:tc>
          <w:tcPr>
            <w:tcW w:w="4460" w:type="dxa"/>
            <w:tcBorders/>
            <w:shd w:fill="FFFFFF" w:val="clear"/>
            <w:vAlign w:val="center"/>
          </w:tcPr>
          <w:p>
            <w:pPr>
              <w:pStyle w:val="TableContents"/>
              <w:bidi w:val="0"/>
              <w:spacing w:before="0" w:after="283"/>
              <w:jc w:val="left"/>
              <w:rPr/>
            </w:pPr>
            <w:r>
              <w:rPr/>
              <w:t>“</w:t>
            </w:r>
            <w:r>
              <w:rPr>
                <w:b/>
              </w:rPr>
              <w:t>Defaulted Amount</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2.05(B)</w:t>
            </w:r>
          </w:p>
        </w:tc>
      </w:tr>
      <w:tr>
        <w:trPr/>
        <w:tc>
          <w:tcPr>
            <w:tcW w:w="4460" w:type="dxa"/>
            <w:tcBorders/>
            <w:shd w:fill="CCEEFF" w:val="clear"/>
            <w:vAlign w:val="center"/>
          </w:tcPr>
          <w:p>
            <w:pPr>
              <w:pStyle w:val="TableContents"/>
              <w:bidi w:val="0"/>
              <w:spacing w:before="0" w:after="283"/>
              <w:jc w:val="left"/>
              <w:rPr/>
            </w:pPr>
            <w:r>
              <w:rPr/>
              <w:t>“</w:t>
            </w:r>
            <w:r>
              <w:rPr>
                <w:b/>
              </w:rPr>
              <w:t>Event of Default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7.01(A)</w:t>
            </w:r>
          </w:p>
        </w:tc>
      </w:tr>
      <w:tr>
        <w:trPr/>
        <w:tc>
          <w:tcPr>
            <w:tcW w:w="4460" w:type="dxa"/>
            <w:tcBorders/>
            <w:shd w:fill="FFFFFF" w:val="clear"/>
            <w:vAlign w:val="center"/>
          </w:tcPr>
          <w:p>
            <w:pPr>
              <w:pStyle w:val="TableContents"/>
              <w:bidi w:val="0"/>
              <w:spacing w:before="0" w:after="283"/>
              <w:jc w:val="left"/>
              <w:rPr/>
            </w:pPr>
            <w:r>
              <w:rPr/>
              <w:t>“</w:t>
            </w:r>
            <w:r>
              <w:rPr>
                <w:b/>
              </w:rPr>
              <w:t>Expiration Date</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5.05(A)(v)</w:t>
            </w:r>
          </w:p>
        </w:tc>
      </w:tr>
      <w:tr>
        <w:trPr/>
        <w:tc>
          <w:tcPr>
            <w:tcW w:w="4460" w:type="dxa"/>
            <w:tcBorders/>
            <w:shd w:fill="CCEEFF" w:val="clear"/>
            <w:vAlign w:val="center"/>
          </w:tcPr>
          <w:p>
            <w:pPr>
              <w:pStyle w:val="TableContents"/>
              <w:bidi w:val="0"/>
              <w:spacing w:before="0" w:after="283"/>
              <w:jc w:val="left"/>
              <w:rPr/>
            </w:pPr>
            <w:r>
              <w:rPr/>
              <w:t>“</w:t>
            </w:r>
            <w:r>
              <w:rPr>
                <w:b/>
              </w:rPr>
              <w:t>Expiration Time</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5.05(A)(v)</w:t>
            </w:r>
          </w:p>
        </w:tc>
      </w:tr>
      <w:tr>
        <w:trPr/>
        <w:tc>
          <w:tcPr>
            <w:tcW w:w="4460" w:type="dxa"/>
            <w:tcBorders/>
            <w:shd w:fill="FFFFFF" w:val="clear"/>
            <w:vAlign w:val="center"/>
          </w:tcPr>
          <w:p>
            <w:pPr>
              <w:pStyle w:val="TableContents"/>
              <w:bidi w:val="0"/>
              <w:spacing w:before="0" w:after="283"/>
              <w:jc w:val="left"/>
              <w:rPr/>
            </w:pPr>
            <w:r>
              <w:rPr/>
              <w:t>“</w:t>
            </w:r>
            <w:r>
              <w:rPr>
                <w:b/>
              </w:rPr>
              <w:t>Fundamental Change Notice</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4.02(E)</w:t>
            </w:r>
          </w:p>
        </w:tc>
      </w:tr>
      <w:tr>
        <w:trPr/>
        <w:tc>
          <w:tcPr>
            <w:tcW w:w="4460" w:type="dxa"/>
            <w:tcBorders/>
            <w:shd w:fill="CCEEFF" w:val="clear"/>
            <w:vAlign w:val="center"/>
          </w:tcPr>
          <w:p>
            <w:pPr>
              <w:pStyle w:val="TableContents"/>
              <w:bidi w:val="0"/>
              <w:spacing w:before="0" w:after="283"/>
              <w:jc w:val="left"/>
              <w:rPr/>
            </w:pPr>
            <w:r>
              <w:rPr/>
              <w:t>“</w:t>
            </w:r>
            <w:r>
              <w:rPr>
                <w:b/>
              </w:rPr>
              <w:t>Fundamental Change Repurchase Right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4.02(A)</w:t>
            </w:r>
          </w:p>
        </w:tc>
      </w:tr>
      <w:tr>
        <w:trPr/>
        <w:tc>
          <w:tcPr>
            <w:tcW w:w="4460" w:type="dxa"/>
            <w:tcBorders/>
            <w:shd w:fill="FFFFFF" w:val="clear"/>
            <w:vAlign w:val="center"/>
          </w:tcPr>
          <w:p>
            <w:pPr>
              <w:pStyle w:val="TableContents"/>
              <w:bidi w:val="0"/>
              <w:spacing w:before="0" w:after="283"/>
              <w:jc w:val="left"/>
              <w:rPr/>
            </w:pPr>
            <w:r>
              <w:rPr/>
              <w:t>“</w:t>
            </w:r>
            <w:r>
              <w:rPr>
                <w:b/>
              </w:rPr>
              <w:t>Initial Notes</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2.03(A)</w:t>
            </w:r>
          </w:p>
        </w:tc>
      </w:tr>
      <w:tr>
        <w:trPr/>
        <w:tc>
          <w:tcPr>
            <w:tcW w:w="4460" w:type="dxa"/>
            <w:tcBorders/>
            <w:shd w:fill="CCEEFF" w:val="clear"/>
            <w:vAlign w:val="center"/>
          </w:tcPr>
          <w:p>
            <w:pPr>
              <w:pStyle w:val="TableContents"/>
              <w:bidi w:val="0"/>
              <w:spacing w:before="0" w:after="283"/>
              <w:jc w:val="left"/>
              <w:rPr/>
            </w:pPr>
            <w:r>
              <w:rPr/>
              <w:t>“</w:t>
            </w:r>
            <w:r>
              <w:rPr>
                <w:b/>
              </w:rPr>
              <w:t>Measurement Period</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5.01(C)(i)(2)</w:t>
            </w:r>
          </w:p>
        </w:tc>
      </w:tr>
      <w:tr>
        <w:trPr/>
        <w:tc>
          <w:tcPr>
            <w:tcW w:w="4460" w:type="dxa"/>
            <w:tcBorders/>
            <w:shd w:fill="FFFFFF" w:val="clear"/>
            <w:vAlign w:val="center"/>
          </w:tcPr>
          <w:p>
            <w:pPr>
              <w:pStyle w:val="TableContents"/>
              <w:bidi w:val="0"/>
              <w:spacing w:before="0" w:after="283"/>
              <w:jc w:val="left"/>
              <w:rPr/>
            </w:pPr>
            <w:r>
              <w:rPr/>
              <w:t>“</w:t>
            </w:r>
            <w:r>
              <w:rPr>
                <w:b/>
              </w:rPr>
              <w:t>Paying Agent</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2.06(A)</w:t>
            </w:r>
          </w:p>
        </w:tc>
      </w:tr>
      <w:tr>
        <w:trPr/>
        <w:tc>
          <w:tcPr>
            <w:tcW w:w="4460" w:type="dxa"/>
            <w:tcBorders/>
            <w:shd w:fill="CCEEFF" w:val="clear"/>
            <w:vAlign w:val="center"/>
          </w:tcPr>
          <w:p>
            <w:pPr>
              <w:pStyle w:val="TableContents"/>
              <w:bidi w:val="0"/>
              <w:spacing w:before="0" w:after="283"/>
              <w:jc w:val="left"/>
              <w:rPr/>
            </w:pPr>
            <w:r>
              <w:rPr/>
              <w:t>“</w:t>
            </w:r>
            <w:r>
              <w:rPr>
                <w:b/>
              </w:rPr>
              <w:t>Partial Redemption Limitation</w:t>
            </w:r>
            <w:r>
              <w:rPr/>
              <w:t xml:space="preserve">”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4.03(C)</w:t>
            </w:r>
          </w:p>
        </w:tc>
      </w:tr>
      <w:tr>
        <w:trPr/>
        <w:tc>
          <w:tcPr>
            <w:tcW w:w="4460" w:type="dxa"/>
            <w:tcBorders/>
            <w:shd w:fill="FFFFFF" w:val="clear"/>
            <w:vAlign w:val="center"/>
          </w:tcPr>
          <w:p>
            <w:pPr>
              <w:pStyle w:val="TableContents"/>
              <w:bidi w:val="0"/>
              <w:spacing w:before="0" w:after="283"/>
              <w:jc w:val="left"/>
              <w:rPr/>
            </w:pPr>
            <w:r>
              <w:rPr/>
              <w:t>“</w:t>
            </w:r>
            <w:r>
              <w:rPr>
                <w:b/>
              </w:rPr>
              <w:t>Provisional Redemption</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 </w:t>
            </w:r>
            <w:r>
              <w:rPr>
                <w:b/>
              </w:rPr>
              <w:t>4.03(B)(i)</w:t>
            </w:r>
          </w:p>
        </w:tc>
      </w:tr>
      <w:tr>
        <w:trPr/>
        <w:tc>
          <w:tcPr>
            <w:tcW w:w="4460" w:type="dxa"/>
            <w:tcBorders/>
            <w:shd w:fill="CCEEFF" w:val="clear"/>
            <w:vAlign w:val="center"/>
          </w:tcPr>
          <w:p>
            <w:pPr>
              <w:pStyle w:val="TableContents"/>
              <w:bidi w:val="0"/>
              <w:spacing w:before="0" w:after="283"/>
              <w:jc w:val="left"/>
              <w:rPr/>
            </w:pPr>
            <w:r>
              <w:rPr/>
              <w:t>“</w:t>
            </w:r>
            <w:r>
              <w:rPr>
                <w:b/>
              </w:rPr>
              <w:t>Physical Settlement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5.03(A)</w:t>
            </w:r>
          </w:p>
        </w:tc>
      </w:tr>
      <w:tr>
        <w:trPr/>
        <w:tc>
          <w:tcPr>
            <w:tcW w:w="4460" w:type="dxa"/>
            <w:tcBorders/>
            <w:shd w:fill="FFFFFF" w:val="clear"/>
            <w:vAlign w:val="center"/>
          </w:tcPr>
          <w:p>
            <w:pPr>
              <w:pStyle w:val="TableContents"/>
              <w:bidi w:val="0"/>
              <w:spacing w:before="0" w:after="283"/>
              <w:jc w:val="left"/>
              <w:rPr/>
            </w:pPr>
            <w:r>
              <w:rPr/>
              <w:t>“</w:t>
            </w:r>
            <w:r>
              <w:rPr>
                <w:b/>
              </w:rPr>
              <w:t>Redemption Notice</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4.03(G)</w:t>
            </w:r>
          </w:p>
        </w:tc>
      </w:tr>
      <w:tr>
        <w:trPr/>
        <w:tc>
          <w:tcPr>
            <w:tcW w:w="4460" w:type="dxa"/>
            <w:tcBorders/>
            <w:shd w:fill="CCEEFF" w:val="clear"/>
            <w:vAlign w:val="center"/>
          </w:tcPr>
          <w:p>
            <w:pPr>
              <w:pStyle w:val="TableContents"/>
              <w:bidi w:val="0"/>
              <w:spacing w:before="0" w:after="283"/>
              <w:jc w:val="left"/>
              <w:rPr/>
            </w:pPr>
            <w:r>
              <w:rPr/>
              <w:t>“</w:t>
            </w:r>
            <w:r>
              <w:rPr>
                <w:b/>
              </w:rPr>
              <w:t>Reference Property</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5.09(A)</w:t>
            </w:r>
          </w:p>
        </w:tc>
      </w:tr>
      <w:tr>
        <w:trPr/>
        <w:tc>
          <w:tcPr>
            <w:tcW w:w="4460" w:type="dxa"/>
            <w:tcBorders/>
            <w:shd w:fill="FFFFFF" w:val="clear"/>
            <w:vAlign w:val="center"/>
          </w:tcPr>
          <w:p>
            <w:pPr>
              <w:pStyle w:val="TableContents"/>
              <w:bidi w:val="0"/>
              <w:spacing w:before="0" w:after="283"/>
              <w:jc w:val="left"/>
              <w:rPr/>
            </w:pPr>
            <w:r>
              <w:rPr/>
              <w:t>“</w:t>
            </w:r>
            <w:r>
              <w:rPr>
                <w:b/>
              </w:rPr>
              <w:t>Reference Property Unit</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5.09(A)</w:t>
            </w:r>
          </w:p>
        </w:tc>
      </w:tr>
      <w:tr>
        <w:trPr/>
        <w:tc>
          <w:tcPr>
            <w:tcW w:w="4460" w:type="dxa"/>
            <w:tcBorders/>
            <w:shd w:fill="CCEEFF" w:val="clear"/>
            <w:vAlign w:val="center"/>
          </w:tcPr>
          <w:p>
            <w:pPr>
              <w:pStyle w:val="TableContents"/>
              <w:bidi w:val="0"/>
              <w:spacing w:before="0" w:after="283"/>
              <w:jc w:val="left"/>
              <w:rPr/>
            </w:pPr>
            <w:r>
              <w:rPr/>
              <w:t>“</w:t>
            </w:r>
            <w:r>
              <w:rPr>
                <w:b/>
              </w:rPr>
              <w:t>Register</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2.06(B)</w:t>
            </w:r>
          </w:p>
        </w:tc>
      </w:tr>
      <w:tr>
        <w:trPr/>
        <w:tc>
          <w:tcPr>
            <w:tcW w:w="4460" w:type="dxa"/>
            <w:tcBorders/>
            <w:shd w:fill="FFFFFF" w:val="clear"/>
            <w:vAlign w:val="center"/>
          </w:tcPr>
          <w:p>
            <w:pPr>
              <w:pStyle w:val="TableContents"/>
              <w:bidi w:val="0"/>
              <w:spacing w:before="0" w:after="283"/>
              <w:jc w:val="left"/>
              <w:rPr/>
            </w:pPr>
            <w:r>
              <w:rPr/>
              <w:t>“</w:t>
            </w:r>
            <w:r>
              <w:rPr>
                <w:b/>
              </w:rPr>
              <w:t>Registrar</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2.06(A)</w:t>
            </w:r>
          </w:p>
        </w:tc>
      </w:tr>
      <w:tr>
        <w:trPr/>
        <w:tc>
          <w:tcPr>
            <w:tcW w:w="4460" w:type="dxa"/>
            <w:tcBorders/>
            <w:shd w:fill="CCEEFF" w:val="clear"/>
            <w:vAlign w:val="center"/>
          </w:tcPr>
          <w:p>
            <w:pPr>
              <w:pStyle w:val="TableContents"/>
              <w:bidi w:val="0"/>
              <w:spacing w:before="0" w:after="283"/>
              <w:jc w:val="left"/>
              <w:rPr/>
            </w:pPr>
            <w:r>
              <w:rPr/>
              <w:t>“</w:t>
            </w:r>
            <w:r>
              <w:rPr>
                <w:b/>
              </w:rPr>
              <w:t>Reporting Event of Default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7.03(A)</w:t>
            </w:r>
          </w:p>
        </w:tc>
      </w:tr>
      <w:tr>
        <w:trPr/>
        <w:tc>
          <w:tcPr>
            <w:tcW w:w="4460" w:type="dxa"/>
            <w:tcBorders/>
            <w:shd w:fill="FFFFFF" w:val="clear"/>
            <w:vAlign w:val="center"/>
          </w:tcPr>
          <w:p>
            <w:pPr>
              <w:pStyle w:val="TableContents"/>
              <w:bidi w:val="0"/>
              <w:spacing w:before="0" w:after="283"/>
              <w:jc w:val="left"/>
              <w:rPr/>
            </w:pPr>
            <w:r>
              <w:rPr/>
              <w:t>“</w:t>
            </w:r>
            <w:r>
              <w:rPr>
                <w:b/>
              </w:rPr>
              <w:t>Specified Courts</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11.07</w:t>
            </w:r>
          </w:p>
        </w:tc>
      </w:tr>
      <w:tr>
        <w:trPr/>
        <w:tc>
          <w:tcPr>
            <w:tcW w:w="4460" w:type="dxa"/>
            <w:tcBorders/>
            <w:shd w:fill="CCEEFF" w:val="clear"/>
            <w:vAlign w:val="center"/>
          </w:tcPr>
          <w:p>
            <w:pPr>
              <w:pStyle w:val="TableContents"/>
              <w:bidi w:val="0"/>
              <w:spacing w:before="0" w:after="283"/>
              <w:jc w:val="left"/>
              <w:rPr/>
            </w:pPr>
            <w:r>
              <w:rPr/>
              <w:t>“</w:t>
            </w:r>
            <w:r>
              <w:rPr>
                <w:b/>
              </w:rPr>
              <w:t>Spin-Off</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5.05(A)(iii)(2)</w:t>
            </w:r>
          </w:p>
        </w:tc>
      </w:tr>
      <w:tr>
        <w:trPr/>
        <w:tc>
          <w:tcPr>
            <w:tcW w:w="4460" w:type="dxa"/>
            <w:tcBorders/>
            <w:shd w:fill="FFFFFF" w:val="clear"/>
            <w:vAlign w:val="center"/>
          </w:tcPr>
          <w:p>
            <w:pPr>
              <w:pStyle w:val="TableContents"/>
              <w:bidi w:val="0"/>
              <w:spacing w:before="0" w:after="283"/>
              <w:jc w:val="left"/>
              <w:rPr/>
            </w:pPr>
            <w:r>
              <w:rPr/>
              <w:t>“</w:t>
            </w:r>
            <w:r>
              <w:rPr>
                <w:b/>
              </w:rPr>
              <w:t>Spin-Off Valuation Period</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5.05(A)(iii)(2)</w:t>
            </w:r>
          </w:p>
        </w:tc>
      </w:tr>
      <w:tr>
        <w:trPr/>
        <w:tc>
          <w:tcPr>
            <w:tcW w:w="4460" w:type="dxa"/>
            <w:tcBorders/>
            <w:shd w:fill="CCEEFF" w:val="clear"/>
            <w:vAlign w:val="center"/>
          </w:tcPr>
          <w:p>
            <w:pPr>
              <w:pStyle w:val="TableContents"/>
              <w:bidi w:val="0"/>
              <w:spacing w:before="0" w:after="283"/>
              <w:jc w:val="left"/>
              <w:rPr/>
            </w:pPr>
            <w:r>
              <w:rPr/>
              <w:t>“</w:t>
            </w:r>
            <w:r>
              <w:rPr>
                <w:b/>
              </w:rPr>
              <w:t>Successor Corporation</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6.01(A)</w:t>
            </w:r>
          </w:p>
        </w:tc>
      </w:tr>
      <w:tr>
        <w:trPr/>
        <w:tc>
          <w:tcPr>
            <w:tcW w:w="4460" w:type="dxa"/>
            <w:tcBorders/>
            <w:shd w:fill="FFFFFF" w:val="clear"/>
            <w:vAlign w:val="center"/>
          </w:tcPr>
          <w:p>
            <w:pPr>
              <w:pStyle w:val="TableContents"/>
              <w:bidi w:val="0"/>
              <w:spacing w:before="0" w:after="283"/>
              <w:jc w:val="left"/>
              <w:rPr/>
            </w:pPr>
            <w:r>
              <w:rPr/>
              <w:t>“</w:t>
            </w:r>
            <w:r>
              <w:rPr>
                <w:b/>
              </w:rPr>
              <w:t>Successor Person</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5.09(A)</w:t>
            </w:r>
          </w:p>
        </w:tc>
      </w:tr>
      <w:tr>
        <w:trPr/>
        <w:tc>
          <w:tcPr>
            <w:tcW w:w="4460" w:type="dxa"/>
            <w:tcBorders/>
            <w:shd w:fill="CCEEFF" w:val="clear"/>
            <w:vAlign w:val="center"/>
          </w:tcPr>
          <w:p>
            <w:pPr>
              <w:pStyle w:val="TableContents"/>
              <w:bidi w:val="0"/>
              <w:spacing w:before="0" w:after="283"/>
              <w:jc w:val="left"/>
              <w:rPr/>
            </w:pPr>
            <w:r>
              <w:rPr/>
              <w:t>“</w:t>
            </w:r>
            <w:r>
              <w:rPr>
                <w:b/>
              </w:rPr>
              <w:t>Tender/Exchange Offer Valuation Period</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5.05(A)(v)</w:t>
            </w:r>
          </w:p>
        </w:tc>
      </w:tr>
      <w:tr>
        <w:trPr/>
        <w:tc>
          <w:tcPr>
            <w:tcW w:w="4460" w:type="dxa"/>
            <w:tcBorders/>
            <w:shd w:fill="FFFFFF" w:val="clear"/>
            <w:vAlign w:val="center"/>
          </w:tcPr>
          <w:p>
            <w:pPr>
              <w:pStyle w:val="TableContents"/>
              <w:bidi w:val="0"/>
              <w:spacing w:before="0" w:after="283"/>
              <w:jc w:val="left"/>
              <w:rPr/>
            </w:pPr>
            <w:r>
              <w:rPr/>
              <w:t>“</w:t>
            </w:r>
            <w:r>
              <w:rPr>
                <w:b/>
              </w:rPr>
              <w:t>Trading Price Condition</w:t>
            </w:r>
            <w:r>
              <w:rPr/>
              <w:t>”</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b/>
              </w:rPr>
            </w:pPr>
            <w:r>
              <w:rPr>
                <w:b/>
              </w:rPr>
              <w:t>5.01(C)(i)(2)</w:t>
            </w:r>
          </w:p>
        </w:tc>
      </w:tr>
      <w:tr>
        <w:trPr/>
        <w:tc>
          <w:tcPr>
            <w:tcW w:w="4460" w:type="dxa"/>
            <w:tcBorders/>
            <w:shd w:fill="CCEEFF" w:val="clear"/>
            <w:vAlign w:val="center"/>
          </w:tcPr>
          <w:p>
            <w:pPr>
              <w:pStyle w:val="TableContents"/>
              <w:bidi w:val="0"/>
              <w:spacing w:before="0" w:after="283"/>
              <w:jc w:val="left"/>
              <w:rPr/>
            </w:pPr>
            <w:r>
              <w:rPr/>
              <w:t>“</w:t>
            </w:r>
            <w:r>
              <w:rPr>
                <w:b/>
              </w:rPr>
              <w:t>Trigger Event</w:t>
            </w:r>
            <w:r>
              <w:rPr/>
              <w:t>”</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b/>
              </w:rPr>
            </w:pPr>
            <w:r>
              <w:rPr>
                <w:b/>
              </w:rPr>
              <w:t>5.05(A)(iii)(1)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1.03.    </w:t>
      </w:r>
      <w:r>
        <w:rPr>
          <w:rFonts w:ascii="Times New Roman;Times;Serif" w:hAnsi="Times New Roman;Times;Serif"/>
          <w:b/>
          <w:i w:val="false"/>
          <w:smallCaps/>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is not exclusive;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“including” means “including without limitation”;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expresses a command;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“average” of a set of numerical values refers to the arithmetic average of such numerical values;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in the plural include the singular,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“herein,” “hereof” and other words of similar import refer to this Indenture as a whole and not to any particular Article, Section or other subdivision of this Indenture,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currency mean the lawful currency of the United States of America,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exhibits, schedules and other attachments to this Indenture are deemed to form part of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when used with respect to a Note, means any Default Interest, Additional Interest and Special Interest, in each case, to the extent the same is payable on such Note,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         The Notes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2.01.     </w:t>
      </w:r>
      <w:r>
        <w:rPr>
          <w:rFonts w:ascii="Times New Roman;Times;Serif" w:hAnsi="Times New Roman;Times;Serif"/>
          <w:b/>
          <w:i w:val="false"/>
          <w:smallCaps/>
          <w:sz w:val="20"/>
        </w:rPr>
        <w:t>Form, Dating and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and the Trustee’s certificate of authentication will be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Notes will bear the legends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and may bear notations, legends or endorsements required by law, stock exchange rule or usage or the Depositary. Each Note will be dated as of the date of its authentication.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issuable only in registered form without interest coupons and only in Authorized Denominations.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representing a Note will bear a unique registration number that is not affixed to any other certificate representing another outstanding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any provision of any Note conflicts with the provisions of this Indenture, the provisions of this Indenture will control for purposes of this Indenture and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2.02.    </w:t>
      </w:r>
      <w:r>
        <w:rPr>
          <w:rFonts w:ascii="Times New Roman;Times;Serif" w:hAnsi="Times New Roman;Times;Serif"/>
          <w:b/>
          <w:i w:val="false"/>
          <w:smallCaps/>
          <w:sz w:val="20"/>
        </w:rPr>
        <w:t>Execution, Authentication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Due Execution by the Company</w:t>
      </w:r>
      <w:r>
        <w:rPr>
          <w:rFonts w:ascii="Times New Roman;Times;Serif" w:hAnsi="Times New Roman;Times;Serif"/>
          <w:b w:val="false"/>
          <w:i w:val="false"/>
          <w:caps w:val="false"/>
          <w:smallCaps w:val="false"/>
          <w:sz w:val="20"/>
        </w:rPr>
        <w:t>. At least one (1) duly authorized Officer will sign the Notes on behalf of the Company by manual, electronic or facsimile signature. A Note’s validity will not be affected by the failure of any Officer whose signature is on any Note to hold, at the time such Note is authenticated, the same or any other office at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Authentication by the Trustee and Delivery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Times;Serif" w:hAnsi="Times New Roman;Times;Serif"/>
          <w:b/>
          <w:i w:val="false"/>
          <w:caps w:val="false"/>
          <w:smallCaps w:val="false"/>
          <w:sz w:val="20"/>
        </w:rPr>
        <w:t>Section 2.02(A)</w:t>
      </w:r>
      <w:r>
        <w:rPr>
          <w:rFonts w:ascii="Times New Roman;Times;Serif" w:hAnsi="Times New Roman;Times;Serif"/>
          <w:b w:val="false"/>
          <w:i w:val="false"/>
          <w:caps w:val="false"/>
          <w:smallCaps w:val="false"/>
          <w:sz w:val="20"/>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2.03.    </w:t>
      </w:r>
      <w:r>
        <w:rPr>
          <w:rFonts w:ascii="Times New Roman;Times;Serif" w:hAnsi="Times New Roman;Times;Serif"/>
          <w:b/>
          <w:i w:val="false"/>
          <w:smallCaps/>
          <w:sz w:val="20"/>
        </w:rPr>
        <w:t>Initial Notes and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xml:space="preserve">. On the Issue Date, there will be originally issued six hundred and fifty million dollars ($650,000,000) aggregate principal amount of Notes, subject to the provisions of this Indenture (including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Notes issued pursuant to this </w:t>
      </w:r>
      <w:r>
        <w:rPr>
          <w:rFonts w:ascii="Times New Roman;Times;Serif" w:hAnsi="Times New Roman;Times;Serif"/>
          <w:b/>
          <w:i w:val="false"/>
          <w:caps w:val="false"/>
          <w:smallCaps w:val="false"/>
          <w:sz w:val="20"/>
        </w:rPr>
        <w:t>Section 2.03(A)</w:t>
      </w:r>
      <w:r>
        <w:rPr>
          <w:rFonts w:ascii="Times New Roman;Times;Serif" w:hAnsi="Times New Roman;Times;Serif"/>
          <w:b w:val="false"/>
          <w:i w:val="false"/>
          <w:caps w:val="false"/>
          <w:smallCaps w:val="false"/>
          <w:sz w:val="20"/>
        </w:rPr>
        <w:t>, and any Notes issued in exchange therefor or in substitution thereof, are referred to in this Indenture as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xml:space="preserve">. Without the consent of any Holder, the Company may, subject to the provisions of this Indenture (including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originally issue additional Notes with the same terms as the Initial Notes (except, to the extent applicable, with respect to the date on which Special Interest or Additional Interest, if any, begins to accrue on such additional Notes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additional Notes (and any Notes that are resold after such Notes have been purchased or otherwise acquired by the Company or its Subsidiaries) that are not fungible with other Notes issued under this Indenture for purposes of U.S. federal income tax or federal securities laws or, if applicable, the Depositary Procedures, will be identified by a separate CUSIP number or by no CUSIP number.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2.04.    </w:t>
      </w:r>
      <w:r>
        <w:rPr>
          <w:rFonts w:ascii="Times New Roman;Times;Serif" w:hAnsi="Times New Roman;Times;Serif"/>
          <w:b/>
          <w:i w:val="false"/>
          <w:smallCaps/>
          <w:sz w:val="20"/>
        </w:rPr>
        <w:t>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Special Interest if any, or Additional Interest, if any, on, and any cash Conversion Consideration for, any Global Note to the Depositary by wire transfer of immediately available funds no later than the time the same is due as provided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Special Interest if any, or Additional Interest, if any,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Special Interest, if any, or Additional Interest, if any, due on an Interest Payment Date, the immediately preceding Interest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2.05.    </w:t>
      </w:r>
      <w:r>
        <w:rPr>
          <w:rFonts w:ascii="Times New Roman;Times;Serif" w:hAnsi="Times New Roman;Times;Serif"/>
          <w:b/>
          <w:i w:val="false"/>
          <w:smallCaps/>
          <w:sz w:val="20"/>
        </w:rPr>
        <w:t>No Regular Interest; Accrual and Payment of Special Interest and Additional Interest; Defaulted Amounts; When Payment Date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 Regular Interest; Accrual and Payment of Special Interest and Additional Interest</w:t>
      </w:r>
      <w:r>
        <w:rPr>
          <w:rFonts w:ascii="Times New Roman;Times;Serif" w:hAnsi="Times New Roman;Times;Serif"/>
          <w:b w:val="false"/>
          <w:i w:val="false"/>
          <w:caps w:val="false"/>
          <w:smallCaps w:val="false"/>
          <w:sz w:val="20"/>
        </w:rPr>
        <w:t xml:space="preserve">. The Notes will not bear regular interest, and the principal amount of the Notes will not accrete;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Additional Interest and Special Interest will accrue on the Notes to the extent, and only to the extent, provided in </w:t>
      </w:r>
      <w:r>
        <w:rPr>
          <w:rFonts w:ascii="Times New Roman;Times;Serif" w:hAnsi="Times New Roman;Times;Serif"/>
          <w:b/>
          <w:i w:val="false"/>
          <w:caps w:val="false"/>
          <w:smallCaps w:val="false"/>
          <w:sz w:val="20"/>
        </w:rPr>
        <w:t xml:space="preserve">Sections 3.04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7.03</w:t>
      </w:r>
      <w:r>
        <w:rPr>
          <w:rFonts w:ascii="Times New Roman;Times;Serif" w:hAnsi="Times New Roman;Times;Serif"/>
          <w:b w:val="false"/>
          <w:i w:val="false"/>
          <w:caps w:val="false"/>
          <w:smallCaps w:val="false"/>
          <w:sz w:val="20"/>
        </w:rPr>
        <w:t xml:space="preserve">, respectively. The amount of any such Special Interest or Additional Interest, if any, that is payable on any applicable Interest Payment Date will be the amount of unpaid Special Interest or Additional Interest, as applicable, that has accrued from, and including, the last date as of which such interest has been paid or provided for (or, if later, the date as of which such interest has begun to accrue, as provided in </w:t>
      </w:r>
      <w:r>
        <w:rPr>
          <w:rFonts w:ascii="Times New Roman;Times;Serif" w:hAnsi="Times New Roman;Times;Serif"/>
          <w:b/>
          <w:i w:val="false"/>
          <w:caps w:val="false"/>
          <w:smallCaps w:val="false"/>
          <w:sz w:val="20"/>
        </w:rPr>
        <w:t xml:space="preserve">Section 3.04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7.03</w:t>
      </w:r>
      <w:r>
        <w:rPr>
          <w:rFonts w:ascii="Times New Roman;Times;Serif" w:hAnsi="Times New Roman;Times;Serif"/>
          <w:b w:val="false"/>
          <w:i w:val="false"/>
          <w:caps w:val="false"/>
          <w:smallCaps w:val="false"/>
          <w:sz w:val="20"/>
        </w:rPr>
        <w:t xml:space="preserve">, as applicable) to, but excluding, such Interest Payment Date (or, if earlier, the date as of which such interest has ceased to accrue, as provided in </w:t>
      </w:r>
      <w:r>
        <w:rPr>
          <w:rFonts w:ascii="Times New Roman;Times;Serif" w:hAnsi="Times New Roman;Times;Serif"/>
          <w:b/>
          <w:i w:val="false"/>
          <w:caps w:val="false"/>
          <w:smallCaps w:val="false"/>
          <w:sz w:val="20"/>
        </w:rPr>
        <w:t xml:space="preserve">Section 3.04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7.03</w:t>
      </w:r>
      <w:r>
        <w:rPr>
          <w:rFonts w:ascii="Times New Roman;Times;Serif" w:hAnsi="Times New Roman;Times;Serif"/>
          <w:b w:val="false"/>
          <w:i w:val="false"/>
          <w:caps w:val="false"/>
          <w:smallCaps w:val="false"/>
          <w:sz w:val="20"/>
        </w:rPr>
        <w:t>, as applicable). If any Special Interest or Additional Interest has accrued on any Note, then such interest will be payable in arrears on the next Interest Payment Date to the Holder of such Note as of the Close of Business on the immediately preceding Interest Record Date. Special Interest and Additional Interest, if any, on the Notes will be computed on the basis of a 360-day year comprised of twelve 30-day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Defaulted Amounts</w:t>
      </w:r>
      <w:r>
        <w:rPr>
          <w:rFonts w:ascii="Times New Roman;Times;Serif" w:hAnsi="Times New Roman;Times;Serif"/>
          <w:b w:val="false"/>
          <w:i w:val="false"/>
          <w:caps w:val="false"/>
          <w:smallCaps w:val="false"/>
          <w:sz w:val="20"/>
        </w:rPr>
        <w:t>. If the Company fails to pay any amount (a “</w:t>
      </w:r>
      <w:r>
        <w:rPr>
          <w:rFonts w:ascii="Times New Roman;Times;Serif" w:hAnsi="Times New Roman;Times;Serif"/>
          <w:b/>
          <w:i w:val="false"/>
          <w:caps w:val="false"/>
          <w:smallCaps w:val="false"/>
          <w:sz w:val="20"/>
        </w:rPr>
        <w:t>Defaulted Amount</w:t>
      </w:r>
      <w:r>
        <w:rPr>
          <w:rFonts w:ascii="Times New Roman;Times;Serif" w:hAnsi="Times New Roman;Times;Serif"/>
          <w:b w:val="false"/>
          <w:i w:val="false"/>
          <w:caps w:val="false"/>
          <w:smallCaps w:val="false"/>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will accrue on such Defaulted Amount for each day, if any, during the period from, and including, such due date to, but excluding, the date of payment of such Defaulted Amount and Default Interest, which Default Interest will accrue on each such day at the combined rate at which Special Interest and Additional Interest accrues on such Note on such day (it being understood, for the avoidance of doubt, that no Default Interest will accrue on such Note on any day on which no Special Interest or Additional Interest accrues on such Note); (iii) such Defaulted Amount and Default Interest will be paid on a payment date selected by the Company to the Holder of such Note as of the Close of Business on a special record date selected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Delay of Payment when Payment Date is Not a Business Day</w:t>
      </w:r>
      <w:r>
        <w:rPr>
          <w:rFonts w:ascii="Times New Roman;Times;Serif" w:hAnsi="Times New Roman;Times;Serif"/>
          <w:b w:val="false"/>
          <w:i w:val="false"/>
          <w:caps w:val="false"/>
          <w:smallCaps w:val="false"/>
          <w:sz w:val="20"/>
        </w:rPr>
        <w:t>. If the due date for a payment on a Note as provided in this Indenture is not a Business Day, then, notwithstanding anything to the contrary in this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Special Provision for Global Notes</w:t>
      </w:r>
      <w:r>
        <w:rPr>
          <w:rFonts w:ascii="Times New Roman;Times;Serif" w:hAnsi="Times New Roman;Times;Serif"/>
          <w:b w:val="false"/>
          <w:i w:val="false"/>
          <w:caps w:val="false"/>
          <w:smallCaps w:val="false"/>
          <w:sz w:val="20"/>
        </w:rPr>
        <w:t>. If the first date on which any Additional Interest or Special Interest, as applicable, begins to accrue on a Global Note is on or after the fifth (5th) Business Day before an Interest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2.06.    </w:t>
      </w:r>
      <w:r>
        <w:rPr>
          <w:rFonts w:ascii="Times New Roman;Times;Serif" w:hAnsi="Times New Roman;Times;Serif"/>
          <w:b/>
          <w:i w:val="false"/>
          <w:smallCaps/>
          <w:sz w:val="20"/>
        </w:rPr>
        <w:t>Registrar, Paying Agent and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maintain (i) an office or agency in the continental United States where Notes may be presented for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 an office or agency in the continental United States where Notes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(iii) an office or agency in the continental United States where Notes may be presented for conversion (the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Duties of the Registrar</w:t>
      </w:r>
      <w:r>
        <w:rPr>
          <w:rFonts w:ascii="Times New Roman;Times;Serif" w:hAnsi="Times New Roman;Times;Serif"/>
          <w:b w:val="false"/>
          <w:i w:val="false"/>
          <w:caps w:val="false"/>
          <w:smallCaps w:val="false"/>
          <w:sz w:val="20"/>
        </w:rPr>
        <w:t>. The Registrar will keep a record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Co-Agents; Company’s Right to Appoint Successor Registrars, Paying Agents and Conversion Agents</w:t>
      </w:r>
      <w:r>
        <w:rPr>
          <w:rFonts w:ascii="Times New Roman;Times;Serif" w:hAnsi="Times New Roman;Times;Serif"/>
          <w:b w:val="false"/>
          <w:i w:val="false"/>
          <w:caps w:val="false"/>
          <w:smallCaps w:val="false"/>
          <w:sz w:val="20"/>
        </w:rPr>
        <w:t xml:space="preserve">. The Company may appoint one or more co-Registrars, co-Paying Agents and co-Conversion Agents, each of whom will be deemed to be a Registrar, Paying Agent or Conversion Agent, as applicable, under this Indenture. Subject to </w:t>
      </w:r>
      <w:r>
        <w:rPr>
          <w:rFonts w:ascii="Times New Roman;Times;Serif" w:hAnsi="Times New Roman;Times;Serif"/>
          <w:b/>
          <w:i w:val="false"/>
          <w:caps w:val="false"/>
          <w:smallCaps w:val="false"/>
          <w:sz w:val="20"/>
        </w:rPr>
        <w:t>Section 2.06(A)</w:t>
      </w:r>
      <w:r>
        <w:rPr>
          <w:rFonts w:ascii="Times New Roman;Times;Serif" w:hAnsi="Times New Roman;Times;Serif"/>
          <w:b w:val="false"/>
          <w:i w:val="false"/>
          <w:caps w:val="false"/>
          <w:smallCaps w:val="false"/>
          <w:sz w:val="20"/>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Initial Appointments</w:t>
      </w:r>
      <w:r>
        <w:rPr>
          <w:rFonts w:ascii="Times New Roman;Times;Serif" w:hAnsi="Times New Roman;Times;Serif"/>
          <w:b w:val="false"/>
          <w:i w:val="false"/>
          <w:caps w:val="false"/>
          <w:smallCaps w:val="false"/>
          <w:sz w:val="20"/>
        </w:rPr>
        <w:t>. The Company appoints the Trustee as the initial Paying Agent, the initial Registrar and the initial Conversion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2.07.    </w:t>
      </w:r>
      <w:r>
        <w:rPr>
          <w:rFonts w:ascii="Times New Roman;Times;Serif" w:hAnsi="Times New Roman;Times;Serif"/>
          <w:b/>
          <w:i w:val="false"/>
          <w:smallCaps/>
          <w:sz w:val="20"/>
        </w:rPr>
        <w:t>Paying Agent and Conversion Agent to Hold Property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Times;Serif" w:hAnsi="Times New Roman;Times;Serif"/>
          <w:b/>
          <w:i w:val="false"/>
          <w:caps w:val="false"/>
          <w:smallCaps w:val="false"/>
          <w:sz w:val="20"/>
        </w:rPr>
        <w:t>clause (viii)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(ix)</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2.08.    </w:t>
      </w:r>
      <w:r>
        <w:rPr>
          <w:rFonts w:ascii="Times New Roman;Times;Serif" w:hAnsi="Times New Roman;Times;Serif"/>
          <w:b/>
          <w:i w:val="false"/>
          <w:smallCaps/>
          <w:sz w:val="20"/>
        </w:rPr>
        <w:t>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is not the Registrar, then the Company will furnish to the Trustee, no later than seven (7) Business Days before each Interest Payment Date in respect of which any Special Interest or Additional Interest is payable, and at such other times as the Trustee may request, a list, in such form and as of such date or time as the Trustee may reasonably require, of the names and addresses of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2.09.    </w:t>
      </w:r>
      <w:r>
        <w:rPr>
          <w:rFonts w:ascii="Times New Roman;Times;Serif" w:hAnsi="Times New Roman;Times;Serif"/>
          <w:b/>
          <w:i w:val="false"/>
          <w:smallCaps/>
          <w:sz w:val="20"/>
        </w:rPr>
        <w:t>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will bear the Global Note Legend (or any similar legend, not inconsistent with this Indenture, required by the Depositary for such Global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Non-Affiliate Legend</w:t>
      </w:r>
      <w:r>
        <w:rPr>
          <w:rFonts w:ascii="Times New Roman;Times;Serif" w:hAnsi="Times New Roman;Times;Serif"/>
          <w:b w:val="false"/>
          <w:i w:val="false"/>
          <w:caps w:val="false"/>
          <w:smallCaps w:val="false"/>
          <w:sz w:val="20"/>
        </w:rPr>
        <w:t>. Each Note will bear the Non-Affiliate Legend.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Restricted Note Legend</w:t>
      </w:r>
      <w:r>
        <w:rPr>
          <w:rFonts w:ascii="Times New Roman;Times;Serif" w:hAnsi="Times New Roman;Times;Serif"/>
          <w:b w:val="false"/>
          <w:i w:val="false"/>
          <w:caps w:val="false"/>
          <w:smallCaps w:val="false"/>
          <w:sz w:val="20"/>
        </w:rPr>
        <w:t>. Subject to the other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that is a Transfer-Restricted Security will bear the Restricted Note Legend;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Note is issued in exchange for, in substitution of, or to effect a partial conversion of, another Note (such other Note being referred to as the “old Note” for purposes of this </w:t>
      </w:r>
      <w:r>
        <w:rPr>
          <w:rFonts w:ascii="Times New Roman;Times;Serif" w:hAnsi="Times New Roman;Times;Serif"/>
          <w:b/>
          <w:i w:val="false"/>
          <w:caps w:val="false"/>
          <w:smallCaps w:val="false"/>
          <w:sz w:val="20"/>
        </w:rPr>
        <w:t>Section 2.09(C)(ii)</w:t>
      </w:r>
      <w:r>
        <w:rPr>
          <w:rFonts w:ascii="Times New Roman;Times;Serif" w:hAnsi="Times New Roman;Times;Serif"/>
          <w:b w:val="false"/>
          <w:i w:val="false"/>
          <w:caps w:val="false"/>
          <w:smallCaps w:val="false"/>
          <w:sz w:val="20"/>
        </w:rPr>
        <w:t xml:space="preserve">), including pursuant to Section </w:t>
      </w:r>
      <w:r>
        <w:rPr>
          <w:rFonts w:ascii="Times New Roman;Times;Serif" w:hAnsi="Times New Roman;Times;Serif"/>
          <w:b/>
          <w:i w:val="false"/>
          <w:caps w:val="false"/>
          <w:smallCaps w:val="false"/>
          <w:sz w:val="20"/>
        </w:rPr>
        <w:t>2.10(B)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2.10(C)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2.13</w:t>
      </w:r>
      <w:r>
        <w:rPr>
          <w:rFonts w:ascii="Times New Roman;Times;Serif" w:hAnsi="Times New Roman;Times;Serif"/>
          <w:b w:val="false"/>
          <w:i w:val="false"/>
          <w:caps w:val="false"/>
          <w:smallCaps w:val="false"/>
          <w:sz w:val="20"/>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Note need not bear the Restricted Note Legend if such Note does not constitute a Transfer-Restricted Security immediately after such exchange or substitution, or as of such Conversion Date, as applicable.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Other Legends</w:t>
      </w:r>
      <w:r>
        <w:rPr>
          <w:rFonts w:ascii="Times New Roman;Times;Serif" w:hAnsi="Times New Roman;Times;Serif"/>
          <w:b w:val="false"/>
          <w:i w:val="false"/>
          <w:caps w:val="false"/>
          <w:smallCaps w:val="false"/>
          <w:sz w:val="20"/>
        </w:rPr>
        <w:t>. A Note may bear any other legend or text, not inconsistent with this Indenture, as may be required by applicable law or by any securities exchange or automated quotation system on which such Note is traded or quoted.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Acknowledgment and Agreement by the Holders</w:t>
      </w:r>
      <w:r>
        <w:rPr>
          <w:rFonts w:ascii="Times New Roman;Times;Serif" w:hAnsi="Times New Roman;Times;Serif"/>
          <w:b w:val="false"/>
          <w:i w:val="false"/>
          <w:caps w:val="false"/>
          <w:smallCaps w:val="false"/>
          <w:sz w:val="20"/>
        </w:rPr>
        <w:t xml:space="preserve">. A Holder’s acceptance of any Note bearing any legend required by this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will constitute such Holder’s acknowledgment of, and agreement to comply with, the restrictions set forth in such legend.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Restricted Stock Legend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Conversion Share need not bear the Restricted Stock Legend if the Company determines, in its reasonable discretion, that such Conversion Share need not bear the Restricted Stock Legend.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- 19 -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this </w:t>
      </w:r>
      <w:r>
        <w:rPr>
          <w:rFonts w:ascii="Times New Roman;Times;Serif" w:hAnsi="Times New Roman;Times;Serif"/>
          <w:b/>
          <w:i w:val="false"/>
          <w:caps w:val="false"/>
          <w:smallCaps w:val="false"/>
          <w:sz w:val="20"/>
        </w:rPr>
        <w:t>Section 2.09(F)</w:t>
      </w:r>
      <w:r>
        <w:rPr>
          <w:rFonts w:ascii="Times New Roman;Times;Serif" w:hAnsi="Times New Roman;Times;Serif"/>
          <w:b w:val="false"/>
          <w:i w:val="false"/>
          <w:caps w:val="false"/>
          <w:smallCaps w:val="false"/>
          <w:sz w:val="20"/>
        </w:rPr>
        <w:t xml:space="preserve">, a Conversion Share need not bear a Restricted Stock Legend if such Conversion Share is issued in an uncertificated form that does not permit affixing legends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takes measures (including the assignment thereto of a “restricted” CUSIP number) that it reasonably deems appropriate to enforce the transfer restrictions referred to in the Restricted Stock Legend.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2.10.    </w:t>
      </w:r>
      <w:r>
        <w:rPr>
          <w:rFonts w:ascii="Times New Roman;Times;Serif" w:hAnsi="Times New Roman;Times;Serif"/>
          <w:b/>
          <w:i w:val="false"/>
          <w:smallCaps/>
          <w:sz w:val="20"/>
        </w:rPr>
        <w:t>Transfers and Exchanges; Certain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Provisions Applicable to All Transfers and Exchanges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Physical Notes and beneficial interests in Global Notes may be transferred or exchanged from time to time and the Registrar will record each such transfer or exchange in the Register.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Transferred and Exchanged Notes Remain Valid Obligations of the Company</w:t>
      </w:r>
      <w:r>
        <w:rPr>
          <w:rFonts w:ascii="Times New Roman;Times;Serif" w:hAnsi="Times New Roman;Times;Serif"/>
          <w:b w:val="false"/>
          <w:i w:val="false"/>
          <w:caps w:val="false"/>
          <w:smallCaps w:val="false"/>
          <w:sz w:val="20"/>
        </w:rPr>
        <w:t xml:space="preserve">. Each Note issued upon transfer or exchange of any other Note (such other Note being referred to as the “old Note” for purposes of this </w:t>
      </w:r>
      <w:r>
        <w:rPr>
          <w:rFonts w:ascii="Times New Roman;Times;Serif" w:hAnsi="Times New Roman;Times;Serif"/>
          <w:b/>
          <w:i w:val="false"/>
          <w:caps w:val="false"/>
          <w:smallCaps w:val="false"/>
          <w:sz w:val="20"/>
        </w:rPr>
        <w:t>Section 2.10(A)(ii)</w:t>
      </w:r>
      <w:r>
        <w:rPr>
          <w:rFonts w:ascii="Times New Roman;Times;Serif" w:hAnsi="Times New Roman;Times;Serif"/>
          <w:b w:val="false"/>
          <w:i w:val="false"/>
          <w:caps w:val="false"/>
          <w:smallCaps w:val="false"/>
          <w:sz w:val="20"/>
        </w:rPr>
        <w:t>) or portion thereof in accordance with this Indenture will be the valid obligation of the Company, evidencing the same indebtedness, and entitled to the same benefits under this Indenture, as such old Note or portion thereof, as applicable.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No Service Charge; Transfer Taxes</w:t>
      </w:r>
      <w:r>
        <w:rPr>
          <w:rFonts w:ascii="Times New Roman;Times;Serif" w:hAnsi="Times New Roman;Times;Serif"/>
          <w:b w:val="false"/>
          <w:i w:val="false"/>
          <w:caps w:val="false"/>
          <w:smallCaps w:val="false"/>
          <w:sz w:val="20"/>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Times;Serif" w:hAnsi="Times New Roman;Times;Serif"/>
          <w:b/>
          <w:i w:val="false"/>
          <w:caps w:val="false"/>
          <w:smallCaps w:val="false"/>
          <w:sz w:val="20"/>
        </w:rPr>
        <w:t>Section 2.11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2.17</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8.05 </w:t>
      </w:r>
      <w:r>
        <w:rPr>
          <w:rFonts w:ascii="Times New Roman;Times;Serif" w:hAnsi="Times New Roman;Times;Serif"/>
          <w:b w:val="false"/>
          <w:i w:val="false"/>
          <w:caps w:val="false"/>
          <w:smallCaps w:val="false"/>
          <w:sz w:val="20"/>
        </w:rPr>
        <w:t>not involving any transfer.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Transfers and Exchanges Must Be in Authorized Denominations</w:t>
      </w:r>
      <w:r>
        <w:rPr>
          <w:rFonts w:ascii="Times New Roman;Times;Serif" w:hAnsi="Times New Roman;Times;Serif"/>
          <w:b w:val="false"/>
          <w:i w:val="false"/>
          <w:caps w:val="false"/>
          <w:smallCaps w:val="false"/>
          <w:sz w:val="20"/>
        </w:rPr>
        <w:t>. Notwithstanding anything to the contrary in this Indenture or the Notes, a Note may not be transferred or exchanged in part unless the portion to be so transferred or exchanged is in an Authorized Denomination.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xml:space="preserve">. Each Note issued upon transfer of, or in exchange for, another Note will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caps w:val="false"/>
          <w:smallCaps w:val="false"/>
          <w:sz w:val="20"/>
        </w:rPr>
        <w:t>Settlement of Transfers and Exchanges</w:t>
      </w:r>
      <w:r>
        <w:rPr>
          <w:rFonts w:ascii="Times New Roman;Times;Serif" w:hAnsi="Times New Roman;Times;Serif"/>
          <w:b w:val="false"/>
          <w:i w:val="false"/>
          <w:caps w:val="false"/>
          <w:smallCaps w:val="false"/>
          <w:sz w:val="20"/>
        </w:rPr>
        <w:t>.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xml:space="preserve">. For the avoidance of doubt, and subject to the terms of this Indenture, as used in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Transfers and Exchanges of Global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Certain Restrictions</w:t>
      </w:r>
      <w:r>
        <w:rPr>
          <w:rFonts w:ascii="Times New Roman;Times;Serif" w:hAnsi="Times New Roman;Times;Serif"/>
          <w:b w:val="false"/>
          <w:i w:val="false"/>
          <w:caps w:val="false"/>
          <w:smallCaps w:val="false"/>
          <w:sz w:val="20"/>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Global Note will be exchanged, pursuant to customary procedures, for one or more Physical Notes if: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in its sole discretion, permits the exchange of any beneficial interest in such Global Note for one or more Physical Notes at the request of the owner of such beneficial interest.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Effecting Transfers and Exchanges</w:t>
      </w:r>
      <w:r>
        <w:rPr>
          <w:rFonts w:ascii="Times New Roman;Times;Serif" w:hAnsi="Times New Roman;Times;Serif"/>
          <w:b w:val="false"/>
          <w:i w:val="false"/>
          <w:caps w:val="false"/>
          <w:smallCaps w:val="false"/>
          <w:sz w:val="20"/>
        </w:rPr>
        <w:t>. Upon satisfaction of the requirements of this Indenture to effect a transfer or exchange of any Global Note (or any portion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required to effect such transfer or exchange, then the Trustee will reflect any resulting increase of the principal amount of any other Global Note by notation on the “Schedule of Exchanges of Interests in the Global Note” forming part of such other Global Note;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required to effect such transfer or exchange,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 new Global Note bearing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Compliance with Depositary Procedures</w:t>
      </w:r>
      <w:r>
        <w:rPr>
          <w:rFonts w:ascii="Times New Roman;Times;Serif" w:hAnsi="Times New Roman;Times;Serif"/>
          <w:b w:val="false"/>
          <w:i w:val="false"/>
          <w:caps w:val="false"/>
          <w:smallCaps w:val="false"/>
          <w:sz w:val="20"/>
        </w:rPr>
        <w:t>. Each transfer or exchange of a beneficial interest in any Global Note will be made in accordance with the Depositary Procedures.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Transfers and Exchanges of Physical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Requirements for Transfers and Exchanges</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effect any such transfer or exchange, such Holder must: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surrender such Physical Note to be transferred or exchanged to the office of the Registrar, together with any endorsements or transfer instruments reasonably required by the Company, the Trustee or the Registrar;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deliver such certificates, documentation or evidence as may be required pursuant to </w:t>
      </w:r>
      <w:r>
        <w:rPr>
          <w:rFonts w:ascii="Times New Roman;Times;Serif" w:hAnsi="Times New Roman;Times;Serif"/>
          <w:b/>
          <w:i w:val="false"/>
          <w:caps w:val="false"/>
          <w:smallCaps w:val="false"/>
          <w:sz w:val="20"/>
        </w:rPr>
        <w:t>Section 2.10(D)</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Effecting Transfers and Exchanges</w:t>
      </w:r>
      <w:r>
        <w:rPr>
          <w:rFonts w:ascii="Times New Roman;Times;Serif" w:hAnsi="Times New Roman;Times;Serif"/>
          <w:b w:val="false"/>
          <w:i w:val="false"/>
          <w:caps w:val="false"/>
          <w:smallCaps w:val="false"/>
          <w:sz w:val="20"/>
        </w:rPr>
        <w:t xml:space="preserve">. Upon the satisfaction of the requirements of this Indenture to effect a transfer or exchange of any Physical Note (such Physical Note being referred to as the “old Physical Note” for purposes of this </w:t>
      </w:r>
      <w:r>
        <w:rPr>
          <w:rFonts w:ascii="Times New Roman;Times;Serif" w:hAnsi="Times New Roman;Times;Serif"/>
          <w:b/>
          <w:i w:val="false"/>
          <w:caps w:val="false"/>
          <w:smallCaps w:val="false"/>
          <w:sz w:val="20"/>
        </w:rPr>
        <w:t>Section 2.10(C)(ii)</w:t>
      </w:r>
      <w:r>
        <w:rPr>
          <w:rFonts w:ascii="Times New Roman;Times;Serif" w:hAnsi="Times New Roman;Times;Serif"/>
          <w:b w:val="false"/>
          <w:i w:val="false"/>
          <w:caps w:val="false"/>
          <w:smallCaps w:val="false"/>
          <w:sz w:val="20"/>
        </w:rPr>
        <w:t>) of a Holder (or any portion of such old Physical Note in an Authorized Denomination):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such old Physical Note will be promptly cancelled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such old Physical Note is to be so transferred or exchanged only in part,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transfer: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transfer cannot be so effected by notation on one or more existing Global Notes (whether because no Global Notes bearing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and</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and</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200" w:after="200"/>
        <w:ind w:left="216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 the case of an exchange,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Requirement to Deliver Documentation and Other Evidence</w:t>
      </w:r>
      <w:r>
        <w:rPr>
          <w:rFonts w:ascii="Times New Roman;Times;Serif" w:hAnsi="Times New Roman;Times;Serif"/>
          <w:b w:val="false"/>
          <w:i w:val="false"/>
          <w:caps w:val="false"/>
          <w:smallCaps w:val="false"/>
          <w:sz w:val="20"/>
        </w:rPr>
        <w:t>. If a Holder of any Note that is identified by a “restricted” CUSIP number or that bears a Restricted Note Legend or is a Transfer-Restricted Security requests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such Note to be identified by an “unrestricted” CUSIP number;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remove such Restricted Note Legend;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register the transfer of such Note to the name of another Person,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to determine that such identification, removal or transfer, as applicable, complies with the Securities Act and other applicable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without limiting </w:t>
      </w:r>
      <w:r>
        <w:rPr>
          <w:rFonts w:ascii="Times New Roman;Times;Serif" w:hAnsi="Times New Roman;Times;Serif"/>
          <w:b/>
          <w:i w:val="false"/>
          <w:caps w:val="false"/>
          <w:smallCaps w:val="false"/>
          <w:sz w:val="20"/>
        </w:rPr>
        <w:t>Section 2.10(E)</w:t>
      </w:r>
      <w:r>
        <w:rPr>
          <w:rFonts w:ascii="Times New Roman;Times;Serif" w:hAnsi="Times New Roman;Times;Serif"/>
          <w:b w:val="false"/>
          <w:i w:val="false"/>
          <w:caps w:val="false"/>
          <w:smallCaps w:val="false"/>
          <w:sz w:val="20"/>
        </w:rPr>
        <w:t xml:space="preserve">, no such certificates, documentation or evidence (other than, in the case of the following clause (w), a written request in the form contemplated by </w:t>
      </w:r>
      <w:r>
        <w:rPr>
          <w:rFonts w:ascii="Times New Roman;Times;Serif" w:hAnsi="Times New Roman;Times;Serif"/>
          <w:b/>
          <w:i w:val="false"/>
          <w:caps w:val="false"/>
          <w:smallCaps w:val="false"/>
          <w:sz w:val="20"/>
        </w:rPr>
        <w:t>Section 2.10(E)</w:t>
      </w:r>
      <w:r>
        <w:rPr>
          <w:rFonts w:ascii="Times New Roman;Times;Serif" w:hAnsi="Times New Roman;Times;Serif"/>
          <w:b w:val="false"/>
          <w:i w:val="false"/>
          <w:caps w:val="false"/>
          <w:smallCaps w:val="false"/>
          <w:sz w:val="20"/>
        </w:rPr>
        <w:t>) need be so delivered (w) on or after the date that is six (6) months after the Last Original Issue Date of such Note if the requirements of Rule 144(c) and (i) are then satisfied with respect to the Company; (x) in connection with any transfer of such Note pursuant to Rule 144A; (y) in connection with any transfer of such Note to the Company or one of its Subsidiaries; or (z) in connection with any transfer of such Note pursuant to an effective registration statement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Certain De-Legending Procedures</w:t>
      </w:r>
      <w:r>
        <w:rPr>
          <w:rFonts w:ascii="Times New Roman;Times;Serif" w:hAnsi="Times New Roman;Times;Serif"/>
          <w:b w:val="false"/>
          <w:i w:val="false"/>
          <w:caps w:val="false"/>
          <w:smallCaps w:val="false"/>
          <w:sz w:val="20"/>
        </w:rPr>
        <w:t>. If a Holder of any Note or share of Common Stock issued upon conversion of any Note, or an owner of a beneficial interest in any Global Note, or in a global certificate representing any share of Common Stock issued upon conversion of any Note, transfers such Note or share in compliance with Rule 144 and delivers to the Company a written request, certifying that it is not, and has not been at any time during the preceding three (3) months, an Affiliate of the Company, 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such occurrence within two (2) Trading Days of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Transfers of Notes Subject to Redemption, Repurchase or Conversion</w:t>
      </w:r>
      <w:r>
        <w:rPr>
          <w:rFonts w:ascii="Times New Roman;Times;Serif" w:hAnsi="Times New Roman;Times;Serif"/>
          <w:b w:val="false"/>
          <w:i w:val="false"/>
          <w:caps w:val="false"/>
          <w:smallCaps w:val="false"/>
          <w:sz w:val="20"/>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2.11.    </w:t>
      </w:r>
      <w:r>
        <w:rPr>
          <w:rFonts w:ascii="Times New Roman;Times;Serif" w:hAnsi="Times New Roman;Times;Serif"/>
          <w:b/>
          <w:i w:val="false"/>
          <w:smallCaps/>
          <w:sz w:val="20"/>
        </w:rPr>
        <w:t>Exchange and Cancellation of Notes to Be Converted or to Be Redeemed or Repurchased Pursuant to a Repurchase Upon Fundamental Change 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Partial Conversions of Physical Notes and Partial Repurchases of Physical Notes Pursuant to a Repurchase Upon Fundamental Change or Redemption</w:t>
      </w:r>
      <w:r>
        <w:rPr>
          <w:rFonts w:ascii="Times New Roman;Times;Serif" w:hAnsi="Times New Roman;Times;Serif"/>
          <w:b w:val="false"/>
          <w:i w:val="false"/>
          <w:caps w:val="false"/>
          <w:smallCaps w:val="false"/>
          <w:sz w:val="20"/>
        </w:rPr>
        <w:t xml:space="preserve">. If only a portion of a Physical Note of a Holder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repurchased pursuant to a Repurchase Upon Fundamental Change or Redemption, then, as soon as reasonably practicable after such Physical Note is surrendered for such conversion, Redemption or repurchase, as applicable, the Company will cause such Physical Note to be exchanged, pursuant and subject to </w:t>
      </w:r>
      <w:r>
        <w:rPr>
          <w:rFonts w:ascii="Times New Roman;Times;Serif" w:hAnsi="Times New Roman;Times;Serif"/>
          <w:b/>
          <w:i w:val="false"/>
          <w:caps w:val="false"/>
          <w:smallCaps w:val="false"/>
          <w:sz w:val="20"/>
        </w:rPr>
        <w:t>Section 2.10(C)</w:t>
      </w:r>
      <w:r>
        <w:rPr>
          <w:rFonts w:ascii="Times New Roman;Times;Serif" w:hAnsi="Times New Roman;Times;Serif"/>
          <w:b w:val="false"/>
          <w:i w:val="false"/>
          <w:caps w:val="false"/>
          <w:smallCaps w:val="false"/>
          <w:sz w:val="20"/>
        </w:rPr>
        <w:t xml:space="preserv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Physical Note referred to in this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xml:space="preserve"> need not be issued at any time after which such principal amount subject to such conversion, Redemption or repurchase, as applicable, is deemed to cease to be outstanding pursuant to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Cancellation of Notes that Are Converted and Notes that Are Repurchased Pursuant to a Repurchase Upon Fundamental Change or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xml:space="preserve">. If a Physical Note (or any portion thereof that has not theretofore been exchanged pursuant to </w:t>
      </w:r>
      <w:r>
        <w:rPr>
          <w:rFonts w:ascii="Times New Roman;Times;Serif" w:hAnsi="Times New Roman;Times;Serif"/>
          <w:b/>
          <w:i w:val="false"/>
          <w:caps w:val="false"/>
          <w:smallCaps w:val="false"/>
          <w:sz w:val="20"/>
        </w:rPr>
        <w:t>Section 2.11(A)</w:t>
      </w:r>
      <w:r>
        <w:rPr>
          <w:rFonts w:ascii="Times New Roman;Times;Serif" w:hAnsi="Times New Roman;Times;Serif"/>
          <w:b w:val="false"/>
          <w:i w:val="false"/>
          <w:caps w:val="false"/>
          <w:smallCaps w:val="false"/>
          <w:sz w:val="20"/>
        </w:rPr>
        <w:t xml:space="preserve">) of a Holder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repurchased pursuant to a Repurchase Upon Fundamental Change or Redemption, then, promptly after the later of the time such Physical Note (or such portion) is deemed to cease to be outstanding pursuant to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and the time such Physical Note is surrendered for such conversion or repurchase, as applicable, (1) such Physical Note will be cancelled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and (2) in the case of a partial conversion, Redemption or repurchase, the Company will issue, execute and deliver to such Holder,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Physical Note that is not to be so converted, redeemed or repurchased, as applicable; (y) are registered in the name of such Holder;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If a Global Note (or any portion thereof)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repurchased pursuant to a Repurchase Upon Fundamental Change or Redemption, then, promptly after the time such Note (or such portion) is deemed to cease to be outstanding pursuant to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2.12.    </w:t>
      </w:r>
      <w:r>
        <w:rPr>
          <w:rFonts w:ascii="Times New Roman;Times;Serif" w:hAnsi="Times New Roman;Times;Serif"/>
          <w:b/>
          <w:i w:val="false"/>
          <w:smallCaps/>
          <w:sz w:val="20"/>
        </w:rPr>
        <w:t>Removal of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any other provision of this Indenture (including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the Restricted Note Legend affixed to any Note will be deemed, pursuant to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and the footnotes to the CUSIP and ISIN numbers set forth on the face of the certificate representing such Note, to thereafter bear the “unrestricted” CUSIP and ISIN numbers identified in such footnotes;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 is a Global Note and the Depositary thereof requires a mandatory exchange or other procedure to cause such Global Note to be identified by “unrestricted” CUSIP and ISIN numbers in the facilities of such Depositary, then the Company will effect such exchange or procedure as soon as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2.13.    </w:t>
      </w:r>
      <w:r>
        <w:rPr>
          <w:rFonts w:ascii="Times New Roman;Times;Serif" w:hAnsi="Times New Roman;Times;Serif"/>
          <w:b/>
          <w:i w:val="false"/>
          <w:smallCaps/>
          <w:sz w:val="20"/>
        </w:rPr>
        <w:t>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Section 2.13.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replacement Note issued pursuant to this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2.14.    </w:t>
      </w:r>
      <w:r>
        <w:rPr>
          <w:rFonts w:ascii="Times New Roman;Times;Serif" w:hAnsi="Times New Roman;Times;Serif"/>
          <w:b/>
          <w:i w:val="false"/>
          <w:smallCaps/>
          <w:sz w:val="20"/>
        </w:rPr>
        <w:t>Registered Holders; Certain Rights with Respect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2.15.    </w:t>
      </w:r>
      <w:r>
        <w:rPr>
          <w:rFonts w:ascii="Times New Roman;Times;Serif" w:hAnsi="Times New Roman;Times;Serif"/>
          <w:b/>
          <w:i w:val="false"/>
          <w:smallCaps/>
          <w:sz w:val="20"/>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 the Company may not originally issue new Notes to replace Notes that it has paid or that have been cancelled upon transfer, exchange, payment or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2.16.    </w:t>
      </w:r>
      <w:r>
        <w:rPr>
          <w:rFonts w:ascii="Times New Roman;Times;Serif" w:hAnsi="Times New Roman;Times;Serif"/>
          <w:b/>
          <w:i w:val="false"/>
          <w:smallCaps/>
          <w:sz w:val="20"/>
        </w:rPr>
        <w:t>Notes Held by the Company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in determining whether the Holders of the required aggregate principal amount of Notes have concurred in any direction, waiver, consent or other action under this Indenture, Notes owned by the Company or any of its Affiliates will be deemed not to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the Trustee is protected in relying on any such direction, waiver, consent or other action, only Notes that a Responsible Officer of the Trustee knows are so owned will be so disregarded.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2.17.    </w:t>
      </w:r>
      <w:r>
        <w:rPr>
          <w:rFonts w:ascii="Times New Roman;Times;Serif" w:hAnsi="Times New Roman;Times;Serif"/>
          <w:b/>
          <w:i w:val="false"/>
          <w:smallCaps/>
          <w:sz w:val="20"/>
        </w:rPr>
        <w:t>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definitive Notes are ready for delivery, the Company may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definitive Notes in exchange for temporary Notes. Until so exchanged, each temporary Note will in all respects be entitled to the same benefits under this Indenture as definitive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2.18.    </w:t>
      </w:r>
      <w:r>
        <w:rPr>
          <w:rFonts w:ascii="Times New Roman;Times;Serif" w:hAnsi="Times New Roman;Times;Serif"/>
          <w:b/>
          <w:i w:val="false"/>
          <w:smallCaps/>
          <w:sz w:val="20"/>
        </w:rPr>
        <w:t>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(ii) assigned a principal amount of zero by notation on the “Schedule of Exchanges of Interests in the Global Note” forming part of any Global Note representing such Note; (iii) paid in full (including upon conversion) in accordance with this Indenture; or (iv) deemed to cease to be outstanding to the extent provided in, and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Replaced Notes</w:t>
      </w:r>
      <w:r>
        <w:rPr>
          <w:rFonts w:ascii="Times New Roman;Times;Serif" w:hAnsi="Times New Roman;Times;Serif"/>
          <w:b w:val="false"/>
          <w:i w:val="false"/>
          <w:caps w:val="false"/>
          <w:smallCaps w:val="false"/>
          <w:sz w:val="20"/>
        </w:rPr>
        <w:t xml:space="preserve">. If a Note is replaced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then such Note will cease to be outstanding at the time of its replacement, unless the Trustee and the Company receive proof reasonably satisfactory to them that such Note is held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purchaser” under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Maturing Notes and Notes Called for Redemption or Subject to Repurchase</w:t>
      </w:r>
      <w:r>
        <w:rPr>
          <w:rFonts w:ascii="Times New Roman;Times;Serif" w:hAnsi="Times New Roman;Times;Serif"/>
          <w:b w:val="false"/>
          <w:i w:val="false"/>
          <w:caps w:val="false"/>
          <w:smallCaps w:val="false"/>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(if any),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Times;Serif" w:hAnsi="Times New Roman;Times;Serif"/>
          <w:b/>
          <w:i w:val="false"/>
          <w:caps w:val="false"/>
          <w:smallCaps w:val="false"/>
          <w:sz w:val="20"/>
        </w:rPr>
        <w:t>Sections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4.03(F)</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Special Interest and Additional Interest, if any, on, such Notes (or such portions thereof), in each case as provided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Notes to Be Converted</w:t>
      </w:r>
      <w:r>
        <w:rPr>
          <w:rFonts w:ascii="Times New Roman;Times;Serif" w:hAnsi="Times New Roman;Times;Serif"/>
          <w:b w:val="false"/>
          <w:i w:val="false"/>
          <w:caps w:val="false"/>
          <w:smallCaps w:val="false"/>
          <w:sz w:val="20"/>
        </w:rPr>
        <w:t xml:space="preserve">. At the Close of Business on the Conversion Date for any Note (or any portion thereof) to be converted, such Note (or such portion) will (unless there occurs a Default in the delivery of the Conversion Consideration or any interest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upon such conversion) be deemed to cease to be outstanding, except to the extent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Cessation of Accrual of Interest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i w:val="false"/>
          <w:caps w:val="false"/>
          <w:smallCaps w:val="false"/>
          <w:sz w:val="20"/>
        </w:rPr>
        <w:t>Sections 4.02(D)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xml:space="preserve">, no Special Interest or Additional Interest will accrue on any Note from and after the date that such Note is deemed, pursuant to this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to cease to be outstanding, unless there occurs a default in the payment or delivery of any cash or other property due on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2.19.    </w:t>
      </w:r>
      <w:r>
        <w:rPr>
          <w:rFonts w:ascii="Times New Roman;Times;Serif" w:hAnsi="Times New Roman;Times;Serif"/>
          <w:b/>
          <w:i w:val="false"/>
          <w:smallCaps/>
          <w:sz w:val="20"/>
        </w:rPr>
        <w:t>Repurchases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the Company may, from time to time, repurchase Notes in open market purchases or in negotiated transactions without delivering prior notice to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2.20.    </w:t>
      </w:r>
      <w:r>
        <w:rPr>
          <w:rFonts w:ascii="Times New Roman;Times;Serif" w:hAnsi="Times New Roman;Times;Serif"/>
          <w:b/>
          <w:i w:val="false"/>
          <w:smallCaps/>
          <w:sz w:val="20"/>
        </w:rPr>
        <w:t>CUSIP and ISIN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use one or more CUSIP or ISIN numbers to identify any of the Notes, and, if so, the Company and the Trustee will use such CUSIP or ISIN number(s) in notices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         Covenants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3.01.    </w:t>
      </w:r>
      <w:r>
        <w:rPr>
          <w:rFonts w:ascii="Times New Roman;Times;Serif" w:hAnsi="Times New Roman;Times;Serif"/>
          <w:b/>
          <w:i w:val="false"/>
          <w:smallCaps/>
          <w:sz w:val="20"/>
        </w:rPr>
        <w:t>Payment 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pay or cause to be paid all the principal of, the Fundamental Change Repurchase Price or Redemption Price for, interest, if any, on, and other amounts due with respect to, the Notes on the dates and in the manner set forth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Deposit of Funds</w:t>
      </w:r>
      <w:r>
        <w:rPr>
          <w:rFonts w:ascii="Times New Roman;Times;Serif" w:hAnsi="Times New Roman;Times;Serif"/>
          <w:b w:val="false"/>
          <w:i w:val="false"/>
          <w:caps w:val="false"/>
          <w:smallCaps w:val="false"/>
          <w:sz w:val="20"/>
        </w:rPr>
        <w:t>. Before 12:00 P.M., New York City time, on each Redemption Date, Fundamental Change Repurchase Date or on each Interest Payment Date in respect of which any Special Interest or Additional Interest is payable,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3.02.    </w:t>
      </w:r>
      <w:r>
        <w:rPr>
          <w:rFonts w:ascii="Times New Roman;Times;Serif" w:hAnsi="Times New Roman;Times;Serif"/>
          <w:b/>
          <w:i w:val="false"/>
          <w:smallCaps/>
          <w:sz w:val="20"/>
        </w:rPr>
        <w:t>Exchange Act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Company will send to the Trustee copies of all reports that the Company is required to file with the SEC pursuant to Section 13(a) or 15(d) of the Exchange Act within fifteen (15) calendar days after the date that the Company is required to file the same (after giving effect to all applicable grace periods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other than a report that is deemed to be sent to the Trustee pursuant to the preceding sentence.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xml:space="preserve">. The Trustee need not determine whether the Company has filed any material via the EDGAR system (or such successor). The sending or filing of reports pursuant to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- 29 -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3.03.    </w:t>
      </w:r>
      <w:r>
        <w:rPr>
          <w:rFonts w:ascii="Times New Roman;Times;Serif" w:hAnsi="Times New Roman;Times;Serif"/>
          <w:b/>
          <w:i w:val="false"/>
          <w:smallCaps/>
          <w:sz w:val="20"/>
        </w:rPr>
        <w:t>Rule 144A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subject to Section 13 or 15(d) of the Exchange Act at any time when any Notes or Conversion Shares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3.04.    </w:t>
      </w:r>
      <w:r>
        <w:rPr>
          <w:rFonts w:ascii="Times New Roman;Times;Serif" w:hAnsi="Times New Roman;Times;Serif"/>
          <w:b/>
          <w:i w:val="false"/>
          <w:smallCaps/>
          <w:sz w:val="20"/>
        </w:rPr>
        <w:t>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Accrual of Additional Interest</w:t>
      </w:r>
      <w:r>
        <w:rPr>
          <w:rFonts w:ascii="Times New Roman;Times;Serif" w:hAnsi="Times New Roman;Times;Serif"/>
          <w:b w:val="false"/>
          <w:i w:val="false"/>
          <w:caps w:val="false"/>
          <w:smallCaps w:val="false"/>
          <w:sz w:val="20"/>
        </w:rPr>
        <w:t>. If, on any day occurring on or after the date that is six (6) months after the Last Original Issue Date of any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not satisfied the reporting conditions (including, for the avoidance of doubt, the requirement for current Form 10 information) set forth in Rule 144(c) and (i)(2) under the Securities Act;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Note is not otherwise Freely Tradable,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Additional Interest will accrue on such Note for such day.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Amount and Payment of Additional Interest</w:t>
      </w:r>
      <w:r>
        <w:rPr>
          <w:rFonts w:ascii="Times New Roman;Times;Serif" w:hAnsi="Times New Roman;Times;Serif"/>
          <w:b w:val="false"/>
          <w:i w:val="false"/>
          <w:caps w:val="false"/>
          <w:smallCaps w:val="false"/>
          <w:sz w:val="20"/>
        </w:rPr>
        <w:t xml:space="preserve">. Any Additional Interest that accrues on a Note pursuant to </w:t>
      </w:r>
      <w:r>
        <w:rPr>
          <w:rFonts w:ascii="Times New Roman;Times;Serif" w:hAnsi="Times New Roman;Times;Serif"/>
          <w:b/>
          <w:i w:val="false"/>
          <w:caps w:val="false"/>
          <w:smallCaps w:val="false"/>
          <w:sz w:val="20"/>
        </w:rPr>
        <w:t xml:space="preserve">Section 3.04(A) </w:t>
      </w:r>
      <w:r>
        <w:rPr>
          <w:rFonts w:ascii="Times New Roman;Times;Serif" w:hAnsi="Times New Roman;Times;Serif"/>
          <w:b w:val="false"/>
          <w:i w:val="false"/>
          <w:caps w:val="false"/>
          <w:smallCaps w:val="false"/>
          <w:sz w:val="20"/>
        </w:rPr>
        <w:t xml:space="preserve">will accrue at a rate per annum equal to one half of one percent (0.50%) of the principal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no event will Additional Interest that may accrue as a result of the Company’s failure to timely file any document or report that it is required to file with the SEC pursuant to Section 13 or 15(d) of the Exchange Act, as applicable (other than reports on Form 8-K) pursuant to </w:t>
      </w:r>
      <w:r>
        <w:rPr>
          <w:rFonts w:ascii="Times New Roman;Times;Serif" w:hAnsi="Times New Roman;Times;Serif"/>
          <w:b/>
          <w:i w:val="false"/>
          <w:caps w:val="false"/>
          <w:smallCaps w:val="false"/>
          <w:sz w:val="20"/>
        </w:rPr>
        <w:t>Section 3.04(A)</w:t>
      </w:r>
      <w:r>
        <w:rPr>
          <w:rFonts w:ascii="Times New Roman;Times;Serif" w:hAnsi="Times New Roman;Times;Serif"/>
          <w:b w:val="false"/>
          <w:i w:val="false"/>
          <w:caps w:val="false"/>
          <w:smallCaps w:val="false"/>
          <w:sz w:val="20"/>
        </w:rPr>
        <w:t xml:space="preserve">, together with any Special Interest that accrues as a result of the Company’s failure to comply with its reporting obligations as set forth in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accrue on any day on a Note at a combined rate per annum that exceeds one percent (1.00%). For the avoidance of doubt, any Additional Interest that accrues on a Note will, subject to the proviso of the immediately preceding sentence, be in addition to any Special Interest that accrues on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of Accrual of Additional Interest; Trustee’s Disclaimer</w:t>
      </w:r>
      <w:r>
        <w:rPr>
          <w:rFonts w:ascii="Times New Roman;Times;Serif" w:hAnsi="Times New Roman;Times;Serif"/>
          <w:b w:val="false"/>
          <w:i w:val="false"/>
          <w:caps w:val="false"/>
          <w:smallCaps w:val="false"/>
          <w:sz w:val="20"/>
        </w:rPr>
        <w:t>. The Company will send notice to the Holder of each Note,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Exclusive Remedy</w:t>
      </w:r>
      <w:r>
        <w:rPr>
          <w:rFonts w:ascii="Times New Roman;Times;Serif" w:hAnsi="Times New Roman;Times;Serif"/>
          <w:b w:val="false"/>
          <w:i w:val="false"/>
          <w:caps w:val="false"/>
          <w:smallCaps w:val="false"/>
          <w:sz w:val="20"/>
        </w:rPr>
        <w:t>. The accrual of Additional Interest will be the exclusive remedy available to Holders for the failure of their Notes to become Freely Tradable.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3.05.    C</w:t>
      </w:r>
      <w:r>
        <w:rPr>
          <w:rFonts w:ascii="Times New Roman;Times;Serif" w:hAnsi="Times New Roman;Times;Serif"/>
          <w:b/>
          <w:i w:val="false"/>
          <w:smallCaps/>
          <w:sz w:val="20"/>
        </w:rPr>
        <w:t>ompliance and Default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Annual Compliance Certificate</w:t>
      </w:r>
      <w:r>
        <w:rPr>
          <w:rFonts w:ascii="Times New Roman;Times;Serif" w:hAnsi="Times New Roman;Times;Serif"/>
          <w:b w:val="false"/>
          <w:i w:val="false"/>
          <w:caps w:val="false"/>
          <w:smallCaps w:val="false"/>
          <w:sz w:val="20"/>
        </w:rPr>
        <w:t>. Within ninety (90) days after December 31, 2026 and each fiscal year of the Company ending 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Default Certificate</w:t>
      </w:r>
      <w:r>
        <w:rPr>
          <w:rFonts w:ascii="Times New Roman;Times;Serif" w:hAnsi="Times New Roman;Times;Serif"/>
          <w:b w:val="false"/>
          <w:i w:val="false"/>
          <w:caps w:val="false"/>
          <w:smallCaps w:val="false"/>
          <w:sz w:val="20"/>
        </w:rPr>
        <w:t>. If a Default or Event of Default occurs, then the Company will promptly (and, in any event, within thirty (30) days after its first occurrence) deliver an Officer’s Certificate to the Trustee describing the same and what action the Company is taking or proposes to take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3.06.    </w:t>
      </w:r>
      <w:r>
        <w:rPr>
          <w:rFonts w:ascii="Times New Roman;Times;Serif" w:hAnsi="Times New Roman;Times;Serif"/>
          <w:b/>
          <w:i w:val="false"/>
          <w:smallCaps/>
          <w:sz w:val="20"/>
        </w:rPr>
        <w:t>Stay, Extension and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3.07.    </w:t>
      </w:r>
      <w:r>
        <w:rPr>
          <w:rFonts w:ascii="Times New Roman;Times;Serif" w:hAnsi="Times New Roman;Times;Serif"/>
          <w:b/>
          <w:i w:val="false"/>
          <w:smallCaps/>
          <w:sz w:val="20"/>
        </w:rPr>
        <w:t>Acquisition of Notes by the Company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Notes that the Company or any of its Subsidiaries have purchased or otherwise acquired will be deemed to remain outstanding (except to the extent provided in </w:t>
      </w:r>
      <w:r>
        <w:rPr>
          <w:rFonts w:ascii="Times New Roman;Times;Serif" w:hAnsi="Times New Roman;Times;Serif"/>
          <w:b/>
          <w:i w:val="false"/>
          <w:caps w:val="false"/>
          <w:smallCaps w:val="false"/>
          <w:sz w:val="20"/>
        </w:rPr>
        <w:t>Section 2.16</w:t>
      </w:r>
      <w:r>
        <w:rPr>
          <w:rFonts w:ascii="Times New Roman;Times;Serif" w:hAnsi="Times New Roman;Times;Serif"/>
          <w:b w:val="false"/>
          <w:i w:val="false"/>
          <w:caps w:val="false"/>
          <w:smallCaps w:val="false"/>
          <w:sz w:val="20"/>
        </w:rPr>
        <w:t>) until such time as such Notes are delivered to the Trustee for cancellation. The Notes will bear a legend that no Affiliate of the Company may purchase or otherwise acquire any Notes or any beneficial interest in any Global Note, and the Company will use commercially reasonable efforts to prevent any of its controlled Affiliates from acquiring any Note (or any beneficial interest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3.08.    </w:t>
      </w:r>
      <w:r>
        <w:rPr>
          <w:rFonts w:ascii="Times New Roman;Times;Serif" w:hAnsi="Times New Roman;Times;Serif"/>
          <w:b/>
          <w:i w:val="false"/>
          <w:smallCaps/>
          <w:sz w:val="20"/>
        </w:rPr>
        <w:t>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the Company will do or cause to be done all things necessary to preserve and keep in full force and effect its corporate existence.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         Repurchase and Redemption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4.01.    </w:t>
      </w:r>
      <w:r>
        <w:rPr>
          <w:rFonts w:ascii="Times New Roman;Times;Serif" w:hAnsi="Times New Roman;Times;Serif"/>
          <w:b/>
          <w:i w:val="false"/>
          <w:smallCaps/>
          <w:sz w:val="20"/>
        </w:rPr>
        <w:t>No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is required to be provided for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4.02.    </w:t>
      </w:r>
      <w:r>
        <w:rPr>
          <w:rFonts w:ascii="Times New Roman;Times;Serif" w:hAnsi="Times New Roman;Times;Serif"/>
          <w:b/>
          <w:i w:val="false"/>
          <w:smallCaps/>
          <w:sz w:val="20"/>
        </w:rPr>
        <w:t>Right of Holders to Require the Company to Repurchase Notes Upon a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xml:space="preserve">. Subject to the other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if a Fundamental Change occurs, then each Holder will have the right (the “</w:t>
      </w:r>
      <w:r>
        <w:rPr>
          <w:rFonts w:ascii="Times New Roman;Times;Serif" w:hAnsi="Times New Roman;Times;Serif"/>
          <w:b/>
          <w:i w:val="false"/>
          <w:caps w:val="false"/>
          <w:smallCaps w:val="false"/>
          <w:sz w:val="20"/>
        </w:rPr>
        <w:t>Fundamental Change Repurchase Right</w:t>
      </w:r>
      <w:r>
        <w:rPr>
          <w:rFonts w:ascii="Times New Roman;Times;Serif" w:hAnsi="Times New Roman;Times;Serif"/>
          <w:b w:val="false"/>
          <w:i w:val="false"/>
          <w:caps w:val="false"/>
          <w:smallCaps w:val="false"/>
          <w:sz w:val="20"/>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Repurchase Prohibited in Certain Circumstances</w:t>
      </w:r>
      <w:r>
        <w:rPr>
          <w:rFonts w:ascii="Times New Roman;Times;Serif" w:hAnsi="Times New Roman;Times;Serif"/>
          <w:b w:val="false"/>
          <w:i w:val="false"/>
          <w:caps w:val="false"/>
          <w:smallCaps w:val="false"/>
          <w:sz w:val="20"/>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on such Fundamental Change Repurchase Date), then (i) the Company may not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Fundamental Change Repurchase Date</w:t>
      </w:r>
      <w:r>
        <w:rPr>
          <w:rFonts w:ascii="Times New Roman;Times;Serif" w:hAnsi="Times New Roman;Times;Serif"/>
          <w:b w:val="false"/>
          <w:i w:val="false"/>
          <w:caps w:val="false"/>
          <w:smallCaps w:val="false"/>
          <w:sz w:val="20"/>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Fundamental Change Repurchase Price</w:t>
      </w:r>
      <w:r>
        <w:rPr>
          <w:rFonts w:ascii="Times New Roman;Times;Serif" w:hAnsi="Times New Roman;Times;Serif"/>
          <w:b w:val="false"/>
          <w:i w:val="false"/>
          <w:caps w:val="false"/>
          <w:smallCaps w:val="false"/>
          <w:sz w:val="20"/>
        </w:rPr>
        <w:t xml:space="preserve">. The Fundamental Change Repurchase Price for any Note to be repurchased upon a Repurchase Upon Fundamental Change following a Fundamental Change is an amount in cash equal to the principal amount of such Note plus accrued and unpaid Special Interest and Additional Interest, if any, on such Note to, but excluding, the Fundamental Change Repurchase Date for such Fundamental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any payment of Special Interest and Additional Interest is due in respect of any Interest Payment Date and such Fundamental Change Repurchase Date is after the related Interest Record Date and on or before such Interest Payment Date, then (i) the Holder of such Note at the Close of Business on such Interest Record Date will be entitled, notwithstanding such Repurchase Upon Fundamental Change, to receive, on or, at the Company’s election, before such Interest Payment Date, such payment of Special Interest and Additional Interest, as applicable (assuming, solely for these purposes, that such Note remained outstanding through such Interest Payment Date, if such Fundamental Change Repurchase Date is before such Interest Payment Date); and (ii) the Fundamental Change Repurchase Price will not include any accrued and unpaid Special Interest or Additional Interest on such Note to, but excluding, such Fundamental Change Repurchase Date. For the avoidance of doubt, if such Interest Payment Date is not a Business Day within the meaning of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xml:space="preserve"> and such Fundamental Change Repurchase Date occurs on the Business Day immediately after such Interest Payment Date, then (x) accrued and unpaid Special Interest or Additional Interest, if any, to, but excluding, such Interest Payment Date will be paid, in accordance with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on the next Business Day to Holders as of the Close of Business on the immediately preceding Interest Record Date; and (y) the Fundamental Change Repurchase Price will include Special Interest and Additional Interest, if any, on Notes to be repurchased from, and including, such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Fundamental Change Notice</w:t>
      </w:r>
      <w:r>
        <w:rPr>
          <w:rFonts w:ascii="Times New Roman;Times;Serif" w:hAnsi="Times New Roman;Times;Serif"/>
          <w:b w:val="false"/>
          <w:i w:val="false"/>
          <w:caps w:val="false"/>
          <w:smallCaps w:val="false"/>
          <w:sz w:val="20"/>
        </w:rPr>
        <w:t>. On or before the twentieth (20th) calendar day after the effective date of a Fundamental Change, the Company will send to each Holder, the Trustee, the Conversion Agent, and the Paying Agent a notice of such Fundamental Change (a “</w:t>
      </w:r>
      <w:r>
        <w:rPr>
          <w:rFonts w:ascii="Times New Roman;Times;Serif" w:hAnsi="Times New Roman;Times;Serif"/>
          <w:b/>
          <w:i w:val="false"/>
          <w:caps w:val="false"/>
          <w:smallCaps w:val="false"/>
          <w:sz w:val="20"/>
        </w:rPr>
        <w:t>Fundamental Change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Fundamental Change Notice must state: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briefly, the events causing such Fundamental Change;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such Fundamental Change;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procedures that a Holder must follow to require the Company to repurchase its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including the deadline for exercising the Fundamental Change Repurchase Right and the procedures for submitting and withdrawing a Fundamental Change Repurchase Notice;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Date for such Fundamental Change;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Fundamental Change Repurchase Price per $1,000 principal amount of Notes for such Fundamental Change (and, if any Special Interest or Additional Interest is payable in respect of an Interest Payment Date and such Fundamental Change Repurchase Date is after the related Interest Record Date and on or before such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Conversion Rate in effect on the date of such Fundamental Change Notice and a description and quantification of any adjustments to the Conversion Rate that may result from such Fundamental Change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(or any portion thereof) that are subject to a Fundamental Change Repurchase Notice that has been duly tendered may be converted only if such Fundamental Change Repurchase Notice is withdrawn in accordance with this Indenture;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Procedures to Exercise the Fundamental Change Repurchase Right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Delivery of Fundamental Change Repurchase Notice and Notes to Be Repurchased</w:t>
      </w:r>
      <w:r>
        <w:rPr>
          <w:rFonts w:ascii="Times New Roman;Times;Serif" w:hAnsi="Times New Roman;Times;Serif"/>
          <w:b w:val="false"/>
          <w:i w:val="false"/>
          <w:caps w:val="false"/>
          <w:smallCaps w:val="false"/>
          <w:sz w:val="20"/>
        </w:rPr>
        <w:t>. To exercise its Fundamental Change Repurchase Right for a Note following a Fundamental Change, the Holder thereof must deliver to the Paying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duly endorsed for transfer (if such Note is a Physical Note) or by book-entry transfer (if such Note is a Global Note).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deliver to the Company a copy of each Fundamental Change Repurchase Notice that it receives.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Contents of Fundamental Change Repurchase Notices</w:t>
      </w:r>
      <w:r>
        <w:rPr>
          <w:rFonts w:ascii="Times New Roman;Times;Serif" w:hAnsi="Times New Roman;Times;Serif"/>
          <w:b w:val="false"/>
          <w:i w:val="false"/>
          <w:caps w:val="false"/>
          <w:smallCaps w:val="false"/>
          <w:sz w:val="20"/>
        </w:rPr>
        <w:t>. Each Fundamental Change Repurchase Notice with respect to a Note must state: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repurchased, which must be an Authorized Denomination;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such Holder is exercising its Fundamental Change Repurchase Right with respect to such principal amount of such Note;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00" w:after="20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Withdrawal of Fundamental Change Repurchase Notice</w:t>
      </w:r>
      <w:r>
        <w:rPr>
          <w:rFonts w:ascii="Times New Roman;Times;Serif" w:hAnsi="Times New Roman;Times;Serif"/>
          <w:b w:val="false"/>
          <w:i w:val="false"/>
          <w:caps w:val="false"/>
          <w:smallCaps w:val="false"/>
          <w:sz w:val="20"/>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withdrawn, which must be an Authorized Denomination;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such Note, if any, that remains subject to such Fundamental Change Repurchase Notice, which must be an Authorized Denomination;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Times;Serif" w:hAnsi="Times New Roman;Times;Serif"/>
          <w:b/>
          <w:i w:val="false"/>
          <w:caps w:val="false"/>
          <w:smallCaps w:val="false"/>
          <w:sz w:val="20"/>
        </w:rPr>
        <w:t>Section 2.11</w:t>
      </w:r>
      <w:r>
        <w:rPr>
          <w:rFonts w:ascii="Times New Roman;Times;Serif" w:hAnsi="Times New Roman;Times;Serif"/>
          <w:b w:val="false"/>
          <w:i w:val="false"/>
          <w:caps w:val="false"/>
          <w:smallCaps w:val="false"/>
          <w:sz w:val="20"/>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Payment of the Fundamental Change Repurchase Price</w:t>
      </w:r>
      <w:r>
        <w:rPr>
          <w:rFonts w:ascii="Times New Roman;Times;Serif" w:hAnsi="Times New Roman;Times;Serif"/>
          <w:b w:val="false"/>
          <w:i w:val="false"/>
          <w:caps w:val="false"/>
          <w:smallCaps w:val="false"/>
          <w:sz w:val="20"/>
        </w:rPr>
        <w:t xml:space="preserve">. Without limiting the Company’s obligation to deposit the Fundamental Change Repurchase Price within the time prescribed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Special Interest and Additional Interest, if any,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Times;Serif" w:hAnsi="Times New Roman;Times;Serif"/>
          <w:b/>
          <w:i w:val="false"/>
          <w:caps w:val="false"/>
          <w:smallCaps w:val="false"/>
          <w:sz w:val="20"/>
        </w:rPr>
        <w:t>Section 4.02(G)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Third Party May Conduct Repurchase Offer In Lieu of the Company</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the Company will be deemed to satisfy its obligations under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if one or more third parties conduct any Repurchase Upon Fundamental Change and related offer to repurchase Notes otherwise required by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in a manner that would have satisfied the requirements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if conducted directly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Requirement to Conduct an Offer to Repurchase Notes if the Fundamental Change Results in the Notes Becoming Convertible into an Amount of Cash Exceeding the Fundamental Change Repurchase Price</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the Company will not be required to send a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 xml:space="preserve">, or offer to repurchase or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in connection with a Fundamental Change occurring pursuant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that also constitutes a Fundamental Change occurring pursuant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xml:space="preserve">) of the definition thereof, if (i) such Fundamental Change constitutes a Common Stock Change Event whose Reference Property consists entirely of cash in U.S. dollars; (ii) immediately after such Fundamental Change, the Notes become convertible, pursuant to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xml:space="preserve"> and, if applicable,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into consideration that consists solely of U.S. dollars in an amount per $1,000 aggregate principal amount of Notes that equals or exceeds the Fundamental Change Repurchase Price per $1,000 aggregate principal amount of Notes (which Fundamental Change Repurchase Price will, if any Special Interest or Additional Interest is accruing on the Notes as of the effective date of such Fundamental Change, be calculated assuming that such Fundamental Change Repurchase Price includes accrued and unpaid Special Interest or Additional Interest, as applicable, to, but excluding, the latest possible Fundamental Change Repurchase Date for such Fundamental Change); and (iii) the Company timely sends the notice relating to such Fundamental Change required pursuant to </w:t>
      </w:r>
      <w:r>
        <w:rPr>
          <w:rFonts w:ascii="Times New Roman;Times;Serif" w:hAnsi="Times New Roman;Times;Serif"/>
          <w:b/>
          <w:i w:val="false"/>
          <w:caps w:val="false"/>
          <w:smallCaps w:val="false"/>
          <w:sz w:val="20"/>
        </w:rPr>
        <w:t>Section 5.01(C)(i)(3)(b)</w:t>
      </w:r>
      <w:r>
        <w:rPr>
          <w:rFonts w:ascii="Times New Roman;Times;Serif" w:hAnsi="Times New Roman;Times;Serif"/>
          <w:b w:val="false"/>
          <w:i w:val="false"/>
          <w:caps w:val="false"/>
          <w:smallCaps w:val="false"/>
          <w:sz w:val="20"/>
        </w:rPr>
        <w:t xml:space="preserve"> and includes, in such notice, a statement that the Company is relying on this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Compliance with Applicable Securities Laws</w:t>
      </w:r>
      <w:r>
        <w:rPr>
          <w:rFonts w:ascii="Times New Roman;Times;Serif" w:hAnsi="Times New Roman;Times;Serif"/>
          <w:b w:val="false"/>
          <w:i w:val="false"/>
          <w:caps w:val="false"/>
          <w:smallCaps w:val="false"/>
          <w:sz w:val="20"/>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that the Company’s obligations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conflict with any law or regulation that is applicable to the Company and enacted after the Issue Date, the Company’s compliance with such law or regulation will not be considered to be a Default of such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Repurchase in Part</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Notes may be repurchased pursuant to a Repurchase Upon Fundamental Change in part, but only in Authorized Denominations. Provisions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applying to the repurchase of a Note in whole will equally apply to the repurchase of a permitted portion of a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4.03.    </w:t>
      </w:r>
      <w:r>
        <w:rPr>
          <w:rFonts w:ascii="Times New Roman;Times;Serif" w:hAnsi="Times New Roman;Times;Serif"/>
          <w:b/>
          <w:i w:val="false"/>
          <w:smallCaps/>
          <w:sz w:val="20"/>
        </w:rPr>
        <w:t>Right of the Company to Redeem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 Right to Redeem Before February 22, 2029 Other than in a Cleanup Redemption</w:t>
      </w:r>
      <w:r>
        <w:rPr>
          <w:rFonts w:ascii="Times New Roman;Times;Serif" w:hAnsi="Times New Roman;Times;Serif"/>
          <w:b w:val="false"/>
          <w:i w:val="false"/>
          <w:caps w:val="false"/>
          <w:smallCaps w:val="false"/>
          <w:sz w:val="20"/>
        </w:rPr>
        <w:t xml:space="preserve">. The Company may not redeem the Notes at its option at any time before </w:t>
      </w:r>
      <w:r>
        <w:rPr>
          <w:rFonts w:ascii="Times New Roman;Times;Serif" w:hAnsi="Times New Roman;Times;Serif"/>
          <w:b w:val="false"/>
          <w:i/>
          <w:caps w:val="false"/>
          <w:smallCaps w:val="false"/>
          <w:sz w:val="20"/>
        </w:rPr>
        <w:t>February 22, 2029</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Section 4.03(B)(ii)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Right to Redeem the Notes on or After February 22, 2029; Cleanup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terms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the Company has the right, at its election, to redeem (a “</w:t>
      </w:r>
      <w:r>
        <w:rPr>
          <w:rFonts w:ascii="Times New Roman;Times;Serif" w:hAnsi="Times New Roman;Times;Serif"/>
          <w:b/>
          <w:i w:val="false"/>
          <w:caps w:val="false"/>
          <w:smallCaps w:val="false"/>
          <w:sz w:val="20"/>
        </w:rPr>
        <w:t>Provisional Redemption</w:t>
      </w:r>
      <w:r>
        <w:rPr>
          <w:rFonts w:ascii="Times New Roman;Times;Serif" w:hAnsi="Times New Roman;Times;Serif"/>
          <w:b w:val="false"/>
          <w:i w:val="false"/>
          <w:caps w:val="false"/>
          <w:smallCaps w:val="false"/>
          <w:sz w:val="20"/>
        </w:rPr>
        <w:t xml:space="preserve">”) all, or any portion (subject to the Partial Redemption Limitation described in </w:t>
      </w:r>
      <w:r>
        <w:rPr>
          <w:rFonts w:ascii="Times New Roman;Times;Serif" w:hAnsi="Times New Roman;Times;Serif"/>
          <w:b/>
          <w:i w:val="false"/>
          <w:caps w:val="false"/>
          <w:smallCaps w:val="false"/>
          <w:sz w:val="20"/>
        </w:rPr>
        <w:t>Section 4.03(C)</w:t>
      </w:r>
      <w:r>
        <w:rPr>
          <w:rFonts w:ascii="Times New Roman;Times;Serif" w:hAnsi="Times New Roman;Times;Serif"/>
          <w:b w:val="false"/>
          <w:i w:val="false"/>
          <w:caps w:val="false"/>
          <w:smallCaps w:val="false"/>
          <w:sz w:val="20"/>
        </w:rPr>
        <w:t xml:space="preserve">) in an Authorized Denomination, of the Notes, at any time and from time to time, on a Redemption Date on or after February 22, 2029 and on or before the thirty-sixth (36th) Scheduled Trading Day immediately before the Maturity Date, for a cash purchase price equal to the Redemption Price, but only if (1)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the Redemption Notice Date for such Redemption; and (y) the Trading Day immediately before such Redemption Notice Date and (2) the Liquidity Conditions have been satisfied. For the avoidance of doubt, the calling of any Notes for Provisional Redemption will constitute a Make-Whole Fundamental Change with respect to such Notes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reference in this Indenture or the Notes to (x) any Note that is called for Redemption in part, (y) any Redemption of less than all outstanding Notes or (z) any similar language will, in each case, refer to a Note called for Redemption pursuant to this </w:t>
      </w:r>
      <w:r>
        <w:rPr>
          <w:rFonts w:ascii="Times New Roman;Times;Serif" w:hAnsi="Times New Roman;Times;Serif"/>
          <w:b/>
          <w:i w:val="false"/>
          <w:caps w:val="false"/>
          <w:smallCaps w:val="false"/>
          <w:sz w:val="20"/>
        </w:rPr>
        <w:t>Section 4.03(B)(i)</w:t>
      </w:r>
      <w:r>
        <w:rPr>
          <w:rFonts w:ascii="Times New Roman;Times;Serif" w:hAnsi="Times New Roman;Times;Serif"/>
          <w:b w:val="false"/>
          <w:i w:val="false"/>
          <w:caps w:val="false"/>
          <w:smallCaps w:val="false"/>
          <w:sz w:val="20"/>
        </w:rPr>
        <w:t xml:space="preserve"> and will not refer to any Note called for Redemption pursuant to </w:t>
      </w:r>
      <w:r>
        <w:rPr>
          <w:rFonts w:ascii="Times New Roman;Times;Serif" w:hAnsi="Times New Roman;Times;Serif"/>
          <w:b/>
          <w:i w:val="false"/>
          <w:caps w:val="false"/>
          <w:smallCaps w:val="false"/>
          <w:sz w:val="20"/>
        </w:rPr>
        <w:t>Section 4.03(B)(ii)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terms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the Company has the right, at its election, to redeem (a “</w:t>
      </w:r>
      <w:r>
        <w:rPr>
          <w:rFonts w:ascii="Times New Roman;Times;Serif" w:hAnsi="Times New Roman;Times;Serif"/>
          <w:b/>
          <w:i w:val="false"/>
          <w:caps w:val="false"/>
          <w:smallCaps w:val="false"/>
          <w:sz w:val="20"/>
        </w:rPr>
        <w:t>Cleanup Redemption</w:t>
      </w:r>
      <w:r>
        <w:rPr>
          <w:rFonts w:ascii="Times New Roman;Times;Serif" w:hAnsi="Times New Roman;Times;Serif"/>
          <w:b w:val="false"/>
          <w:i w:val="false"/>
          <w:caps w:val="false"/>
          <w:smallCaps w:val="false"/>
          <w:sz w:val="20"/>
        </w:rPr>
        <w:t xml:space="preserve">”) all, but not less than all, of the Notes for cash, at any time, on a Redemption Date on or before the thirty-sixth (36th) Scheduled Trading Day immediately before the Maturity Date, but only if (1) the aggregate principal amount of the Notes outstanding as of the Redemption Notice Date is less than $75,000,000 and (2) the Liquidity Conditions have been satisfied. For the avoidance of doubt, the calling of the Notes for Cleanup Redemption will constitute a Make-Whole Fundamental Change pursuant to </w:t>
      </w:r>
      <w:r>
        <w:rPr>
          <w:rFonts w:ascii="Times New Roman;Times;Serif" w:hAnsi="Times New Roman;Times;Serif"/>
          <w:b/>
          <w:i w:val="false"/>
          <w:caps w:val="false"/>
          <w:smallCaps w:val="false"/>
          <w:sz w:val="20"/>
        </w:rPr>
        <w:t xml:space="preserve">clause (B) </w:t>
      </w:r>
      <w:r>
        <w:rPr>
          <w:rFonts w:ascii="Times New Roman;Times;Serif" w:hAnsi="Times New Roman;Times;Serif"/>
          <w:b w:val="false"/>
          <w:i w:val="false"/>
          <w:caps w:val="false"/>
          <w:smallCaps w:val="false"/>
          <w:sz w:val="20"/>
        </w:rPr>
        <w:t>of the definition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Partial Redemption Limitation</w:t>
      </w:r>
      <w:r>
        <w:rPr>
          <w:rFonts w:ascii="Times New Roman;Times;Serif" w:hAnsi="Times New Roman;Times;Serif"/>
          <w:b w:val="false"/>
          <w:i w:val="false"/>
          <w:caps w:val="false"/>
          <w:smallCaps w:val="false"/>
          <w:sz w:val="20"/>
        </w:rPr>
        <w:t>. If the Company elects to redeem fewer than all of the outstanding Notes, at least one hundred million dollars ($100,000,000) aggregate principal amount of Notes must be outstanding and not subject to Redemption as of the Redemption Notice Date for such Redemption (such requirement, the “</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Redemption Prohibited in Certain Circumstances</w:t>
      </w:r>
      <w:r>
        <w:rPr>
          <w:rFonts w:ascii="Times New Roman;Times;Serif" w:hAnsi="Times New Roman;Times;Serif"/>
          <w:b w:val="false"/>
          <w:i w:val="false"/>
          <w:caps w:val="false"/>
          <w:smallCaps w:val="false"/>
          <w:sz w:val="20"/>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on such Redemption Date), then (i) the Company may not call for Redemption or otherwise redeem any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The Redemption Date for any Redemption will be a Business Day of the Company’s choosing that is no more than fifty-five (55), nor less than thirty-five (35), Scheduled Trading Days after the Redemption Notice Date for such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xml:space="preserve">. The Redemption Price for any Note called for Redemption is an amount in cash equal to the principal amount of such Note plus accrued and unpaid Special Interest and Additional Interest, if any, on such Note to, but excluding, the Redemption Date for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any payment of Special Interest or Additional Interest is due in respect of any Interest Payment Date and such Redemption Date is after the related Interest Record Date and on or before such Interest Payment Date, then (i) the Holder of such Note at the Close of Business on such Interest Record Date will be entitled, notwithstanding such Redemption, to receive, on or, at the Company’s election, before such Interest Payment Date, such payment of Special Interest or Additional Interest, as applicable (assuming, solely for these purposes, that such Note remained outstanding through such Interest Payment Date, if such Redemption Date is before such Interest Payment Date); and (ii) the Redemption Price will not include accrued and unpaid Special Interest and Additional Interest, if any, on such Note to, but excluding, such Redemption Date. For the avoidance of doubt, if such Interest Payment Date is not a Business Day within the meaning of </w:t>
      </w:r>
      <w:r>
        <w:rPr>
          <w:rFonts w:ascii="Times New Roman;Times;Serif" w:hAnsi="Times New Roman;Times;Serif"/>
          <w:b/>
          <w:i w:val="false"/>
          <w:caps w:val="false"/>
          <w:smallCaps w:val="false"/>
          <w:sz w:val="20"/>
        </w:rPr>
        <w:t xml:space="preserve">Section 2.05(C) </w:t>
      </w:r>
      <w:r>
        <w:rPr>
          <w:rFonts w:ascii="Times New Roman;Times;Serif" w:hAnsi="Times New Roman;Times;Serif"/>
          <w:b w:val="false"/>
          <w:i w:val="false"/>
          <w:caps w:val="false"/>
          <w:smallCaps w:val="false"/>
          <w:sz w:val="20"/>
        </w:rPr>
        <w:t xml:space="preserve">and such Redemption Date occurs on the Business Day immediately after such Interest Payment Date, then (x) any accrued and unpaid Special Interest or Additional Interest, as applicable, to, but excluding, such Interest Payment Date will be paid, in accordance with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on the next Business Day to Holders as of the Close of Business on the immediately preceding Interest Record Date and (y) the Redemption Price will include Special Interest and Additional Interest, if any, on Notes to be redeemed from, and including, such Interest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Redemption Notice</w:t>
      </w:r>
      <w:r>
        <w:rPr>
          <w:rFonts w:ascii="Times New Roman;Times;Serif" w:hAnsi="Times New Roman;Times;Serif"/>
          <w:b w:val="false"/>
          <w:i w:val="false"/>
          <w:caps w:val="false"/>
          <w:smallCaps w:val="false"/>
          <w:sz w:val="20"/>
        </w:rPr>
        <w:t>. To call any Notes for Redemption, the Company must send to each Holder of such Notes, the Trustee and the Paying Agent a written notice of such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Such Redemption Notice must state: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such Notes have been called for Provisional Redemption or Cleanup Redemption, as the case may be, briefly describing the Company’s Redemption right under this Indenture;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Date for such Redemption;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Redemption Price per $1,000 principal amount of Notes for such Redemption (and, if any Special Interest or Additional Interest is payable in respect of an Interest Payment Date and the Redemption Date is after the related Interest Record Date and on or before such Interest Payment Date, the amount, manner and timing of the interest payment payable pursuant to the first sentence of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 the Conversion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Conversion Rate in effect on the Redemption Notice Date for such Redemption and a description and quantification of any adjustments to the Conversion Rate that may result from such Redemption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Settlement Method that will apply to all conversions of Notes with a Conversion Date that occurs on or after such Redemption Notice Date and before such Redemption Date;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and ISIN numbers, if any, of the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Notice Date, the Company will send a copy of such Redemption Notice to the Trustee, the Conversion Agent and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Selection and Conversion of Notes to Be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less than all Notes then outstanding are called for Provisional Redemption, then the Notes to be redeemed will be selected as follows: (1) in the case of Global Notes, in accordance with the Depositary Procedures; and (2) in the case of Physical Notes, pro rata, by lot or by such other method the Trustee considers fair and appropriate.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only a portion of a Note is subject to Provisional Redemption and such Note is converted in part, then the converted portion of such Note will be deemed to be from the portion of such Note that was subject to Provisional Redemption.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Payment of the Redemption Price</w:t>
      </w:r>
      <w:r>
        <w:rPr>
          <w:rFonts w:ascii="Times New Roman;Times;Serif" w:hAnsi="Times New Roman;Times;Serif"/>
          <w:b w:val="false"/>
          <w:i w:val="false"/>
          <w:caps w:val="false"/>
          <w:smallCaps w:val="false"/>
          <w:sz w:val="20"/>
        </w:rPr>
        <w:t xml:space="preserve">. Without limiting the Company’s obligation to deposit the Redemption Price by the time prescribed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xml:space="preserve">, the Company will cause the Redemption Price for a Note (or portion thereof) subject to Redemption to be paid to the Holder thereof on or before the applicable Redemption Date. For the avoidance of doubt, interest, if any, payable pursuant to the proviso to the first sentence of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on any Note (or portion thereof) subject to Redemption must be paid pursuant to such proviso.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Special Provisions for Partial Calls</w:t>
      </w:r>
      <w:r>
        <w:rPr>
          <w:rFonts w:ascii="Times New Roman;Times;Serif" w:hAnsi="Times New Roman;Times;Serif"/>
          <w:b w:val="false"/>
          <w:i w:val="false"/>
          <w:caps w:val="false"/>
          <w:smallCaps w:val="false"/>
          <w:sz w:val="20"/>
        </w:rPr>
        <w:t xml:space="preserve">. If the Company elects to redeem less than all of the outstanding Notes pursuant to a Provisional Redemption, and the Holder of any Note, or any owner of a beneficial interest in any Global Note, is reasonably not able to determine, before the Close of Business on the thirty second (32nd) Scheduled Trading Day (or, if, in accordance with </w:t>
      </w:r>
      <w:r>
        <w:rPr>
          <w:rFonts w:ascii="Times New Roman;Times;Serif" w:hAnsi="Times New Roman;Times;Serif"/>
          <w:b/>
          <w:i w:val="false"/>
          <w:caps w:val="false"/>
          <w:smallCaps w:val="false"/>
          <w:sz w:val="20"/>
        </w:rPr>
        <w:t>Section 5.03(A)(i)(3)</w:t>
      </w:r>
      <w:r>
        <w:rPr>
          <w:rFonts w:ascii="Times New Roman;Times;Serif" w:hAnsi="Times New Roman;Times;Serif"/>
          <w:b w:val="false"/>
          <w:i w:val="false"/>
          <w:caps w:val="false"/>
          <w:smallCaps w:val="false"/>
          <w:sz w:val="20"/>
        </w:rPr>
        <w:t xml:space="preserve">, the Company has irrevocably elected to settle all conversions of Notes with a Conversion Date that occur on or after the Redemption Notice Date for such Redemption and before the related Redemption Date by Physical Settlement, the tenth (10th) Scheduled Trading Day) immediately before the Redemption Date for such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Provisional Redemption for purposes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Sections 5.01(C)(i)(4)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5.07</w:t>
      </w:r>
      <w:r>
        <w:rPr>
          <w:rFonts w:ascii="Times New Roman;Times;Serif" w:hAnsi="Times New Roman;Times;Serif"/>
          <w:b w:val="false"/>
          <w:i w:val="false"/>
          <w:caps w:val="false"/>
          <w:smallCaps w:val="false"/>
          <w:sz w:val="20"/>
        </w:rPr>
        <w:t>, and the definition of “Make-Whole Fundamental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- 39 -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         Conversion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5.01.      </w:t>
      </w:r>
      <w:r>
        <w:rPr>
          <w:rFonts w:ascii="Times New Roman;Times;Serif" w:hAnsi="Times New Roman;Times;Serif"/>
          <w:b/>
          <w:i w:val="false"/>
          <w:smallCaps/>
          <w:sz w:val="20"/>
        </w:rPr>
        <w:t>Right to Convert.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each Holder may, at its option, convert such Holder’s Notes into Conversion 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Conversions in Part</w:t>
      </w:r>
      <w:r>
        <w:rPr>
          <w:rFonts w:ascii="Times New Roman;Times;Serif" w:hAnsi="Times New Roman;Times;Serif"/>
          <w:b w:val="false"/>
          <w:i w:val="false"/>
          <w:caps w:val="false"/>
          <w:smallCaps w:val="false"/>
          <w:sz w:val="20"/>
        </w:rPr>
        <w:t xml:space="preserve">. Subject to the terms of this Indenture, Notes may be converted in part, but only in Authorized Denominations.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applying to the conversion of a Note in whole will equally apply to conversions of a permitted portion of a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When Notes May Be Converted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5.01(C)(ii)</w:t>
      </w:r>
      <w:r>
        <w:rPr>
          <w:rFonts w:ascii="Times New Roman;Times;Serif" w:hAnsi="Times New Roman;Times;Serif"/>
          <w:b w:val="false"/>
          <w:i w:val="false"/>
          <w:caps w:val="false"/>
          <w:smallCaps w:val="false"/>
          <w:sz w:val="20"/>
        </w:rPr>
        <w:t>, a Note may be converted only in the following circumstances: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Conversion upon Satisfaction of Common Stock Sale Price Condition</w:t>
      </w:r>
      <w:r>
        <w:rPr>
          <w:rFonts w:ascii="Times New Roman;Times;Serif" w:hAnsi="Times New Roman;Times;Serif"/>
          <w:b w:val="false"/>
          <w:i w:val="false"/>
          <w:caps w:val="false"/>
          <w:smallCaps w:val="false"/>
          <w:sz w:val="20"/>
        </w:rPr>
        <w:t>. A Holder may convert its Notes during any calendar quarter (and only during such calendar quarter) commencing after the calendar quarter ending on December 31, 2026,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Conversion upon Satisfaction of Note Trading Price Condition</w:t>
      </w:r>
      <w:r>
        <w:rPr>
          <w:rFonts w:ascii="Times New Roman;Times;Serif" w:hAnsi="Times New Roman;Times;Serif"/>
          <w:b w:val="false"/>
          <w:i w:val="false"/>
          <w:caps w:val="false"/>
          <w:smallCaps w:val="false"/>
          <w:sz w:val="20"/>
        </w:rPr>
        <w:t>. A Holder may convert its Notes during the five (5) consecutive Business Days immediately after any ten (10) consecutive Trading Day period (such ten (10)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Trading Price will be determined by the Bid Solicitation Agent pursuant to this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200" w:after="200"/>
        <w:ind w:left="14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Conversion Upon Specified Corporate Events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Certain Distributions</w:t>
      </w:r>
      <w:r>
        <w:rPr>
          <w:rFonts w:ascii="Times New Roman;Times;Serif" w:hAnsi="Times New Roman;Times;Serif"/>
          <w:b w:val="false"/>
          <w:i w:val="false"/>
          <w:caps w:val="false"/>
          <w:smallCaps w:val="false"/>
          <w:sz w:val="20"/>
        </w:rPr>
        <w:t>. If the Company elects to:</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distribute, to all or substantially all holders of Common Stock, any rights, options or warrants (other than rights issued pursuant to a stockholder rights plan prior to separation of such rights from the Common Stock)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or</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(x) the Company will send notice of such distribution, and of the related right to convert Notes, to Holders, the Trustee and the Conversion Agent at least 35 Scheduled Trading Days before the Ex-Dividend Date for such distribution;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the Company is then otherwise permitted to settle Conversions of Notes by Physical Settlement (and, for the avoidance of doubt, the Company has not elected another Settlement Method to apply, including pursuant to Section 5.03(A)(i)(1)),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200" w:after="200"/>
        <w:ind w:left="21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Certain Corporate Events</w:t>
      </w:r>
      <w:r>
        <w:rPr>
          <w:rFonts w:ascii="Times New Roman;Times;Serif" w:hAnsi="Times New Roman;Times;Serif"/>
          <w:b w:val="false"/>
          <w:i w:val="false"/>
          <w:caps w:val="false"/>
          <w:smallCaps w:val="false"/>
          <w:sz w:val="20"/>
        </w:rPr>
        <w:t xml:space="preserve">. If a Fundamental Change, Make-Whole Fundamental Change (other than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does not provide the notice referred to in the immediately following sentence by such effective date, then the last day on which the Notes are convertible pursuant to this sentence will be extended by the number of Business Days from, and including, such effective date to, but excluding, the date the Company provides such notice. No later than the second (2nd) Business Day after the effective date of any Fundamental Change, Make-Whole Fundamental Change or Common Stock Change Event, the Company will send notice to the Holders, the Trustee and the Conversion Agent of such transaction or event, such effective date and, if applicable, the related right to convert Notes.</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200" w:after="200"/>
        <w:ind w:left="216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Conversion upon Redemption</w:t>
      </w:r>
      <w:r>
        <w:rPr>
          <w:rFonts w:ascii="Times New Roman;Times;Serif" w:hAnsi="Times New Roman;Times;Serif"/>
          <w:b w:val="false"/>
          <w:i w:val="false"/>
          <w:caps w:val="false"/>
          <w:smallCaps w:val="false"/>
          <w:sz w:val="20"/>
        </w:rPr>
        <w:t>. If the Company calls any Note for Redemption, then the Holder of such Note may convert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Conversions During Free Convertibility Period</w:t>
      </w:r>
      <w:r>
        <w:rPr>
          <w:rFonts w:ascii="Times New Roman;Times;Serif" w:hAnsi="Times New Roman;Times;Serif"/>
          <w:b w:val="false"/>
          <w:i w:val="false"/>
          <w:caps w:val="false"/>
          <w:smallCaps w:val="false"/>
          <w:sz w:val="20"/>
        </w:rPr>
        <w:t>. A Holder may convert its Notes at any time from, and including, February 15, 2030, until the Close of Business on the second (2nd) Scheduled Trading Day immediately before the Maturity Date.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Notes may become convertible pursuant to any one or more of the preceding sub-paragraphs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and the Notes ceasing to be convertible pursuant to a particular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will not preclude the Notes from being convertible pursuant to any other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Limitations and Closed Periods</w:t>
      </w:r>
      <w:r>
        <w:rPr>
          <w:rFonts w:ascii="Times New Roman;Times;Serif" w:hAnsi="Times New Roman;Times;Serif"/>
          <w:b w:val="false"/>
          <w:i w:val="false"/>
          <w:caps w:val="false"/>
          <w:smallCaps w:val="false"/>
          <w:sz w:val="20"/>
        </w:rPr>
        <w:t>. Notwithstanding anything to the contrary in this Indenture or the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Notes may be surrendered for conversion only after the Open of Business and before the Close of Business on a day that is a Business Day;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no event may any Note be converted after the Close of Business on the second (2nd) Scheduled Trading Day immediately before the Maturity Date;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Company calls any Note for Redemption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then the Holder of such Note may not convert such Note after the Close of Business on the Business Day immediately before the applicable Redemption Date, except to the extent the Company fails to pay the Redemption Price for such Note in accordance with this Indenture;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a Fundamental Change Repurchase Notice is validly delivered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xml:space="preserve"> with respect to any Note, then such Note may not be converted, except to the extent (a) such Note is not subject to such notice; (b) such notice is withdrawn in accordance with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xml:space="preserve">; or (c) the Company fails to pay the Fundamental Change Repurchase Price for such Note in accordance with this Indenture (or a third party fails to make such payment in lieu of the Company in accordance with the provisions described in </w:t>
      </w:r>
      <w:r>
        <w:rPr>
          <w:rFonts w:ascii="Times New Roman;Times;Serif" w:hAnsi="Times New Roman;Times;Serif"/>
          <w:b/>
          <w:i w:val="false"/>
          <w:caps w:val="false"/>
          <w:smallCaps w:val="false"/>
          <w:sz w:val="20"/>
        </w:rPr>
        <w:t>Section 4.02(H)</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5.02.      </w:t>
      </w:r>
      <w:r>
        <w:rPr>
          <w:rFonts w:ascii="Times New Roman;Times;Serif" w:hAnsi="Times New Roman;Times;Serif"/>
          <w:b/>
          <w:i w:val="false"/>
          <w:smallCaps/>
          <w:sz w:val="20"/>
        </w:rPr>
        <w:t>Conversion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To convert a beneficial interest in a Global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xml:space="preserve">. To convert all or a portion of a Physical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xml:space="preserve">,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Effect of Converting a Note</w:t>
      </w:r>
      <w:r>
        <w:rPr>
          <w:rFonts w:ascii="Times New Roman;Times;Serif" w:hAnsi="Times New Roman;Times;Serif"/>
          <w:b w:val="false"/>
          <w:i w:val="false"/>
          <w:caps w:val="false"/>
          <w:smallCaps w:val="false"/>
          <w:sz w:val="20"/>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Holder of Record of Conversion Shares</w:t>
      </w:r>
      <w:r>
        <w:rPr>
          <w:rFonts w:ascii="Times New Roman;Times;Serif" w:hAnsi="Times New Roman;Times;Serif"/>
          <w:b w:val="false"/>
          <w:i w:val="false"/>
          <w:caps w:val="false"/>
          <w:smallCaps w:val="false"/>
          <w:sz w:val="20"/>
        </w:rPr>
        <w:t>. The Person in whose name any share of Common Stock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Special Interest and Additional Interest Payable Upon Conversion in Certain Circumstances</w:t>
      </w:r>
      <w:r>
        <w:rPr>
          <w:rFonts w:ascii="Times New Roman;Times;Serif" w:hAnsi="Times New Roman;Times;Serif"/>
          <w:b w:val="false"/>
          <w:i w:val="false"/>
          <w:caps w:val="false"/>
          <w:smallCaps w:val="false"/>
          <w:sz w:val="20"/>
        </w:rPr>
        <w:t xml:space="preserve">. If any payment of Special Interest or Additional Interest is due in respect of any Interest Payment Date and the Conversion Date of a Note is after the related Interest Record Date and before such Interest Payment Date, then (i) the Holder of such Note at the Close of Business on such Interest Record Date will be entitled, notwithstanding such conversion (and, for the avoidance of doubt, notwithstanding anything set forth in the proviso to this sentence), to receive, on or, at the Company’s election, before such Interest Payment Date, such payment of Special Interest or Additional Interest, as applicable (assuming, solely for these purposes, that such Note remained outstanding through such Interest Payment Date); and (ii) the Holder surrendering such Note for conversion must deliver to the Conversion Agent, at the time of such surrender, an amount of cash equal to the amount of such payment of Special Interest or Additional Interest, as applicable, referred to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 surrendering such Note for conversion need not deliver such cash (v) if the Company has specified a Redemption Date that is after such Interest Record Date and on or before the second (2nd) Business Day immediately after such Interest Payment Date; (w) if such Conversion Date occurs after the Interest Record Date immediately before the Maturity Date; (x) if the Company has specified a Fundamental Change Repurchase Date that is after such Interest Record Date and on or before the Business Day immediately after such Interest Payment Date; or (y) to the extent of (1) any overdue Special Interest or Additional Interest or (2) interest that has accrued on any overdue Special Interest or Additional Interest. For the avoidance of doubt, as a result of, and without limiting the generality of, the foregoing, if a Note is converted with a Conversion Date that is after the Interest Record Date immediately before the Maturity Date, then the Company will pay, as provided above, Special Interest and Additional Interest, if any, that would have been due on such Note on the Maturity Date (or if the Maturity Date is not a Business Day, the next Business Day) had such Note not been converted. For the avoidance of doubt, if the Conversion Date of a Note to be converted is on an Interest Payment Date in respect of which any Special Interest or Additional Interest, as applicable, is payable, then the Holder of such Note at the Close of Business on the Interest Record Date immediately before such Interest Payment Date will be entitled to receive, on such Interest Payment Date, such Special Interest or Additional Interest, as applicable, and such Note, when surrendered for conversion, need not be accompanied by any cash amount pursuant to the first sentence of this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Taxes and Duties</w:t>
      </w:r>
      <w:r>
        <w:rPr>
          <w:rFonts w:ascii="Times New Roman;Times;Serif" w:hAnsi="Times New Roman;Times;Serif"/>
          <w:b w:val="false"/>
          <w:i w:val="false"/>
          <w:caps w:val="false"/>
          <w:smallCaps w:val="false"/>
          <w:sz w:val="20"/>
        </w:rPr>
        <w:t xml:space="preserve">. If a Holder converts a Note, the Company will pay any documentary, stamp or similar issue or transfer tax or duty due on the issue or delivery of any shares of Common Stock upon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Conversion Agent to Notify Company of Conversions</w:t>
      </w:r>
      <w:r>
        <w:rPr>
          <w:rFonts w:ascii="Times New Roman;Times;Serif" w:hAnsi="Times New Roman;Times;Serif"/>
          <w:b w:val="false"/>
          <w:i w:val="false"/>
          <w:caps w:val="false"/>
          <w:smallCaps w:val="false"/>
          <w:sz w:val="20"/>
        </w:rPr>
        <w:t>. If any Note is submitted for conversion to the Conversion Agent or the Conversion Agent receives any notice of conversion with respect to a Note, then the Conversion Agent will promptly (and, in any event, no later than the date the Conversion Agent receives such Note or notice) notify the Company and the Trustee of such occurrence, together with any other information reasonably requested by the Company, and will cooperate with the Company to determine the Conversion Date for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5.03.     </w:t>
      </w:r>
      <w:r>
        <w:rPr>
          <w:rFonts w:ascii="Times New Roman;Times;Serif" w:hAnsi="Times New Roman;Times;Serif"/>
          <w:b/>
          <w:i w:val="false"/>
          <w:smallCaps/>
          <w:sz w:val="20"/>
        </w:rPr>
        <w:t>Settlement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Settlement Method</w:t>
      </w:r>
      <w:r>
        <w:rPr>
          <w:rFonts w:ascii="Times New Roman;Times;Serif" w:hAnsi="Times New Roman;Times;Serif"/>
          <w:b w:val="false"/>
          <w:i w:val="false"/>
          <w:caps w:val="false"/>
          <w:smallCaps w:val="false"/>
          <w:sz w:val="20"/>
        </w:rPr>
        <w:t xml:space="preserve">. Upon the conversion of any Note, the Company will settle such conversion by paying or delivering, as applicable and as provided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either (x) shares of Common Stock, together, if applicable, with cash in lieu of fractional shares as provided in </w:t>
      </w:r>
      <w:r>
        <w:rPr>
          <w:rFonts w:ascii="Times New Roman;Times;Serif" w:hAnsi="Times New Roman;Times;Serif"/>
          <w:b/>
          <w:i w:val="false"/>
          <w:caps w:val="false"/>
          <w:smallCaps w:val="false"/>
          <w:sz w:val="20"/>
        </w:rPr>
        <w:t>Section 5.03(B)(i)(1)</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xml:space="preserve">”); (y) solely cash as provided in </w:t>
      </w:r>
      <w:r>
        <w:rPr>
          <w:rFonts w:ascii="Times New Roman;Times;Serif" w:hAnsi="Times New Roman;Times;Serif"/>
          <w:b/>
          <w:i w:val="false"/>
          <w:caps w:val="false"/>
          <w:smallCaps w:val="false"/>
          <w:sz w:val="20"/>
        </w:rPr>
        <w:t>Section 5.03(B)(i)(2)</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xml:space="preserve">”); or (z) a combination of cash and shares of Common Stock, together, if applicable, with cash in lieu of fractional shares as provided in </w:t>
      </w:r>
      <w:r>
        <w:rPr>
          <w:rFonts w:ascii="Times New Roman;Times;Serif" w:hAnsi="Times New Roman;Times;Serif"/>
          <w:b/>
          <w:i w:val="false"/>
          <w:caps w:val="false"/>
          <w:smallCaps w:val="false"/>
          <w:sz w:val="20"/>
        </w:rPr>
        <w:t>Section 5.03(B)(i)(3)</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The Company’s Right to Elect Settlement Method</w:t>
      </w:r>
      <w:r>
        <w:rPr>
          <w:rFonts w:ascii="Times New Roman;Times;Serif" w:hAnsi="Times New Roman;Times;Serif"/>
          <w:b w:val="false"/>
          <w:i w:val="false"/>
          <w:caps w:val="false"/>
          <w:smallCaps w:val="false"/>
          <w:sz w:val="20"/>
        </w:rPr>
        <w:t xml:space="preserve">. The Company will have the right to elect the Settlement Method applicable to any conversion of a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i w:val="false"/>
          <w:caps w:val="false"/>
          <w:smallCaps w:val="false"/>
          <w:sz w:val="20"/>
        </w:rPr>
        <w:t xml:space="preserve">clause (3) </w:t>
      </w:r>
      <w:r>
        <w:rPr>
          <w:rFonts w:ascii="Times New Roman;Times;Serif" w:hAnsi="Times New Roman;Times;Serif"/>
          <w:b w:val="false"/>
          <w:i w:val="false"/>
          <w:caps w:val="false"/>
          <w:smallCaps w:val="false"/>
          <w:sz w:val="20"/>
        </w:rPr>
        <w:t>below, all conversions of Notes with a Conversion Date that occurs on or after February 15, 2030 will be settled using the same Settlement Method, and the Company will send notice of such Settlement Method to Holders and the Conversion Agent no later than the Open of Business on February 15, 2030;</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subject to </w:t>
      </w:r>
      <w:r>
        <w:rPr>
          <w:rFonts w:ascii="Times New Roman;Times;Serif" w:hAnsi="Times New Roman;Times;Serif"/>
          <w:b/>
          <w:i w:val="false"/>
          <w:caps w:val="false"/>
          <w:smallCaps w:val="false"/>
          <w:sz w:val="20"/>
        </w:rPr>
        <w:t xml:space="preserve">clause (3) </w:t>
      </w:r>
      <w:r>
        <w:rPr>
          <w:rFonts w:ascii="Times New Roman;Times;Serif" w:hAnsi="Times New Roman;Times;Serif"/>
          <w:b w:val="false"/>
          <w:i w:val="false"/>
          <w:caps w:val="false"/>
          <w:smallCaps w:val="false"/>
          <w:sz w:val="20"/>
        </w:rPr>
        <w:t>below, if the Company elects a Settlement Method with respect to the conversion of any Note whose Conversion Date occurs before February 15, 2030, then the Company will send notice of such Settlement Method to the Holder of such Note, with a copy to the Trustee and the Conversion Agent, no later than the Close of Business on the Business Day immediately after such Conversion Date;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any Notes are called for Redemption, then (a) the Company will specify, in the related Redemption Notice sent pursuant to </w:t>
      </w:r>
      <w:r>
        <w:rPr>
          <w:rFonts w:ascii="Times New Roman;Times;Serif" w:hAnsi="Times New Roman;Times;Serif"/>
          <w:b/>
          <w:i w:val="false"/>
          <w:caps w:val="false"/>
          <w:smallCaps w:val="false"/>
          <w:sz w:val="20"/>
        </w:rPr>
        <w:t>Section 4.03(G)</w:t>
      </w:r>
      <w:r>
        <w:rPr>
          <w:rFonts w:ascii="Times New Roman;Times;Serif" w:hAnsi="Times New Roman;Times;Serif"/>
          <w:b w:val="false"/>
          <w:i w:val="false"/>
          <w:caps w:val="false"/>
          <w:smallCaps w:val="false"/>
          <w:sz w:val="20"/>
        </w:rPr>
        <w:t xml:space="preserve">, the Settlement Method that will apply to all conversions of Notes with a Conversion Date that occurs on or after the related Redemption Notice Date and before the related Redemption Date; and (b) if such Redemption Date occurs on or after February 15, 2030, then such Settlement Method must be the same Settlement Method that,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applies to all conversions of Notes with a Conversion Date that occurs on or after February 15, 2030;</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clause (3) </w:t>
      </w:r>
      <w:r>
        <w:rPr>
          <w:rFonts w:ascii="Times New Roman;Times;Serif" w:hAnsi="Times New Roman;Times;Serif"/>
          <w:b w:val="false"/>
          <w:i w:val="false"/>
          <w:caps w:val="false"/>
          <w:smallCaps w:val="false"/>
          <w:sz w:val="20"/>
        </w:rPr>
        <w:t>above);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Company timely elects Combination Settlement with respect to the conversion of a Note but does not timely notify the Holder of such Note, with a copy to the Trustee and the Conversion Agent,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the Settlement Method will be subject to </w:t>
      </w:r>
      <w:r>
        <w:rPr>
          <w:rFonts w:ascii="Times New Roman;Times;Serif" w:hAnsi="Times New Roman;Times;Serif"/>
          <w:b/>
          <w:i w:val="false"/>
          <w:caps w:val="false"/>
          <w:smallCaps w:val="false"/>
          <w:sz w:val="20"/>
        </w:rPr>
        <w:t>Section 5.01(C)(i)(3)(a)</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The Company’s Right to Irrevocably Fix the Settlement Method</w:t>
      </w:r>
      <w:r>
        <w:rPr>
          <w:rFonts w:ascii="Times New Roman;Times;Serif" w:hAnsi="Times New Roman;Times;Serif"/>
          <w:b w:val="false"/>
          <w:i w:val="false"/>
          <w:caps w:val="false"/>
          <w:smallCaps w:val="false"/>
          <w:sz w:val="20"/>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elect Combination Settlement to apply to all conversions of Notes with a Conversion Date that occurs on or after the date such notice is sent to Holders, and eliminate a Specified Dollar Amount or range of Specified Dollar Amounts that will apply to such conversions,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(w) the Settlement Method(s) so elected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above must be a Settlement Method or Settlement Method(s), as applicable, that the Company is then permitted to elect (for the avoidance of doubt, including pursuant to, and subject to, the other provisions of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(x) no such irrevocable election will affect any Settlement Method theretofore elected (or deemed to be elected) with respect to any Note pursuant to this Indenture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(y) upon any such irrevocable election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the Default Settlement Method will automatically be deemed to be set to the Settlement Method so fixed; and (z) upon any such irrevocable election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xml:space="preserve"> above, the Company will, if needed, simultaneously change the Default Settlement Method to Combination Settlement with a Specified Dollar Amount that is consistent with such irrevocable election. Such notice, if sent, must set forth the applicable Settlement Method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xml:space="preserve"> (it being understood, however, that the Company may nonetheless choose to execute such an amendment at its option).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Requirement to Publicly Disclose the Fixed or Default Settlement Method.</w:t>
      </w:r>
      <w:r>
        <w:rPr>
          <w:rFonts w:ascii="Times New Roman;Times;Serif" w:hAnsi="Times New Roman;Times;Serif"/>
          <w:b w:val="false"/>
          <w:i w:val="false"/>
          <w:caps w:val="false"/>
          <w:smallCaps w:val="false"/>
          <w:sz w:val="20"/>
        </w:rPr>
        <w:t xml:space="preserve"> If the Company changes the Default Settlement Method pursuant to </w:t>
      </w:r>
      <w:r>
        <w:rPr>
          <w:rFonts w:ascii="Times New Roman;Times;Serif" w:hAnsi="Times New Roman;Times;Serif"/>
          <w:b/>
          <w:i w:val="false"/>
          <w:caps w:val="false"/>
          <w:smallCaps w:val="false"/>
          <w:sz w:val="20"/>
        </w:rPr>
        <w:t>clause (x)</w:t>
      </w:r>
      <w:r>
        <w:rPr>
          <w:rFonts w:ascii="Times New Roman;Times;Serif" w:hAnsi="Times New Roman;Times;Serif"/>
          <w:b w:val="false"/>
          <w:i w:val="false"/>
          <w:caps w:val="false"/>
          <w:smallCaps w:val="false"/>
          <w:sz w:val="20"/>
        </w:rPr>
        <w:t xml:space="preserve"> of the proviso to the definition of such term or irrevocably fixes the Settlement Method(s) pursuant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then the Company will either post the Default Settlement Method or fixed Settlement Method(s), as applicable, on its website or disclose the same in a Current Report on Form 8-K (or any successor form) that is filed with, or furnished to, the SEC.</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Conversion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5.03(B)(ii)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5.09(A)(2)</w:t>
      </w:r>
      <w:r>
        <w:rPr>
          <w:rFonts w:ascii="Times New Roman;Times;Serif" w:hAnsi="Times New Roman;Times;Serif"/>
          <w:b w:val="false"/>
          <w:i w:val="false"/>
          <w:caps w:val="false"/>
          <w:smallCaps w:val="false"/>
          <w:sz w:val="20"/>
        </w:rPr>
        <w:t>, the type and amount of consideration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due in respect of each $1,000 principal amount of a Note to be converted will be as follows: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Physical Settlement applies to such Conversion, a number of shares of Common Stock equal to the Conversion Rate in effect on the Conversion Date for such Conversion;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Cash Settlement applies to such conversion, cash in an amount equal to the sum of the Daily Conversion Values for each VWAP Trading Day in the Observation Period for such conversion;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Cash in Lieu of Fractional Shares</w:t>
      </w:r>
      <w:r>
        <w:rPr>
          <w:rFonts w:ascii="Times New Roman;Times;Serif" w:hAnsi="Times New Roman;Times;Serif"/>
          <w:b w:val="false"/>
          <w:i w:val="false"/>
          <w:caps w:val="false"/>
          <w:smallCaps w:val="false"/>
          <w:sz w:val="20"/>
        </w:rPr>
        <w:t xml:space="preserve">. If Physical Settlement or Combination Settlement applies to the conversion of any Note and the number of shares of Common Stock deliverable pursuant to </w:t>
      </w:r>
      <w:r>
        <w:rPr>
          <w:rFonts w:ascii="Times New Roman;Times;Serif" w:hAnsi="Times New Roman;Times;Serif"/>
          <w:b/>
          <w:i w:val="false"/>
          <w:caps w:val="false"/>
          <w:smallCaps w:val="false"/>
          <w:sz w:val="20"/>
        </w:rPr>
        <w:t>Section 5.03(B)(i)</w:t>
      </w:r>
      <w:r>
        <w:rPr>
          <w:rFonts w:ascii="Times New Roman;Times;Serif" w:hAnsi="Times New Roman;Times;Serif"/>
          <w:b w:val="false"/>
          <w:i w:val="false"/>
          <w:caps w:val="false"/>
          <w:smallCaps w:val="false"/>
          <w:sz w:val="20"/>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Conversion of Multiple Notes by a Single Holder</w:t>
      </w:r>
      <w:r>
        <w:rPr>
          <w:rFonts w:ascii="Times New Roman;Times;Serif" w:hAnsi="Times New Roman;Times;Serif"/>
          <w:b w:val="false"/>
          <w:i w:val="false"/>
          <w:caps w:val="false"/>
          <w:smallCaps w:val="false"/>
          <w:sz w:val="20"/>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Notice of Calculation of Conversion Consideration</w:t>
      </w:r>
      <w:r>
        <w:rPr>
          <w:rFonts w:ascii="Times New Roman;Times;Serif" w:hAnsi="Times New Roman;Times;Serif"/>
          <w:b w:val="false"/>
          <w:i w:val="false"/>
          <w:caps w:val="false"/>
          <w:smallCaps w:val="false"/>
          <w:sz w:val="20"/>
        </w:rPr>
        <w:t>.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Delivery of the Conversion Consideration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Sections 5.05(D)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5.09</w:t>
      </w:r>
      <w:r>
        <w:rPr>
          <w:rFonts w:ascii="Times New Roman;Times;Serif" w:hAnsi="Times New Roman;Times;Serif"/>
          <w:b w:val="false"/>
          <w:i w:val="false"/>
          <w:caps w:val="false"/>
          <w:smallCaps w:val="false"/>
          <w:sz w:val="20"/>
        </w:rPr>
        <w:t xml:space="preserve">, the Company will pay or deliver, as applicable, the Conversion Consideration due upon the conversion of any Note to the Holder as follows: (i) if Cash Settlement or Combination Settlement applies to such Conversion, on the second (2nd) Business Day immediately after the last VWAP Trading Day of the Observation Period for such conversion; and (ii) if Physical Settlement applies to such Conversion, on the second (2nd) Business Day immediately after the Conversion Date for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Physical Settlement applies to the Conversion of any Note with a Conversion Date that is after the Interest Record Date immediately before the Maturity Date, then, solely for purposes of such Conversion, (x) the Company will pay or deliver, as applicable, the Conversion Consideration due upon such Conversion on the Maturity Date (or, if the Maturity Date is not a Business Day, the next Business Day), in the case of a Conversion of any Note with a Conversion Date that is after the Interest Record Date immediately before the Maturity Date; and (y) the Conversion Date will instead be deemed to be the second (2nd) Business Day immediately before the Maturity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Deemed Payment of Principal and Interest; Settlement of Accrued Interest Notwithstanding Conversion</w:t>
      </w:r>
      <w:r>
        <w:rPr>
          <w:rFonts w:ascii="Times New Roman;Times;Serif" w:hAnsi="Times New Roman;Times;Serif"/>
          <w:b w:val="false"/>
          <w:i w:val="false"/>
          <w:caps w:val="false"/>
          <w:smallCaps w:val="false"/>
          <w:sz w:val="20"/>
        </w:rPr>
        <w:t xml:space="preserve">. If a Holder converts a Note, then the Company will not adjust the Conversion Rate to account for any accrued and unpaid Special Interest or Additional Interest, if any, on such Note, and,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the Company’s delivery of the Conversion Consideration due in respect of such conversion will be deemed to fully satisfy and discharge the Company’s obligation to pay the principal of, and accrued and unpaid Special Interest or Additional Interest, if any, on, such Note to, but excluding the Conversion Date. As a result,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any accrued and unpaid Special Interest or Additional Interest, if any, on a converted Note will be deemed to be paid in full rather than cancelled, extinguished or forfeited. In addition, subject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if the Conversion Consideration for a Note consists of both cash and shares of Common Stock, then accrued and unpaid Special Interest or Additional Interest, if any, that is deemed to be paid therewith will be deemed to be paid first out of such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5.04.      </w:t>
      </w:r>
      <w:r>
        <w:rPr>
          <w:rFonts w:ascii="Times New Roman;Times;Serif" w:hAnsi="Times New Roman;Times;Serif"/>
          <w:b/>
          <w:i w:val="false"/>
          <w:smallCaps/>
          <w:sz w:val="20"/>
        </w:rPr>
        <w:t>Reserve and Status of Common Stock Issued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Stock Reserve</w:t>
      </w:r>
      <w:r>
        <w:rPr>
          <w:rFonts w:ascii="Times New Roman;Times;Serif" w:hAnsi="Times New Roman;Times;Serif"/>
          <w:b w:val="false"/>
          <w:i w:val="false"/>
          <w:caps w:val="false"/>
          <w:smallCaps w:val="false"/>
          <w:sz w:val="20"/>
        </w:rPr>
        <w:t xml:space="preserve">. At all times when any Notes are outstanding, the Company will reserve (out of its authorized and not outstanding but unissued shares of Common Stock that are not reserved for other purposes)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Status of Conversion Shares; Listing</w:t>
      </w:r>
      <w:r>
        <w:rPr>
          <w:rFonts w:ascii="Times New Roman;Times;Serif" w:hAnsi="Times New Roman;Times;Serif"/>
          <w:b w:val="false"/>
          <w:i w:val="false"/>
          <w:caps w:val="false"/>
          <w:smallCaps w:val="false"/>
          <w:sz w:val="20"/>
        </w:rPr>
        <w:t xml:space="preserve">. Each Conversion Share, if any, delivered upon conversion of any Note will be a newly issued or treasury share (except that any Conversion Share delivered by a designated financial institution pursuant to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- 49 -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5.05.     </w:t>
      </w:r>
      <w:r>
        <w:rPr>
          <w:rFonts w:ascii="Times New Roman;Times;Serif" w:hAnsi="Times New Roman;Times;Serif"/>
          <w:b/>
          <w:i w:val="false"/>
          <w:smallCaps/>
          <w:sz w:val="20"/>
        </w:rPr>
        <w:t>Adjustments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Events Requiring an Adjustment to the Conversion Rate</w:t>
      </w:r>
      <w:r>
        <w:rPr>
          <w:rFonts w:ascii="Times New Roman;Times;Serif" w:hAnsi="Times New Roman;Times;Serif"/>
          <w:b w:val="false"/>
          <w:i w:val="false"/>
          <w:caps w:val="false"/>
          <w:smallCaps w:val="false"/>
          <w:sz w:val="20"/>
        </w:rPr>
        <w:t>. The Conversion Rate will be adjusted from time to time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Stock Dividends, Splits and Combinations</w:t>
      </w:r>
      <w:r>
        <w:rPr>
          <w:rFonts w:ascii="Times New Roman;Times;Serif" w:hAnsi="Times New Roman;Times;Serif"/>
          <w:b w:val="false"/>
          <w:i w:val="false"/>
          <w:caps w:val="false"/>
          <w:smallCaps w:val="false"/>
          <w:sz w:val="20"/>
        </w:rPr>
        <w:t xml:space="preserve">. If the Company issues solely shares of Common Stock as 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 then the Conversion Rate will be adjusted based on the following formula: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color w:val="FF0000"/>
        </w:rPr>
      </w:pPr>
      <w:r>
        <w:rPr>
          <w:caps w:val="false"/>
          <w:smallCaps w:val="false"/>
          <w:color w:val="FF0000"/>
        </w:rPr>
        <w:drawing>
          <wp:inline distT="0" distB="0" distL="0" distR="0">
            <wp:extent cx="14287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609600"/>
                    </a:xfrm>
                    <a:prstGeom prst="rect">
                      <a:avLst/>
                    </a:prstGeom>
                  </pic:spPr>
                </pic:pic>
              </a:graphicData>
            </a:graphic>
          </wp:inline>
        </w:drawing>
      </w:r>
    </w:p>
    <w:p>
      <w:pPr>
        <w:pStyle w:val="TextBody"/>
        <w:bidi w:val="0"/>
        <w:spacing w:before="0" w:after="0"/>
        <w:ind w:left="720" w:right="0" w:hanging="0"/>
        <w:jc w:val="center"/>
        <w:rPr>
          <w:caps w:val="false"/>
          <w:smallCaps w:val="false"/>
          <w:color w:val="FF0000"/>
        </w:rPr>
      </w:pPr>
      <w:r>
        <w:rPr>
          <w:caps w:val="false"/>
          <w:smallCaps w:val="false"/>
          <w:color w:val="FF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177"/>
        <w:gridCol w:w="9513"/>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CR0</w:t>
            </w:r>
          </w:p>
        </w:tc>
        <w:tc>
          <w:tcPr>
            <w:tcW w:w="177" w:type="dxa"/>
            <w:tcBorders/>
            <w:vAlign w:val="center"/>
          </w:tcPr>
          <w:p>
            <w:pPr>
              <w:pStyle w:val="TableContents"/>
              <w:bidi w:val="0"/>
              <w:spacing w:before="0" w:after="283"/>
              <w:jc w:val="left"/>
              <w:rPr/>
            </w:pPr>
            <w:r>
              <w:rPr/>
              <w:t xml:space="preserve">= </w:t>
            </w:r>
          </w:p>
        </w:tc>
        <w:tc>
          <w:tcPr>
            <w:tcW w:w="9513" w:type="dxa"/>
            <w:tcBorders/>
            <w:vAlign w:val="center"/>
          </w:tcPr>
          <w:p>
            <w:pPr>
              <w:pStyle w:val="TableContents"/>
              <w:bidi w:val="0"/>
              <w:spacing w:before="0" w:after="283"/>
              <w:jc w:val="left"/>
              <w:rPr/>
            </w:pPr>
            <w:r>
              <w:rPr/>
              <w:t>the Conversion Rate in effect immediately before the Open of Business on the Ex-Dividend Date for such dividend or distribution, or immediately before the Open of Business on the effective date of such stock split or stock combination, as applicable;</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190"/>
        <w:gridCol w:w="9500"/>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CR1</w:t>
            </w:r>
          </w:p>
        </w:tc>
        <w:tc>
          <w:tcPr>
            <w:tcW w:w="190" w:type="dxa"/>
            <w:tcBorders/>
            <w:vAlign w:val="center"/>
          </w:tcPr>
          <w:p>
            <w:pPr>
              <w:pStyle w:val="TableContents"/>
              <w:bidi w:val="0"/>
              <w:spacing w:before="0" w:after="283"/>
              <w:jc w:val="left"/>
              <w:rPr/>
            </w:pPr>
            <w:r>
              <w:rPr/>
              <w:t xml:space="preserve">= </w:t>
            </w:r>
          </w:p>
        </w:tc>
        <w:tc>
          <w:tcPr>
            <w:tcW w:w="9500" w:type="dxa"/>
            <w:tcBorders/>
            <w:vAlign w:val="center"/>
          </w:tcPr>
          <w:p>
            <w:pPr>
              <w:pStyle w:val="TableContents"/>
              <w:bidi w:val="0"/>
              <w:spacing w:before="0" w:after="283"/>
              <w:jc w:val="left"/>
              <w:rPr/>
            </w:pPr>
            <w:r>
              <w:rPr/>
              <w:t>the Conversion Rate in effect immediately after the Open of Business on such Ex-Dividend Date or the Open of Business on such effective date, as applicable;</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40"/>
        <w:gridCol w:w="177"/>
        <w:gridCol w:w="9528"/>
      </w:tblGrid>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lineRule="auto" w:line="240" w:before="0" w:after="283"/>
              <w:jc w:val="left"/>
              <w:rPr>
                <w:i/>
              </w:rPr>
            </w:pPr>
            <w:r>
              <w:rPr>
                <w:i/>
              </w:rPr>
              <w:t>OS0</w:t>
            </w:r>
          </w:p>
        </w:tc>
        <w:tc>
          <w:tcPr>
            <w:tcW w:w="177" w:type="dxa"/>
            <w:tcBorders/>
            <w:vAlign w:val="center"/>
          </w:tcPr>
          <w:p>
            <w:pPr>
              <w:pStyle w:val="TableContents"/>
              <w:bidi w:val="0"/>
              <w:spacing w:before="0" w:after="283"/>
              <w:jc w:val="left"/>
              <w:rPr/>
            </w:pPr>
            <w:r>
              <w:rPr/>
              <w:t xml:space="preserve">= </w:t>
            </w:r>
          </w:p>
        </w:tc>
        <w:tc>
          <w:tcPr>
            <w:tcW w:w="9528" w:type="dxa"/>
            <w:tcBorders/>
            <w:vAlign w:val="center"/>
          </w:tcPr>
          <w:p>
            <w:pPr>
              <w:pStyle w:val="TableContents"/>
              <w:bidi w:val="0"/>
              <w:spacing w:before="0" w:after="283"/>
              <w:jc w:val="left"/>
              <w:rPr/>
            </w:pPr>
            <w:r>
              <w:rPr/>
              <w:t>the number of shares of Common Stock outstanding immediately before the Open of Business on such Ex-Dividend Date or effective date, as applicable, without giving effect to such dividend, distribution, stock split or stock combination; and</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40"/>
        <w:gridCol w:w="194"/>
        <w:gridCol w:w="9511"/>
      </w:tblGrid>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lineRule="auto" w:line="240" w:before="0" w:after="283"/>
              <w:jc w:val="left"/>
              <w:rPr>
                <w:i/>
              </w:rPr>
            </w:pPr>
            <w:r>
              <w:rPr>
                <w:i/>
              </w:rPr>
              <w:t>OS1</w:t>
            </w:r>
          </w:p>
        </w:tc>
        <w:tc>
          <w:tcPr>
            <w:tcW w:w="194" w:type="dxa"/>
            <w:tcBorders/>
            <w:vAlign w:val="center"/>
          </w:tcPr>
          <w:p>
            <w:pPr>
              <w:pStyle w:val="TableContents"/>
              <w:bidi w:val="0"/>
              <w:spacing w:before="0" w:after="283"/>
              <w:jc w:val="left"/>
              <w:rPr/>
            </w:pPr>
            <w:r>
              <w:rPr/>
              <w:t xml:space="preserve">= </w:t>
            </w:r>
          </w:p>
        </w:tc>
        <w:tc>
          <w:tcPr>
            <w:tcW w:w="9511" w:type="dxa"/>
            <w:tcBorders/>
            <w:vAlign w:val="center"/>
          </w:tcPr>
          <w:p>
            <w:pPr>
              <w:pStyle w:val="TableContents"/>
              <w:bidi w:val="0"/>
              <w:spacing w:before="0" w:after="283"/>
              <w:jc w:val="left"/>
              <w:rPr/>
            </w:pPr>
            <w:r>
              <w:rPr/>
              <w:t>the number of shares of Common Stock outstanding immediately after giving effect to such dividend, distribution, stock split or stock combination.</w:t>
            </w:r>
          </w:p>
        </w:tc>
      </w:tr>
    </w:tbl>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dividend, distribution, stock split or stock combination of the type described in this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Rights, Options and Warrants</w:t>
      </w:r>
      <w:r>
        <w:rPr>
          <w:rFonts w:ascii="Times New Roman;Times;Serif" w:hAnsi="Times New Roman;Times;Serif"/>
          <w:b w:val="false"/>
          <w:i w:val="false"/>
          <w:caps w:val="false"/>
          <w:smallCaps w:val="false"/>
          <w:sz w:val="20"/>
        </w:rPr>
        <w:t xml:space="preserve">. If the Company distributes, to all or substantially all holders of Common Stock, rights, options or warrants (other than rights issued or otherwise distributed pursuant to a stockholder rights plan, as to which </w:t>
      </w:r>
      <w:r>
        <w:rPr>
          <w:rFonts w:ascii="Times New Roman;Times;Serif" w:hAnsi="Times New Roman;Times;Serif"/>
          <w:b/>
          <w:i w:val="false"/>
          <w:caps w:val="false"/>
          <w:smallCaps w:val="false"/>
          <w:sz w:val="20"/>
        </w:rPr>
        <w:t>Sections 5.05(A)(iii)(1)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5.05(F)</w:t>
      </w:r>
      <w:r>
        <w:rPr>
          <w:rFonts w:ascii="Times New Roman;Times;Serif" w:hAnsi="Times New Roman;Times;Serif"/>
          <w:b w:val="false"/>
          <w:i w:val="false"/>
          <w:caps w:val="false"/>
          <w:smallCaps w:val="false"/>
          <w:sz w:val="20"/>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color w:val="FF0000"/>
        </w:rPr>
      </w:pPr>
      <w:r>
        <w:rPr>
          <w:caps w:val="false"/>
          <w:smallCaps w:val="false"/>
          <w:color w:val="FF0000"/>
        </w:rPr>
        <w:drawing>
          <wp:inline distT="0" distB="0" distL="0" distR="0">
            <wp:extent cx="142875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476250"/>
                    </a:xfrm>
                    <a:prstGeom prst="rect">
                      <a:avLst/>
                    </a:prstGeom>
                  </pic:spPr>
                </pic:pic>
              </a:graphicData>
            </a:graphic>
          </wp:inline>
        </w:drawing>
      </w:r>
    </w:p>
    <w:p>
      <w:pPr>
        <w:pStyle w:val="TextBody"/>
        <w:bidi w:val="0"/>
        <w:spacing w:before="0" w:after="0"/>
        <w:ind w:left="720" w:right="0" w:hanging="0"/>
        <w:jc w:val="center"/>
        <w:rPr>
          <w:caps w:val="false"/>
          <w:smallCaps w:val="false"/>
          <w:color w:val="FF0000"/>
        </w:rPr>
      </w:pPr>
      <w:r>
        <w:rPr>
          <w:caps w:val="false"/>
          <w:smallCaps w:val="false"/>
          <w:color w:val="FF0000"/>
        </w:rPr>
        <w:t> </w:t>
      </w:r>
    </w:p>
    <w:p>
      <w:pPr>
        <w:pStyle w:val="TextBody"/>
        <w:bidi w:val="0"/>
        <w:spacing w:before="200" w:after="20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center"/>
        <w:rPr>
          <w:caps w:val="false"/>
          <w:smallCaps w:val="false"/>
          <w:color w:val="FF0000"/>
        </w:rPr>
      </w:pPr>
      <w:r>
        <w:rPr>
          <w:caps w:val="false"/>
          <w:smallCaps w:val="false"/>
          <w:color w:val="FF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204"/>
        <w:gridCol w:w="9486"/>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CR0</w:t>
            </w:r>
          </w:p>
        </w:tc>
        <w:tc>
          <w:tcPr>
            <w:tcW w:w="204" w:type="dxa"/>
            <w:tcBorders/>
            <w:vAlign w:val="center"/>
          </w:tcPr>
          <w:p>
            <w:pPr>
              <w:pStyle w:val="TableContents"/>
              <w:bidi w:val="0"/>
              <w:spacing w:before="0" w:after="283"/>
              <w:jc w:val="left"/>
              <w:rPr/>
            </w:pPr>
            <w:r>
              <w:rPr/>
              <w:t xml:space="preserve">= </w:t>
            </w:r>
          </w:p>
        </w:tc>
        <w:tc>
          <w:tcPr>
            <w:tcW w:w="9486" w:type="dxa"/>
            <w:tcBorders/>
            <w:vAlign w:val="center"/>
          </w:tcPr>
          <w:p>
            <w:pPr>
              <w:pStyle w:val="TableContents"/>
              <w:bidi w:val="0"/>
              <w:spacing w:before="0" w:after="283"/>
              <w:jc w:val="left"/>
              <w:rPr/>
            </w:pPr>
            <w:r>
              <w:rPr/>
              <w:t>the Conversion Rate in effect immediately before the Open of Business on the Ex-Dividend Date for such distribution;</w:t>
            </w:r>
          </w:p>
        </w:tc>
      </w:tr>
    </w:tbl>
    <w:p>
      <w:pPr>
        <w:pStyle w:val="TextBody"/>
        <w:bidi w:val="0"/>
        <w:spacing w:before="0" w:after="0"/>
        <w:ind w:left="2160" w:right="0" w:hanging="1440"/>
        <w:jc w:val="left"/>
        <w:rPr>
          <w:caps w:val="false"/>
          <w:smallCaps w:val="false"/>
        </w:rPr>
      </w:pPr>
      <w:r>
        <w:rPr>
          <w:caps w:val="false"/>
          <w:smallCaps w:val="false"/>
        </w:rPr>
        <w:t> </w:t>
      </w:r>
    </w:p>
    <w:tbl>
      <w:tblPr>
        <w:tblW w:w="9945" w:type="dxa"/>
        <w:jc w:val="left"/>
        <w:tblInd w:w="0" w:type="dxa"/>
        <w:tblLayout w:type="fixed"/>
        <w:tblCellMar>
          <w:top w:w="0" w:type="dxa"/>
          <w:left w:w="0" w:type="dxa"/>
          <w:bottom w:w="0" w:type="dxa"/>
          <w:right w:w="0" w:type="dxa"/>
        </w:tblCellMar>
      </w:tblPr>
      <w:tblGrid>
        <w:gridCol w:w="60"/>
        <w:gridCol w:w="455"/>
        <w:gridCol w:w="215"/>
        <w:gridCol w:w="921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CR1</w:t>
            </w:r>
          </w:p>
        </w:tc>
        <w:tc>
          <w:tcPr>
            <w:tcW w:w="215" w:type="dxa"/>
            <w:tcBorders/>
            <w:vAlign w:val="center"/>
          </w:tcPr>
          <w:p>
            <w:pPr>
              <w:pStyle w:val="TableContents"/>
              <w:bidi w:val="0"/>
              <w:spacing w:before="0" w:after="283"/>
              <w:jc w:val="left"/>
              <w:rPr/>
            </w:pPr>
            <w:r>
              <w:rPr/>
              <w:t xml:space="preserve">= </w:t>
            </w:r>
          </w:p>
        </w:tc>
        <w:tc>
          <w:tcPr>
            <w:tcW w:w="921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320"/>
        <w:gridCol w:w="203"/>
        <w:gridCol w:w="9659"/>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i/>
              </w:rPr>
            </w:pPr>
            <w:r>
              <w:rPr>
                <w:i/>
              </w:rPr>
              <w:t>OS</w:t>
            </w:r>
          </w:p>
        </w:tc>
        <w:tc>
          <w:tcPr>
            <w:tcW w:w="203" w:type="dxa"/>
            <w:tcBorders/>
            <w:vAlign w:val="center"/>
          </w:tcPr>
          <w:p>
            <w:pPr>
              <w:pStyle w:val="TableContents"/>
              <w:bidi w:val="0"/>
              <w:spacing w:before="0" w:after="283"/>
              <w:jc w:val="left"/>
              <w:rPr/>
            </w:pPr>
            <w:r>
              <w:rPr/>
              <w:t xml:space="preserve">= </w:t>
            </w:r>
          </w:p>
        </w:tc>
        <w:tc>
          <w:tcPr>
            <w:tcW w:w="9659" w:type="dxa"/>
            <w:tcBorders/>
            <w:vAlign w:val="center"/>
          </w:tcPr>
          <w:p>
            <w:pPr>
              <w:pStyle w:val="TableContents"/>
              <w:bidi w:val="0"/>
              <w:spacing w:before="0" w:after="283"/>
              <w:jc w:val="left"/>
              <w:rPr/>
            </w:pPr>
            <w:r>
              <w:rPr/>
              <w:t>the number of shares of Common Stock outstanding immediately before the Open of Business on such Ex-Dividend Date;</w:t>
            </w:r>
          </w:p>
        </w:tc>
      </w:tr>
    </w:tbl>
    <w:p>
      <w:pPr>
        <w:pStyle w:val="TextBody"/>
        <w:bidi w:val="0"/>
        <w:spacing w:before="0" w:after="0"/>
        <w:jc w:val="left"/>
        <w:rPr>
          <w:caps w:val="false"/>
          <w:smallCaps w:val="false"/>
        </w:rPr>
      </w:pPr>
      <w:r>
        <w:rPr>
          <w:caps w:val="false"/>
          <w:smallCaps w:val="false"/>
        </w:rPr>
        <w:t> </w:t>
      </w:r>
    </w:p>
    <w:tbl>
      <w:tblPr>
        <w:tblW w:w="10058" w:type="dxa"/>
        <w:jc w:val="left"/>
        <w:tblInd w:w="0" w:type="dxa"/>
        <w:tblLayout w:type="fixed"/>
        <w:tblCellMar>
          <w:top w:w="0" w:type="dxa"/>
          <w:left w:w="0" w:type="dxa"/>
          <w:bottom w:w="0" w:type="dxa"/>
          <w:right w:w="0" w:type="dxa"/>
        </w:tblCellMar>
      </w:tblPr>
      <w:tblGrid>
        <w:gridCol w:w="23"/>
        <w:gridCol w:w="170"/>
        <w:gridCol w:w="215"/>
        <w:gridCol w:w="9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i/>
              </w:rPr>
            </w:pPr>
            <w:r>
              <w:rPr>
                <w:i/>
              </w:rPr>
              <w:t>X</w:t>
            </w:r>
          </w:p>
        </w:tc>
        <w:tc>
          <w:tcPr>
            <w:tcW w:w="215" w:type="dxa"/>
            <w:tcBorders/>
            <w:vAlign w:val="center"/>
          </w:tcPr>
          <w:p>
            <w:pPr>
              <w:pStyle w:val="TableContents"/>
              <w:bidi w:val="0"/>
              <w:spacing w:before="0" w:after="283"/>
              <w:jc w:val="left"/>
              <w:rPr/>
            </w:pPr>
            <w:r>
              <w:rPr/>
              <w:t xml:space="preserve">= </w:t>
            </w:r>
          </w:p>
        </w:tc>
        <w:tc>
          <w:tcPr>
            <w:tcW w:w="9650" w:type="dxa"/>
            <w:tcBorders/>
            <w:vAlign w:val="center"/>
          </w:tcPr>
          <w:p>
            <w:pPr>
              <w:pStyle w:val="TableContents"/>
              <w:bidi w:val="0"/>
              <w:spacing w:before="0" w:after="283"/>
              <w:jc w:val="left"/>
              <w:rPr/>
            </w:pPr>
            <w:r>
              <w:rPr/>
              <w:t>the total number of shares of Common Stock issuable pursuant to such rights, options or warrants;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5"/>
        <w:gridCol w:w="170"/>
        <w:gridCol w:w="985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i/>
              </w:rPr>
            </w:pPr>
            <w:r>
              <w:rPr>
                <w:i/>
              </w:rPr>
              <w:t>Y</w:t>
            </w:r>
          </w:p>
        </w:tc>
        <w:tc>
          <w:tcPr>
            <w:tcW w:w="170" w:type="dxa"/>
            <w:tcBorders/>
            <w:vAlign w:val="center"/>
          </w:tcPr>
          <w:p>
            <w:pPr>
              <w:pStyle w:val="TableContents"/>
              <w:bidi w:val="0"/>
              <w:spacing w:before="0" w:after="283"/>
              <w:jc w:val="left"/>
              <w:rPr/>
            </w:pPr>
            <w:r>
              <w:rPr/>
              <w:t xml:space="preserve">= </w:t>
            </w:r>
          </w:p>
        </w:tc>
        <w:tc>
          <w:tcPr>
            <w:tcW w:w="9857" w:type="dxa"/>
            <w:tcBorders/>
            <w:vAlign w:val="center"/>
          </w:tcPr>
          <w:p>
            <w:pPr>
              <w:pStyle w:val="TableContents"/>
              <w:bidi w:val="0"/>
              <w:spacing w:before="0" w:after="283"/>
              <w:jc w:val="left"/>
              <w:rPr/>
            </w:pPr>
            <w:r>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5.01(C)(i)(3)(a)(I)</w:t>
      </w:r>
      <w:r>
        <w:rPr>
          <w:rFonts w:ascii="Times New Roman;Times;Serif" w:hAnsi="Times New Roman;Times;Serif"/>
          <w:b w:val="false"/>
          <w:i w:val="false"/>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00" w:after="20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Spin-Offs and Other Distributed Property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Distributions Other than Spin-Offs</w:t>
      </w:r>
      <w:r>
        <w:rPr>
          <w:rFonts w:ascii="Times New Roman;Times;Serif" w:hAnsi="Times New Roman;Times;Serif"/>
          <w:b w:val="false"/>
          <w:i w:val="false"/>
          <w:caps w:val="false"/>
          <w:smallCaps w:val="false"/>
          <w:sz w:val="20"/>
        </w:rPr>
        <w:t>.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dividends, distributions, rights, options or warrants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5.05(A)(ii)</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dividends or distributions paid exclusively in cash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5.05(A)(iv)</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rights issued or otherwise distributed pursuant to a stockholder rights plan, except to the extent provided in </w:t>
      </w:r>
      <w:r>
        <w:rPr>
          <w:rFonts w:ascii="Times New Roman;Times;Serif" w:hAnsi="Times New Roman;Times;Serif"/>
          <w:b/>
          <w:i w:val="false"/>
          <w:caps w:val="false"/>
          <w:smallCaps w:val="false"/>
          <w:sz w:val="20"/>
        </w:rPr>
        <w:t>Section 5.05(F)</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Spin-Offs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a distribution solely pursuant to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xml:space="preserve"> will apply; and</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a distribution solely pursuant to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caps w:val="false"/>
          <w:smallCaps w:val="false"/>
          <w:color w:val="FF0000"/>
        </w:rPr>
      </w:pPr>
      <w:r>
        <w:rPr>
          <w:caps w:val="false"/>
          <w:smallCaps w:val="false"/>
          <w:color w:val="FF0000"/>
        </w:rPr>
        <w:drawing>
          <wp:inline distT="0" distB="0" distL="0" distR="0">
            <wp:extent cx="14287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409575"/>
                    </a:xfrm>
                    <a:prstGeom prst="rect">
                      <a:avLst/>
                    </a:prstGeom>
                  </pic:spPr>
                </pic:pic>
              </a:graphicData>
            </a:graphic>
          </wp:inline>
        </w:drawing>
      </w:r>
    </w:p>
    <w:p>
      <w:pPr>
        <w:pStyle w:val="TextBody"/>
        <w:bidi w:val="0"/>
        <w:spacing w:before="0" w:after="0"/>
        <w:ind w:left="1440" w:right="0" w:hanging="0"/>
        <w:jc w:val="center"/>
        <w:rPr>
          <w:caps w:val="false"/>
          <w:smallCaps w:val="false"/>
          <w:color w:val="FF0000"/>
        </w:rPr>
      </w:pPr>
      <w:r>
        <w:rPr>
          <w:caps w:val="false"/>
          <w:smallCaps w:val="false"/>
          <w:color w:val="FF0000"/>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204"/>
        <w:gridCol w:w="9486"/>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CR0</w:t>
            </w:r>
          </w:p>
        </w:tc>
        <w:tc>
          <w:tcPr>
            <w:tcW w:w="204" w:type="dxa"/>
            <w:tcBorders/>
            <w:vAlign w:val="center"/>
          </w:tcPr>
          <w:p>
            <w:pPr>
              <w:pStyle w:val="TableContents"/>
              <w:bidi w:val="0"/>
              <w:spacing w:before="0" w:after="283"/>
              <w:jc w:val="left"/>
              <w:rPr/>
            </w:pPr>
            <w:r>
              <w:rPr/>
              <w:t xml:space="preserve">= </w:t>
            </w:r>
          </w:p>
        </w:tc>
        <w:tc>
          <w:tcPr>
            <w:tcW w:w="9486" w:type="dxa"/>
            <w:tcBorders/>
            <w:vAlign w:val="center"/>
          </w:tcPr>
          <w:p>
            <w:pPr>
              <w:pStyle w:val="TableContents"/>
              <w:bidi w:val="0"/>
              <w:spacing w:before="0" w:after="283"/>
              <w:jc w:val="left"/>
              <w:rPr/>
            </w:pPr>
            <w:r>
              <w:rPr/>
              <w:t>the Conversion Rate in effect immediately before the Open of Business on the Ex-Dividend Date for such distribution;</w:t>
            </w:r>
          </w:p>
        </w:tc>
      </w:tr>
    </w:tbl>
    <w:p>
      <w:pPr>
        <w:pStyle w:val="TextBody"/>
        <w:bidi w:val="0"/>
        <w:spacing w:before="0" w:after="0"/>
        <w:ind w:left="2880" w:right="0" w:hanging="1440"/>
        <w:jc w:val="left"/>
        <w:rPr>
          <w:caps w:val="false"/>
          <w:smallCaps w:val="false"/>
        </w:rPr>
      </w:pPr>
      <w:r>
        <w:rPr>
          <w:caps w:val="false"/>
          <w:smallCaps w:val="false"/>
        </w:rPr>
        <w:t> </w:t>
      </w:r>
    </w:p>
    <w:tbl>
      <w:tblPr>
        <w:tblW w:w="9945" w:type="dxa"/>
        <w:jc w:val="left"/>
        <w:tblInd w:w="0" w:type="dxa"/>
        <w:tblLayout w:type="fixed"/>
        <w:tblCellMar>
          <w:top w:w="0" w:type="dxa"/>
          <w:left w:w="0" w:type="dxa"/>
          <w:bottom w:w="0" w:type="dxa"/>
          <w:right w:w="0" w:type="dxa"/>
        </w:tblCellMar>
      </w:tblPr>
      <w:tblGrid>
        <w:gridCol w:w="60"/>
        <w:gridCol w:w="455"/>
        <w:gridCol w:w="215"/>
        <w:gridCol w:w="921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CR1</w:t>
            </w:r>
          </w:p>
        </w:tc>
        <w:tc>
          <w:tcPr>
            <w:tcW w:w="215" w:type="dxa"/>
            <w:tcBorders/>
            <w:vAlign w:val="center"/>
          </w:tcPr>
          <w:p>
            <w:pPr>
              <w:pStyle w:val="TableContents"/>
              <w:bidi w:val="0"/>
              <w:spacing w:before="0" w:after="283"/>
              <w:jc w:val="left"/>
              <w:rPr/>
            </w:pPr>
            <w:r>
              <w:rPr/>
              <w:t xml:space="preserve">= </w:t>
            </w:r>
          </w:p>
        </w:tc>
        <w:tc>
          <w:tcPr>
            <w:tcW w:w="921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288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90"/>
        <w:gridCol w:w="182"/>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SP</w:t>
            </w:r>
          </w:p>
        </w:tc>
        <w:tc>
          <w:tcPr>
            <w:tcW w:w="182" w:type="dxa"/>
            <w:tcBorders/>
            <w:vAlign w:val="center"/>
          </w:tcPr>
          <w:p>
            <w:pPr>
              <w:pStyle w:val="TableContents"/>
              <w:bidi w:val="0"/>
              <w:spacing w:before="0" w:after="283"/>
              <w:jc w:val="left"/>
              <w:rPr/>
            </w:pPr>
            <w:r>
              <w:rPr/>
              <w:t xml:space="preserve">= </w:t>
            </w:r>
          </w:p>
        </w:tc>
        <w:tc>
          <w:tcPr>
            <w:tcW w:w="9710" w:type="dxa"/>
            <w:tcBorders/>
            <w:vAlign w:val="center"/>
          </w:tcPr>
          <w:p>
            <w:pPr>
              <w:pStyle w:val="TableContents"/>
              <w:bidi w:val="0"/>
              <w:spacing w:before="0" w:after="283"/>
              <w:jc w:val="left"/>
              <w:rPr/>
            </w:pPr>
            <w:r>
              <w:rPr/>
              <w:t>the average of the Last Reported Sale Prices per share of Common Stock for the ten (10) consecutive Trading Days ending on, and including, the Trading Day immediately before such Ex-Dividend Date; and</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515"/>
        <w:gridCol w:w="175"/>
        <w:gridCol w:w="9492"/>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i/>
              </w:rPr>
            </w:pPr>
            <w:r>
              <w:rPr>
                <w:i/>
              </w:rPr>
              <w:t>FMV</w:t>
            </w:r>
          </w:p>
        </w:tc>
        <w:tc>
          <w:tcPr>
            <w:tcW w:w="175" w:type="dxa"/>
            <w:tcBorders/>
            <w:vAlign w:val="center"/>
          </w:tcPr>
          <w:p>
            <w:pPr>
              <w:pStyle w:val="TableContents"/>
              <w:bidi w:val="0"/>
              <w:spacing w:before="0" w:after="283"/>
              <w:jc w:val="left"/>
              <w:rPr/>
            </w:pPr>
            <w:r>
              <w:rPr/>
              <w:t xml:space="preserve">= </w:t>
            </w:r>
          </w:p>
        </w:tc>
        <w:tc>
          <w:tcPr>
            <w:tcW w:w="9492" w:type="dxa"/>
            <w:tcBorders/>
            <w:vAlign w:val="center"/>
          </w:tcPr>
          <w:p>
            <w:pPr>
              <w:pStyle w:val="TableContents"/>
              <w:bidi w:val="0"/>
              <w:spacing w:before="0" w:after="283"/>
              <w:jc w:val="left"/>
              <w:rPr/>
            </w:pPr>
            <w:r>
              <w:rPr/>
              <w:t>the fair market value (as determined by the Board of Directors), as of such Ex-Dividend Date, of the shares of Capital Stock, evidences of indebtedness, assets, property, rights, options or warrants distributed per share of Common Stock pursuant to such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i w:val="false"/>
          <w:caps w:val="false"/>
          <w:smallCaps w:val="false"/>
          <w:sz w:val="20"/>
        </w:rPr>
        <w:t xml:space="preserve">Section 5.05(A)(iii)(1) </w:t>
      </w:r>
      <w:r>
        <w:rPr>
          <w:rFonts w:ascii="Times New Roman;Times;Serif" w:hAnsi="Times New Roman;Times;Serif"/>
          <w:b w:val="false"/>
          <w:i w:val="false"/>
          <w:caps w:val="false"/>
          <w:smallCaps w:val="false"/>
          <w:sz w:val="20"/>
        </w:rPr>
        <w:t xml:space="preserve">(and subject to </w:t>
      </w:r>
      <w:r>
        <w:rPr>
          <w:rFonts w:ascii="Times New Roman;Times;Serif" w:hAnsi="Times New Roman;Times;Serif"/>
          <w:b/>
          <w:i w:val="false"/>
          <w:caps w:val="false"/>
          <w:smallCaps w:val="false"/>
          <w:sz w:val="20"/>
        </w:rPr>
        <w:t>Section 5.05(F)</w:t>
      </w:r>
      <w:r>
        <w:rPr>
          <w:rFonts w:ascii="Times New Roman;Times;Serif" w:hAnsi="Times New Roman;Times;Serif"/>
          <w:b w:val="false"/>
          <w:i w:val="false"/>
          <w:caps w:val="false"/>
          <w:smallCaps w:val="false"/>
          <w:sz w:val="20"/>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xml:space="preserve">”): (x) are deemed to be transferred with such Common Stock; (y) are not exercisable; and (z) are also issued in respect of future issuances of Common Stock, will be deemed not to have been distributed for purposes of this </w:t>
      </w:r>
      <w:r>
        <w:rPr>
          <w:rFonts w:ascii="Times New Roman;Times;Serif" w:hAnsi="Times New Roman;Times;Serif"/>
          <w:b/>
          <w:i w:val="false"/>
          <w:caps w:val="false"/>
          <w:smallCaps w:val="false"/>
          <w:sz w:val="20"/>
        </w:rPr>
        <w:t xml:space="preserve">Section 5.05(A)(iii)(1) </w:t>
      </w:r>
      <w:r>
        <w:rPr>
          <w:rFonts w:ascii="Times New Roman;Times;Serif" w:hAnsi="Times New Roman;Times;Serif"/>
          <w:b w:val="false"/>
          <w:i w:val="false"/>
          <w:caps w:val="false"/>
          <w:smallCaps w:val="false"/>
          <w:sz w:val="20"/>
        </w:rPr>
        <w:t xml:space="preserve">(and no adjustment to the Conversion Rate under this </w:t>
      </w:r>
      <w:r>
        <w:rPr>
          <w:rFonts w:ascii="Times New Roman;Times;Serif" w:hAnsi="Times New Roman;Times;Serif"/>
          <w:b/>
          <w:i w:val="false"/>
          <w:caps w:val="false"/>
          <w:smallCaps w:val="false"/>
          <w:sz w:val="20"/>
        </w:rPr>
        <w:t xml:space="preserve">Section 5.05(A)(iii)(1) </w:t>
      </w:r>
      <w:r>
        <w:rPr>
          <w:rFonts w:ascii="Times New Roman;Times;Serif" w:hAnsi="Times New Roman;Times;Serif"/>
          <w:b w:val="false"/>
          <w:i w:val="false"/>
          <w:caps w:val="false"/>
          <w:smallCaps w:val="false"/>
          <w:sz w:val="20"/>
        </w:rPr>
        <w:t xml:space="preserve">will be required) until the occurrence of the earliest Trigger Event, whereupon such rights, options or warrants will be deemed to have been distributed and an appropriate adjustment (if any is required) to the Conversion Rate will be made pursuant to this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 xml:space="preserve">. If any such right, option or warrant, including any such existing rights, options or warrants distributed before the Issue Date, are subject to events, upon the occurrence of which such rights, options or warrants become exercisable to purchase different securities, evidences of indebtedness or other assets, then the date of the occurrence of any and each such event will be deemed to be the date of distribution and Ex-Dividend Date with respect to new rights, options or warrants with such rights (in which case, the existing rights, options or warrants will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pursuant to this </w:t>
      </w:r>
      <w:r>
        <w:rPr>
          <w:rFonts w:ascii="Times New Roman;Times;Serif" w:hAnsi="Times New Roman;Times;Serif"/>
          <w:b/>
          <w:i w:val="false"/>
          <w:caps w:val="false"/>
          <w:smallCaps w:val="false"/>
          <w:sz w:val="20"/>
        </w:rPr>
        <w:t xml:space="preserve">Section 5.05(A)(iii)(1) </w:t>
      </w:r>
      <w:r>
        <w:rPr>
          <w:rFonts w:ascii="Times New Roman;Times;Serif" w:hAnsi="Times New Roman;Times;Serif"/>
          <w:b w:val="false"/>
          <w:i w:val="false"/>
          <w:caps w:val="false"/>
          <w:smallCaps w:val="false"/>
          <w:sz w:val="20"/>
        </w:rPr>
        <w:t>was made, (x) in the case of any such rights, options or warrants that shall all have been redeemed or purchased without exercise by any holders thereof, upon such final redemption or purchase (I) the Conversion Rate will be readjusted as if such rights, options or warrants had not been issued; and (II) the Conversion Rate will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(y) in the case of such rights, options or warrants that have expired or been terminated without exercise by any holders thereof, the Conversion Rate will be readjusted as if such rights, options and warrants had not been issued.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200" w:after="200"/>
        <w:ind w:left="14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Spin-Offs</w:t>
      </w:r>
      <w:r>
        <w:rPr>
          <w:rFonts w:ascii="Times New Roman;Times;Serif" w:hAnsi="Times New Roman;Times;Serif"/>
          <w:b w:val="false"/>
          <w:i w:val="false"/>
          <w:caps w:val="false"/>
          <w:smallCaps w:val="false"/>
          <w:sz w:val="20"/>
        </w:rPr>
        <w:t xml:space="preserve">.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 or (y)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xml:space="preserve"> will apply), and such Capital Stock or equity interests are listed or quoted (or will be listed or quoted upon the consummation of the transaction)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then the Conversion Rate will be increased based on the following formula:</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hanging="0"/>
        <w:jc w:val="center"/>
        <w:rPr>
          <w:caps w:val="false"/>
          <w:smallCaps w:val="false"/>
          <w:color w:val="FF0000"/>
        </w:rPr>
      </w:pPr>
      <w:r>
        <w:rPr>
          <w:caps w:val="false"/>
          <w:smallCaps w:val="false"/>
          <w:color w:val="FF0000"/>
        </w:rPr>
        <w:drawing>
          <wp:inline distT="0" distB="0" distL="0" distR="0">
            <wp:extent cx="142875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419100"/>
                    </a:xfrm>
                    <a:prstGeom prst="rect">
                      <a:avLst/>
                    </a:prstGeom>
                  </pic:spPr>
                </pic:pic>
              </a:graphicData>
            </a:graphic>
          </wp:inline>
        </w:drawing>
      </w:r>
    </w:p>
    <w:p>
      <w:pPr>
        <w:pStyle w:val="TextBody"/>
        <w:bidi w:val="0"/>
        <w:spacing w:before="0" w:after="0"/>
        <w:ind w:left="1440" w:right="0" w:hanging="0"/>
        <w:jc w:val="center"/>
        <w:rPr>
          <w:caps w:val="false"/>
          <w:smallCaps w:val="false"/>
          <w:color w:val="FF0000"/>
        </w:rPr>
      </w:pPr>
      <w:r>
        <w:rPr>
          <w:caps w:val="false"/>
          <w:smallCaps w:val="false"/>
          <w:color w:val="FF0000"/>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193"/>
        <w:gridCol w:w="9497"/>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CR0</w:t>
            </w:r>
          </w:p>
        </w:tc>
        <w:tc>
          <w:tcPr>
            <w:tcW w:w="193" w:type="dxa"/>
            <w:tcBorders/>
            <w:vAlign w:val="center"/>
          </w:tcPr>
          <w:p>
            <w:pPr>
              <w:pStyle w:val="TableContents"/>
              <w:bidi w:val="0"/>
              <w:spacing w:before="0" w:after="283"/>
              <w:jc w:val="left"/>
              <w:rPr/>
            </w:pPr>
            <w:r>
              <w:rPr/>
              <w:t xml:space="preserve">= </w:t>
            </w:r>
          </w:p>
        </w:tc>
        <w:tc>
          <w:tcPr>
            <w:tcW w:w="9497" w:type="dxa"/>
            <w:tcBorders/>
            <w:vAlign w:val="center"/>
          </w:tcPr>
          <w:p>
            <w:pPr>
              <w:pStyle w:val="TableContents"/>
              <w:bidi w:val="0"/>
              <w:spacing w:before="0" w:after="283"/>
              <w:jc w:val="left"/>
              <w:rPr/>
            </w:pPr>
            <w:r>
              <w:rPr/>
              <w:t>the Conversion Rate in effect immediately before the Close of Business on the last Trading Day of the Spin-Off Valuation Period for such Spin-Off;</w:t>
            </w:r>
          </w:p>
        </w:tc>
      </w:tr>
    </w:tbl>
    <w:p>
      <w:pPr>
        <w:pStyle w:val="TextBody"/>
        <w:bidi w:val="0"/>
        <w:spacing w:before="0" w:after="0"/>
        <w:ind w:left="288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200"/>
        <w:gridCol w:w="9490"/>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CR1</w:t>
            </w:r>
          </w:p>
        </w:tc>
        <w:tc>
          <w:tcPr>
            <w:tcW w:w="200" w:type="dxa"/>
            <w:tcBorders/>
            <w:vAlign w:val="center"/>
          </w:tcPr>
          <w:p>
            <w:pPr>
              <w:pStyle w:val="TableContents"/>
              <w:bidi w:val="0"/>
              <w:spacing w:before="0" w:after="283"/>
              <w:jc w:val="left"/>
              <w:rPr/>
            </w:pPr>
            <w:r>
              <w:rPr/>
              <w:t xml:space="preserve">= </w:t>
            </w:r>
          </w:p>
        </w:tc>
        <w:tc>
          <w:tcPr>
            <w:tcW w:w="9490" w:type="dxa"/>
            <w:tcBorders/>
            <w:vAlign w:val="center"/>
          </w:tcPr>
          <w:p>
            <w:pPr>
              <w:pStyle w:val="TableContents"/>
              <w:bidi w:val="0"/>
              <w:spacing w:before="0" w:after="283"/>
              <w:jc w:val="left"/>
              <w:rPr/>
            </w:pPr>
            <w:r>
              <w:rPr/>
              <w:t>the Conversion Rate in effect immediately after the Close of Business on the last Trading Day of the Spin-Off Valuation Period;</w:t>
            </w:r>
          </w:p>
        </w:tc>
      </w:tr>
    </w:tbl>
    <w:p>
      <w:pPr>
        <w:pStyle w:val="TextBody"/>
        <w:bidi w:val="0"/>
        <w:spacing w:before="0" w:after="0"/>
        <w:ind w:left="288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515"/>
        <w:gridCol w:w="163"/>
        <w:gridCol w:w="9504"/>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i/>
              </w:rPr>
            </w:pPr>
            <w:r>
              <w:rPr>
                <w:i/>
              </w:rPr>
              <w:t>FMV</w:t>
            </w:r>
          </w:p>
        </w:tc>
        <w:tc>
          <w:tcPr>
            <w:tcW w:w="163" w:type="dxa"/>
            <w:tcBorders/>
            <w:vAlign w:val="center"/>
          </w:tcPr>
          <w:p>
            <w:pPr>
              <w:pStyle w:val="TableContents"/>
              <w:bidi w:val="0"/>
              <w:spacing w:before="0" w:after="283"/>
              <w:jc w:val="left"/>
              <w:rPr/>
            </w:pPr>
            <w:r>
              <w:rPr/>
              <w:t xml:space="preserve">= </w:t>
            </w:r>
          </w:p>
        </w:tc>
        <w:tc>
          <w:tcPr>
            <w:tcW w:w="9504" w:type="dxa"/>
            <w:tcBorders/>
            <w:vAlign w:val="center"/>
          </w:tcPr>
          <w:p>
            <w:pPr>
              <w:pStyle w:val="TableContents"/>
              <w:bidi w:val="0"/>
              <w:spacing w:before="0" w:after="283"/>
              <w:jc w:val="left"/>
              <w:rPr/>
            </w:pPr>
            <w:r>
              <w:rPr/>
              <w:t>the product of (x) the average of the Last Reported Sale Prices per share or unit of the Capital Stock or equity interests distributed in such Spin-Off over the ten (10) consecutive Trading Day period (the “</w:t>
            </w:r>
            <w:r>
              <w:rPr>
                <w:b/>
              </w:rPr>
              <w:t>Spin-Off Valuation Period</w:t>
            </w:r>
            <w:r>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90"/>
        <w:gridCol w:w="201"/>
        <w:gridCol w:w="9691"/>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SP</w:t>
            </w:r>
          </w:p>
        </w:tc>
        <w:tc>
          <w:tcPr>
            <w:tcW w:w="201" w:type="dxa"/>
            <w:tcBorders/>
            <w:vAlign w:val="center"/>
          </w:tcPr>
          <w:p>
            <w:pPr>
              <w:pStyle w:val="TableContents"/>
              <w:bidi w:val="0"/>
              <w:spacing w:before="0" w:after="283"/>
              <w:jc w:val="left"/>
              <w:rPr/>
            </w:pPr>
            <w:r>
              <w:rPr/>
              <w:t xml:space="preserve">= </w:t>
            </w:r>
          </w:p>
        </w:tc>
        <w:tc>
          <w:tcPr>
            <w:tcW w:w="9691" w:type="dxa"/>
            <w:tcBorders/>
            <w:vAlign w:val="center"/>
          </w:tcPr>
          <w:p>
            <w:pPr>
              <w:pStyle w:val="TableContents"/>
              <w:bidi w:val="0"/>
              <w:spacing w:before="0" w:after="283"/>
              <w:jc w:val="left"/>
              <w:rPr/>
            </w:pPr>
            <w:r>
              <w:rPr/>
              <w:t>the average of the Last Reported Sale Prices per share of Common Stock for each Trading Day in the Spin-Off Valuation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dividend or distribution of the type set forth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xml:space="preserve">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then the Conversion Rate will be increased based on the following formula: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color w:val="FF0000"/>
        </w:rPr>
      </w:pPr>
      <w:r>
        <w:rPr>
          <w:caps w:val="false"/>
          <w:smallCaps w:val="false"/>
          <w:color w:val="FF0000"/>
        </w:rPr>
        <w:drawing>
          <wp:inline distT="0" distB="0" distL="0" distR="0">
            <wp:extent cx="142875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19100"/>
                    </a:xfrm>
                    <a:prstGeom prst="rect">
                      <a:avLst/>
                    </a:prstGeom>
                  </pic:spPr>
                </pic:pic>
              </a:graphicData>
            </a:graphic>
          </wp:inline>
        </w:drawing>
      </w:r>
    </w:p>
    <w:p>
      <w:pPr>
        <w:pStyle w:val="TextBody"/>
        <w:bidi w:val="0"/>
        <w:spacing w:before="0" w:after="0"/>
        <w:ind w:left="720" w:right="0" w:hanging="0"/>
        <w:jc w:val="center"/>
        <w:rPr>
          <w:caps w:val="false"/>
          <w:smallCaps w:val="false"/>
          <w:color w:val="FF0000"/>
        </w:rPr>
      </w:pPr>
      <w:r>
        <w:rPr>
          <w:caps w:val="false"/>
          <w:smallCaps w:val="false"/>
          <w:color w:val="FF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199"/>
        <w:gridCol w:w="9491"/>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CR0</w:t>
            </w:r>
          </w:p>
        </w:tc>
        <w:tc>
          <w:tcPr>
            <w:tcW w:w="199" w:type="dxa"/>
            <w:tcBorders/>
            <w:vAlign w:val="center"/>
          </w:tcPr>
          <w:p>
            <w:pPr>
              <w:pStyle w:val="TableContents"/>
              <w:bidi w:val="0"/>
              <w:spacing w:before="0" w:after="283"/>
              <w:jc w:val="left"/>
              <w:rPr/>
            </w:pPr>
            <w:r>
              <w:rPr/>
              <w:t xml:space="preserve">= </w:t>
            </w:r>
          </w:p>
        </w:tc>
        <w:tc>
          <w:tcPr>
            <w:tcW w:w="9491" w:type="dxa"/>
            <w:tcBorders/>
            <w:vAlign w:val="center"/>
          </w:tcPr>
          <w:p>
            <w:pPr>
              <w:pStyle w:val="TableContents"/>
              <w:bidi w:val="0"/>
              <w:spacing w:before="0" w:after="283"/>
              <w:jc w:val="left"/>
              <w:rPr/>
            </w:pPr>
            <w:r>
              <w:rPr/>
              <w:t>the Conversion Rate in effect immediately before the Open of Business on the Ex-Dividend Date for such dividend or distribution;</w:t>
            </w:r>
          </w:p>
        </w:tc>
      </w:tr>
    </w:tbl>
    <w:p>
      <w:pPr>
        <w:pStyle w:val="TextBody"/>
        <w:bidi w:val="0"/>
        <w:spacing w:before="0" w:after="0"/>
        <w:ind w:left="2160" w:right="0" w:hanging="1440"/>
        <w:jc w:val="left"/>
        <w:rPr>
          <w:caps w:val="false"/>
          <w:smallCaps w:val="false"/>
        </w:rPr>
      </w:pPr>
      <w:r>
        <w:rPr>
          <w:caps w:val="false"/>
          <w:smallCaps w:val="false"/>
        </w:rPr>
        <w:t> </w:t>
      </w:r>
    </w:p>
    <w:tbl>
      <w:tblPr>
        <w:tblW w:w="9945" w:type="dxa"/>
        <w:jc w:val="left"/>
        <w:tblInd w:w="0" w:type="dxa"/>
        <w:tblLayout w:type="fixed"/>
        <w:tblCellMar>
          <w:top w:w="0" w:type="dxa"/>
          <w:left w:w="0" w:type="dxa"/>
          <w:bottom w:w="0" w:type="dxa"/>
          <w:right w:w="0" w:type="dxa"/>
        </w:tblCellMar>
      </w:tblPr>
      <w:tblGrid>
        <w:gridCol w:w="60"/>
        <w:gridCol w:w="455"/>
        <w:gridCol w:w="215"/>
        <w:gridCol w:w="921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CR1</w:t>
            </w:r>
          </w:p>
        </w:tc>
        <w:tc>
          <w:tcPr>
            <w:tcW w:w="215" w:type="dxa"/>
            <w:tcBorders/>
            <w:vAlign w:val="center"/>
          </w:tcPr>
          <w:p>
            <w:pPr>
              <w:pStyle w:val="TableContents"/>
              <w:bidi w:val="0"/>
              <w:spacing w:before="0" w:after="283"/>
              <w:jc w:val="left"/>
              <w:rPr/>
            </w:pPr>
            <w:r>
              <w:rPr/>
              <w:t xml:space="preserve">= </w:t>
            </w:r>
          </w:p>
        </w:tc>
        <w:tc>
          <w:tcPr>
            <w:tcW w:w="921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90"/>
        <w:gridCol w:w="202"/>
        <w:gridCol w:w="969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SP</w:t>
            </w:r>
          </w:p>
        </w:tc>
        <w:tc>
          <w:tcPr>
            <w:tcW w:w="202" w:type="dxa"/>
            <w:tcBorders/>
            <w:vAlign w:val="center"/>
          </w:tcPr>
          <w:p>
            <w:pPr>
              <w:pStyle w:val="TableContents"/>
              <w:bidi w:val="0"/>
              <w:spacing w:before="0" w:after="283"/>
              <w:jc w:val="left"/>
              <w:rPr/>
            </w:pPr>
            <w:r>
              <w:rPr/>
              <w:t xml:space="preserve">= </w:t>
            </w:r>
          </w:p>
        </w:tc>
        <w:tc>
          <w:tcPr>
            <w:tcW w:w="9690" w:type="dxa"/>
            <w:tcBorders/>
            <w:vAlign w:val="center"/>
          </w:tcPr>
          <w:p>
            <w:pPr>
              <w:pStyle w:val="TableContents"/>
              <w:bidi w:val="0"/>
              <w:spacing w:before="0" w:after="283"/>
              <w:jc w:val="left"/>
              <w:rPr/>
            </w:pPr>
            <w:r>
              <w:rPr/>
              <w:t>the Last Reported Sale Price per share of Common Stock on the Trading Day immediately before such Ex-Dividend Date; and</w:t>
            </w:r>
          </w:p>
        </w:tc>
      </w:tr>
    </w:tbl>
    <w:p>
      <w:pPr>
        <w:pStyle w:val="TextBody"/>
        <w:bidi w:val="0"/>
        <w:spacing w:before="0" w:after="0"/>
        <w:jc w:val="left"/>
        <w:rPr>
          <w:caps w:val="false"/>
          <w:smallCaps w:val="false"/>
        </w:rPr>
      </w:pPr>
      <w:r>
        <w:rPr>
          <w:caps w:val="false"/>
          <w:smallCaps w:val="false"/>
        </w:rPr>
        <w:t> </w:t>
      </w:r>
    </w:p>
    <w:tbl>
      <w:tblPr>
        <w:tblW w:w="8813" w:type="dxa"/>
        <w:jc w:val="left"/>
        <w:tblInd w:w="0" w:type="dxa"/>
        <w:tblLayout w:type="fixed"/>
        <w:tblCellMar>
          <w:top w:w="0" w:type="dxa"/>
          <w:left w:w="0" w:type="dxa"/>
          <w:bottom w:w="0" w:type="dxa"/>
          <w:right w:w="0" w:type="dxa"/>
        </w:tblCellMar>
      </w:tblPr>
      <w:tblGrid>
        <w:gridCol w:w="23"/>
        <w:gridCol w:w="200"/>
        <w:gridCol w:w="215"/>
        <w:gridCol w:w="83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i/>
              </w:rPr>
            </w:pPr>
            <w:r>
              <w:rPr>
                <w:i/>
              </w:rPr>
              <w:t>D</w:t>
            </w:r>
          </w:p>
        </w:tc>
        <w:tc>
          <w:tcPr>
            <w:tcW w:w="215" w:type="dxa"/>
            <w:tcBorders/>
            <w:vAlign w:val="center"/>
          </w:tcPr>
          <w:p>
            <w:pPr>
              <w:pStyle w:val="TableContents"/>
              <w:bidi w:val="0"/>
              <w:spacing w:before="0" w:after="283"/>
              <w:jc w:val="left"/>
              <w:rPr/>
            </w:pPr>
            <w:r>
              <w:rPr/>
              <w:t xml:space="preserve">= </w:t>
            </w:r>
          </w:p>
        </w:tc>
        <w:tc>
          <w:tcPr>
            <w:tcW w:w="8375" w:type="dxa"/>
            <w:tcBorders/>
            <w:vAlign w:val="center"/>
          </w:tcPr>
          <w:p>
            <w:pPr>
              <w:pStyle w:val="TableContents"/>
              <w:bidi w:val="0"/>
              <w:spacing w:before="0" w:after="283"/>
              <w:jc w:val="left"/>
              <w:rPr/>
            </w:pPr>
            <w:r>
              <w:rPr/>
              <w:t>the cash amount distributed per share of Common Stock in such dividend or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Tender Offers or Exchange Offers</w:t>
      </w:r>
      <w:r>
        <w:rPr>
          <w:rFonts w:ascii="Times New Roman;Times;Serif" w:hAnsi="Times New Roman;Times;Serif"/>
          <w:b w:val="false"/>
          <w:i w:val="false"/>
          <w:caps w:val="false"/>
          <w:smallCaps w:val="false"/>
          <w:sz w:val="20"/>
        </w:rPr>
        <w:t>. If the Company or any of its Subsidiaries makes a payment in respect of a tender offer or exchange offer for shares of Common Stock (other than solely pursuant to an odd-lot tender offer pursuant to Rule 13e-4(h)(5) under the Exchange Act), and the value (determined as of the Expiration Time by the Board of Directors) of the cash and other consideration paid per share of Common Stock in such tender or exchange offer exceeds the Last Reported Sale Price per share of Common Stock on the Trading Day immediately after the last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on which tenders or exchanges may be made pursuant to such tender or exchange offer (as it may be amended), then the Conversion Rate will be increased based on the following formula: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hanging="0"/>
        <w:jc w:val="center"/>
        <w:rPr>
          <w:caps w:val="false"/>
          <w:smallCaps w:val="false"/>
          <w:color w:val="FF0000"/>
        </w:rPr>
      </w:pPr>
      <w:r>
        <w:rPr>
          <w:caps w:val="false"/>
          <w:smallCaps w:val="false"/>
          <w:color w:val="FF0000"/>
        </w:rPr>
        <w:drawing>
          <wp:inline distT="0" distB="0" distL="0" distR="0">
            <wp:extent cx="142875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 cy="342900"/>
                    </a:xfrm>
                    <a:prstGeom prst="rect">
                      <a:avLst/>
                    </a:prstGeom>
                  </pic:spPr>
                </pic:pic>
              </a:graphicData>
            </a:graphic>
          </wp:inline>
        </w:drawing>
      </w:r>
    </w:p>
    <w:p>
      <w:pPr>
        <w:pStyle w:val="TextBody"/>
        <w:bidi w:val="0"/>
        <w:spacing w:before="0" w:after="0"/>
        <w:ind w:left="720" w:right="0" w:hanging="0"/>
        <w:jc w:val="center"/>
        <w:rPr>
          <w:caps w:val="false"/>
          <w:smallCaps w:val="false"/>
          <w:color w:val="FF0000"/>
        </w:rPr>
      </w:pPr>
      <w:r>
        <w:rPr>
          <w:caps w:val="false"/>
          <w:smallCaps w:val="false"/>
          <w:color w:val="FF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186"/>
        <w:gridCol w:w="9504"/>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CR0</w:t>
            </w:r>
          </w:p>
        </w:tc>
        <w:tc>
          <w:tcPr>
            <w:tcW w:w="186" w:type="dxa"/>
            <w:tcBorders/>
            <w:vAlign w:val="center"/>
          </w:tcPr>
          <w:p>
            <w:pPr>
              <w:pStyle w:val="TableContents"/>
              <w:bidi w:val="0"/>
              <w:spacing w:before="0" w:after="283"/>
              <w:jc w:val="left"/>
              <w:rPr/>
            </w:pPr>
            <w:r>
              <w:rPr/>
              <w:t xml:space="preserve">= </w:t>
            </w:r>
          </w:p>
        </w:tc>
        <w:tc>
          <w:tcPr>
            <w:tcW w:w="9504" w:type="dxa"/>
            <w:tcBorders/>
            <w:vAlign w:val="center"/>
          </w:tcPr>
          <w:p>
            <w:pPr>
              <w:pStyle w:val="TableContents"/>
              <w:bidi w:val="0"/>
              <w:spacing w:before="0" w:after="283"/>
              <w:jc w:val="left"/>
              <w:rPr/>
            </w:pPr>
            <w:r>
              <w:rPr/>
              <w:t>the Conversion Rate in effect immediately before the Close of Business on the last Trading Day of the Tender/Exchange Offer Valuation Period for such tender or exchange offer;</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55"/>
        <w:gridCol w:w="195"/>
        <w:gridCol w:w="949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240" w:before="0" w:after="283"/>
              <w:jc w:val="left"/>
              <w:rPr>
                <w:i/>
              </w:rPr>
            </w:pPr>
            <w:r>
              <w:rPr>
                <w:i/>
              </w:rPr>
              <w:t>CR1</w:t>
            </w:r>
          </w:p>
        </w:tc>
        <w:tc>
          <w:tcPr>
            <w:tcW w:w="195" w:type="dxa"/>
            <w:tcBorders/>
            <w:vAlign w:val="center"/>
          </w:tcPr>
          <w:p>
            <w:pPr>
              <w:pStyle w:val="TableContents"/>
              <w:bidi w:val="0"/>
              <w:spacing w:before="0" w:after="283"/>
              <w:jc w:val="left"/>
              <w:rPr/>
            </w:pPr>
            <w:r>
              <w:rPr/>
              <w:t xml:space="preserve">= </w:t>
            </w:r>
          </w:p>
        </w:tc>
        <w:tc>
          <w:tcPr>
            <w:tcW w:w="9495" w:type="dxa"/>
            <w:tcBorders/>
            <w:vAlign w:val="center"/>
          </w:tcPr>
          <w:p>
            <w:pPr>
              <w:pStyle w:val="TableContents"/>
              <w:bidi w:val="0"/>
              <w:spacing w:before="0" w:after="283"/>
              <w:jc w:val="left"/>
              <w:rPr/>
            </w:pPr>
            <w:r>
              <w:rPr/>
              <w:t>the Conversion Rate in effect immediately after the Close of Business on the last Trading Day of the Tender/Exchange Offer Valuation Period;</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335"/>
        <w:gridCol w:w="175"/>
        <w:gridCol w:w="9672"/>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i/>
              </w:rPr>
            </w:pPr>
            <w:r>
              <w:rPr>
                <w:i/>
              </w:rPr>
              <w:t>AC</w:t>
            </w:r>
          </w:p>
        </w:tc>
        <w:tc>
          <w:tcPr>
            <w:tcW w:w="175" w:type="dxa"/>
            <w:tcBorders/>
            <w:vAlign w:val="center"/>
          </w:tcPr>
          <w:p>
            <w:pPr>
              <w:pStyle w:val="TableContents"/>
              <w:bidi w:val="0"/>
              <w:spacing w:before="0" w:after="283"/>
              <w:jc w:val="left"/>
              <w:rPr/>
            </w:pPr>
            <w:r>
              <w:rPr/>
              <w:t xml:space="preserve">= </w:t>
            </w:r>
          </w:p>
        </w:tc>
        <w:tc>
          <w:tcPr>
            <w:tcW w:w="9672" w:type="dxa"/>
            <w:tcBorders/>
            <w:vAlign w:val="center"/>
          </w:tcPr>
          <w:p>
            <w:pPr>
              <w:pStyle w:val="TableContents"/>
              <w:bidi w:val="0"/>
              <w:spacing w:before="0" w:after="283"/>
              <w:jc w:val="left"/>
              <w:rPr/>
            </w:pPr>
            <w:r>
              <w:rPr/>
              <w:t>the aggregate value (determined as of the time (the “</w:t>
            </w:r>
            <w:r>
              <w:rPr>
                <w:b/>
              </w:rPr>
              <w:t>Expiration Time</w:t>
            </w:r>
            <w:r>
              <w:rPr/>
              <w:t>”) such tender or exchange offer expires by the Board of Directors) of all cash and other consideration paid or payable for shares of Common Stock purchased or exchanged in such tender or exchange offer;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40"/>
        <w:gridCol w:w="182"/>
        <w:gridCol w:w="9523"/>
      </w:tblGrid>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lineRule="auto" w:line="240" w:before="0" w:after="283"/>
              <w:jc w:val="left"/>
              <w:rPr>
                <w:i/>
              </w:rPr>
            </w:pPr>
            <w:r>
              <w:rPr>
                <w:i/>
              </w:rPr>
              <w:t>OS0</w:t>
            </w:r>
          </w:p>
        </w:tc>
        <w:tc>
          <w:tcPr>
            <w:tcW w:w="182" w:type="dxa"/>
            <w:tcBorders/>
            <w:vAlign w:val="center"/>
          </w:tcPr>
          <w:p>
            <w:pPr>
              <w:pStyle w:val="TableContents"/>
              <w:bidi w:val="0"/>
              <w:spacing w:before="0" w:after="283"/>
              <w:jc w:val="left"/>
              <w:rPr/>
            </w:pPr>
            <w:r>
              <w:rPr/>
              <w:t xml:space="preserve">= </w:t>
            </w:r>
          </w:p>
        </w:tc>
        <w:tc>
          <w:tcPr>
            <w:tcW w:w="9523" w:type="dxa"/>
            <w:tcBorders/>
            <w:vAlign w:val="center"/>
          </w:tcPr>
          <w:p>
            <w:pPr>
              <w:pStyle w:val="TableContents"/>
              <w:bidi w:val="0"/>
              <w:spacing w:before="0" w:after="283"/>
              <w:jc w:val="left"/>
              <w:rPr/>
            </w:pPr>
            <w:r>
              <w:rPr/>
              <w:t>the number of shares of Common Stock outstanding immediately before the Expiration Time (including all shares of Common Stock accepted for purchase or exchange in such tender or exchange offer);</w:t>
            </w:r>
          </w:p>
        </w:tc>
      </w:tr>
    </w:tbl>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200" w:after="200"/>
        <w:ind w:left="2160" w:right="0" w:hanging="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40"/>
        <w:gridCol w:w="182"/>
        <w:gridCol w:w="9523"/>
      </w:tblGrid>
      <w:tr>
        <w:trPr/>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lineRule="auto" w:line="240" w:before="0" w:after="283"/>
              <w:jc w:val="left"/>
              <w:rPr>
                <w:i/>
              </w:rPr>
            </w:pPr>
            <w:r>
              <w:rPr>
                <w:i/>
              </w:rPr>
              <w:t>OS1</w:t>
            </w:r>
          </w:p>
        </w:tc>
        <w:tc>
          <w:tcPr>
            <w:tcW w:w="182" w:type="dxa"/>
            <w:tcBorders/>
            <w:vAlign w:val="center"/>
          </w:tcPr>
          <w:p>
            <w:pPr>
              <w:pStyle w:val="TableContents"/>
              <w:bidi w:val="0"/>
              <w:spacing w:before="0" w:after="283"/>
              <w:jc w:val="left"/>
              <w:rPr/>
            </w:pPr>
            <w:r>
              <w:rPr/>
              <w:t xml:space="preserve">= </w:t>
            </w:r>
          </w:p>
        </w:tc>
        <w:tc>
          <w:tcPr>
            <w:tcW w:w="9523" w:type="dxa"/>
            <w:tcBorders/>
            <w:vAlign w:val="center"/>
          </w:tcPr>
          <w:p>
            <w:pPr>
              <w:pStyle w:val="TableContents"/>
              <w:bidi w:val="0"/>
              <w:spacing w:before="0" w:after="283"/>
              <w:jc w:val="left"/>
              <w:rPr/>
            </w:pPr>
            <w:r>
              <w:rPr/>
              <w:t>the number of shares of Common Stock outstanding immediately after the Expiration Time (excluding all shares of Common Stock accepted for purchase or exchange in such tender or exchange offer); and</w:t>
            </w:r>
          </w:p>
        </w:tc>
      </w:tr>
    </w:tbl>
    <w:p>
      <w:pPr>
        <w:pStyle w:val="TextBody"/>
        <w:bidi w:val="0"/>
        <w:spacing w:before="0" w:after="0"/>
        <w:ind w:left="216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290"/>
        <w:gridCol w:w="176"/>
        <w:gridCol w:w="9716"/>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SP</w:t>
            </w:r>
          </w:p>
        </w:tc>
        <w:tc>
          <w:tcPr>
            <w:tcW w:w="176" w:type="dxa"/>
            <w:tcBorders/>
            <w:vAlign w:val="center"/>
          </w:tcPr>
          <w:p>
            <w:pPr>
              <w:pStyle w:val="TableContents"/>
              <w:bidi w:val="0"/>
              <w:spacing w:before="0" w:after="283"/>
              <w:jc w:val="left"/>
              <w:rPr/>
            </w:pPr>
            <w:r>
              <w:rPr/>
              <w:t xml:space="preserve">= </w:t>
            </w:r>
          </w:p>
        </w:tc>
        <w:tc>
          <w:tcPr>
            <w:tcW w:w="9716" w:type="dxa"/>
            <w:tcBorders/>
            <w:vAlign w:val="center"/>
          </w:tcPr>
          <w:p>
            <w:pPr>
              <w:pStyle w:val="TableContents"/>
              <w:bidi w:val="0"/>
              <w:spacing w:before="0" w:after="283"/>
              <w:jc w:val="left"/>
              <w:rPr/>
            </w:pPr>
            <w:r>
              <w:rPr/>
              <w:t>the average of the Last Reported Sale Prices per share of Common Stock over the ten (10) consecutive Trading Day period (the “</w:t>
            </w:r>
            <w:r>
              <w:rPr>
                <w:b/>
              </w:rPr>
              <w:t>Tender/Exchange Offer Valuation Period</w:t>
            </w:r>
            <w:r>
              <w:rPr/>
              <w:t>”) beginning on, and including, the Trading Day immediately after the Expiration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will in no event be adjusted down pursuant to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xml:space="preserve">, except to the extent provided in the immediately following paragraph. Notwithstanding anything to the contrary in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any (i)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Adjustments in Certain Cases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Where Holders Participate in the Transaction or Event Without Conversion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the Company will not be obligated to adjust the Conversion Rate on account of a transaction or other event otherwise requiring an adjustment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(other than a stock split or combination of the type set forth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a tender or exchange offer of the type set forth in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Certain Events</w:t>
      </w:r>
      <w:r>
        <w:rPr>
          <w:rFonts w:ascii="Times New Roman;Times;Serif" w:hAnsi="Times New Roman;Times;Serif"/>
          <w:b w:val="false"/>
          <w:i w:val="false"/>
          <w:caps w:val="false"/>
          <w:smallCaps w:val="false"/>
          <w:sz w:val="20"/>
        </w:rPr>
        <w:t xml:space="preserve">. The Company will not be required to adjust the Conversion Rate except as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Without limiting the foregoing, the Company will not be obligated to adjust the Conversion Rate on account 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except as otherwise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the sale of shares of Common Stock for a purchase price that is less than the market price per share of Common Stock or less than the Conversion Price;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issuance of any shares of Common Stock or options or rights to purchase shares of Common Stock pursuant to any present or future employee, director or consultant benefit plan or program of, or assumed by, the Company or any of its Subsidiaries;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issuance of any shares of Common Stock pursuant to any option, warrant, right or convertible or exchangeable security of the Company outstanding as of the Issue Date;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solely a change in the par value of the Common Stock;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accrued and unpaid Special Interest or Additional Interest, if any, on the Notes.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 adjustment to the Conversion Rate otherwise required by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would result in a change of less than one percent (1%) to the Conversion Rate, then, 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the date the Company calls any Notes for Redemption; and (v) February 15, 2030.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Adjustments Not Yet Effective</w:t>
      </w:r>
      <w:r>
        <w:rPr>
          <w:rFonts w:ascii="Times New Roman;Times;Serif" w:hAnsi="Times New Roman;Times;Serif"/>
          <w:b w:val="false"/>
          <w:i w:val="false"/>
          <w:caps w:val="false"/>
          <w:smallCaps w:val="false"/>
          <w:sz w:val="20"/>
        </w:rPr>
        <w:t>. Notwithstanding anything to the contrary in this Indenture or the Notes,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Note is to be converted pursuant to Physical Settlement or Combination Settlement;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Record Date, effective date or Expiration Time for any event that requires an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has occurred on or before the Conversion Date for such Conversion (in the case of Physical Settlement) or any VWAP Trading Day in the Observation Period for such Conversion (in the case of Combination Settlement), but an adjustment to the Conversion Rate for such event has not yet become effective as of such Conversion Date or such VWAP Trading Day, as applicable;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Consideration due upon such Conversion includes any whole shares of Common Stock (in the case of Physical Settlement) or due in respect of such VWAP Trading Day includes any whole or fractional shares of Common Stock (in the case of Combination Settlement);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shares are not entitled to participate in such event (because they were not held on the related Record Date or otherwise),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solely for purposes of such conversion, the Company will, without duplication, give effect to such adjustment on such Conversion Date (in the case of Physical Settlement) or on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Conversion Rate Adjustments where Converting Holders Participate in the Relevant Transaction or Event</w:t>
      </w:r>
      <w:r>
        <w:rPr>
          <w:rFonts w:ascii="Times New Roman;Times;Serif" w:hAnsi="Times New Roman;Times;Serif"/>
          <w:b w:val="false"/>
          <w:i w:val="false"/>
          <w:caps w:val="false"/>
          <w:smallCaps w:val="false"/>
          <w:sz w:val="20"/>
        </w:rPr>
        <w:t>. Notwithstanding anything to the contrary in this Indenture or the Notes,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Conversion Rate adjustment for any dividend or distribution becomes effective on any Ex-Dividend Date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Note is to be converted pursuant to Physical Settlement or Combination Settlement;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- 59 -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such shares would be entitled to participate in such dividend or distribution (including pursuant to </w:t>
      </w:r>
      <w:r>
        <w:rPr>
          <w:rFonts w:ascii="Times New Roman;Times;Serif" w:hAnsi="Times New Roman;Times;Serif"/>
          <w:b/>
          <w:i w:val="false"/>
          <w:caps w:val="false"/>
          <w:smallCaps w:val="false"/>
          <w:sz w:val="20"/>
        </w:rPr>
        <w:t>Section 5.02(C)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Stockholder Rights Plans</w:t>
      </w:r>
      <w:r>
        <w:rPr>
          <w:rFonts w:ascii="Times New Roman;Times;Serif" w:hAnsi="Times New Roman;Times;Serif"/>
          <w:b w:val="false"/>
          <w:i w:val="false"/>
          <w:caps w:val="false"/>
          <w:smallCaps w:val="false"/>
          <w:sz w:val="20"/>
        </w:rPr>
        <w:t xml:space="preserve">.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 xml:space="preserve"> 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Limitation on Effecting Transactions Resulting in Certain Adjustments</w:t>
      </w:r>
      <w:r>
        <w:rPr>
          <w:rFonts w:ascii="Times New Roman;Times;Serif" w:hAnsi="Times New Roman;Times;Serif"/>
          <w:b w:val="false"/>
          <w:i w:val="false"/>
          <w:caps w:val="false"/>
          <w:smallCaps w:val="false"/>
          <w:sz w:val="20"/>
        </w:rPr>
        <w:t xml:space="preserve">. The Company will not engage in or be a party to any transaction or event that would require the Conversion Rate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an amount that would result in the Conversion Price per share of Common Stock being less than the par value per share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Equitable Adjustments to Prices</w:t>
      </w:r>
      <w:r>
        <w:rPr>
          <w:rFonts w:ascii="Times New Roman;Times;Serif" w:hAnsi="Times New Roman;Times;Serif"/>
          <w:b w:val="false"/>
          <w:i w:val="false"/>
          <w:caps w:val="false"/>
          <w:smallCaps w:val="false"/>
          <w:sz w:val="20"/>
        </w:rPr>
        <w:t>. Whenever any provision of this Indenture requires the Company to calculate the Last Reported Sale Prices, the Daily VWAPs, the Daily Conversion Values, the Daily Cash Amounts or the Daily Share Amounts over a span of multiple days (including, without limitation, over an Observation Period and the period, if any, for determining the Stock Price for purposes of a Make-Whole Fundamental Change), the Company will, acting in good faith and in a commercially reasonable manner, make appropriate adjustments to such calculations to account for any adjustment to the Conversion Rate that becomes effective, or any event requiring an adjustment to the Conversion Rate where the Ex-Dividend Date, effective date or Expiration Date, as applicable, of such event occurs, at any time during the period when the Last Reported Sale Prices, the Daily VWAPs, the Daily Conversion Values, the Daily Cash Amounts or the Daily Share Amounts are to be calculated.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Calculation of Number of Outstanding Shares of Common Stock</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All calculations with respect to the Conversion Rate and adjustments thereto will be made to the nearest 1/10,000th of a share of Common Stock (with 5/100,000ths rounded upward).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Notice of Conversion Rate Adjustments</w:t>
      </w:r>
      <w:r>
        <w:rPr>
          <w:rFonts w:ascii="Times New Roman;Times;Serif" w:hAnsi="Times New Roman;Times;Serif"/>
          <w:b w:val="false"/>
          <w:i w:val="false"/>
          <w:caps w:val="false"/>
          <w:smallCaps w:val="false"/>
          <w:sz w:val="20"/>
        </w:rPr>
        <w:t xml:space="preserve">. Upon the effectiveness of any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5.06.     </w:t>
      </w:r>
      <w:r>
        <w:rPr>
          <w:rFonts w:ascii="Times New Roman;Times;Serif" w:hAnsi="Times New Roman;Times;Serif"/>
          <w:b/>
          <w:i w:val="false"/>
          <w:smallCaps/>
          <w:sz w:val="20"/>
        </w:rPr>
        <w:t>Voluntary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Voluntary Increases</w:t>
      </w:r>
      <w:r>
        <w:rPr>
          <w:rFonts w:ascii="Times New Roman;Times;Serif" w:hAnsi="Times New Roman;Times;Serif"/>
          <w:b w:val="false"/>
          <w:i w:val="false"/>
          <w:caps w:val="false"/>
          <w:smallCaps w:val="false"/>
          <w:sz w:val="20"/>
        </w:rPr>
        <w:t xml:space="preserve">. If the Board of Directors determines to increase the Conversion Rate pursuant to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then, at least fifteen (15) Business Days before such increase, the Company will send notice to each Holder, the Trustee and the Conversion Agent of such increase, the amount thereof and the period during which such increase will be in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5.07.     </w:t>
      </w:r>
      <w:r>
        <w:rPr>
          <w:rFonts w:ascii="Times New Roman;Times;Serif" w:hAnsi="Times New Roman;Times;Serif"/>
          <w:b/>
          <w:i w:val="false"/>
          <w:smallCaps/>
          <w:sz w:val="20"/>
        </w:rPr>
        <w:t>Adjustments to the Conversion Rate in Connection with a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If a Make-Whole Fundamental Change occurs and the Conversion Date for the conversion of a Note occurs during the related Make-Whole Fundamental Change Conversion Period, then, subject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the Conversion Rate applicable to such conversion will be increased by a number of shares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set forth in the table below corresponding (after interpolation as provided in, and subject to, the provisions below) to the Make-Whole Fundamental Change Effective Date and the Stock Price of such Make-Whole Fundamental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1520"/>
        <w:gridCol w:w="695"/>
        <w:gridCol w:w="695"/>
        <w:gridCol w:w="695"/>
        <w:gridCol w:w="695"/>
        <w:gridCol w:w="695"/>
        <w:gridCol w:w="695"/>
        <w:gridCol w:w="695"/>
        <w:gridCol w:w="635"/>
        <w:gridCol w:w="635"/>
        <w:gridCol w:w="635"/>
        <w:gridCol w:w="650"/>
      </w:tblGrid>
      <w:tr>
        <w:trPr/>
        <w:tc>
          <w:tcPr>
            <w:tcW w:w="1520" w:type="dxa"/>
            <w:tcBorders/>
            <w:vAlign w:val="center"/>
          </w:tcPr>
          <w:p>
            <w:pPr>
              <w:pStyle w:val="TableContents"/>
              <w:bidi w:val="0"/>
              <w:spacing w:before="0" w:after="283"/>
              <w:jc w:val="left"/>
              <w:rPr/>
            </w:pPr>
            <w:r>
              <w:rPr/>
              <w:t> </w:t>
            </w:r>
          </w:p>
        </w:tc>
        <w:tc>
          <w:tcPr>
            <w:tcW w:w="6770" w:type="dxa"/>
            <w:gridSpan w:val="1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Price</w:t>
            </w:r>
          </w:p>
        </w:tc>
        <w:tc>
          <w:tcPr>
            <w:tcW w:w="650" w:type="dxa"/>
            <w:tcBorders/>
            <w:vAlign w:val="center"/>
          </w:tcPr>
          <w:p>
            <w:pPr>
              <w:pStyle w:val="TableContents"/>
              <w:bidi w:val="0"/>
              <w:spacing w:before="0" w:after="283"/>
              <w:jc w:val="center"/>
              <w:rPr/>
            </w:pPr>
            <w:r>
              <w:rPr/>
              <w:t> </w:t>
            </w:r>
          </w:p>
        </w:tc>
      </w:tr>
      <w:tr>
        <w:trPr/>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Make-Whole</w:t>
              <w:br/>
              <w:t xml:space="preserve">Fundamental </w:t>
              <w:br/>
              <w:t xml:space="preserve">Change Effective </w:t>
              <w:br/>
              <w:t xml:space="preserve">Date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$3.49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$4.25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$4.71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$5.50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$6.12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$7.00 </w:t>
            </w:r>
          </w:p>
        </w:tc>
        <w:tc>
          <w:tcPr>
            <w:tcW w:w="6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$9.00 </w:t>
            </w:r>
          </w:p>
        </w:tc>
        <w:tc>
          <w:tcPr>
            <w:tcW w:w="63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$12.00 </w:t>
            </w:r>
          </w:p>
        </w:tc>
        <w:tc>
          <w:tcPr>
            <w:tcW w:w="63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$18.00 </w:t>
            </w:r>
          </w:p>
        </w:tc>
        <w:tc>
          <w:tcPr>
            <w:tcW w:w="63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$25.00 </w:t>
            </w:r>
          </w:p>
        </w:tc>
        <w:tc>
          <w:tcPr>
            <w:tcW w:w="65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$37.00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19, 2026</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74.2863</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70.2847</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58.9342</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44.7327</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36.7108</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28.3471</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16.8711</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8.6467</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2.6739</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0.6312</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15, 2027</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74.2863</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69.0965</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57.1614</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42.4109</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34.2042</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25.7814</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14.5544</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6.9017</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1.7778</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0.2512</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15, 2028</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74.2863</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65.1082</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52.5987</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37.4673</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29.2745</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21.1029</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10.7844</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4.4025</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0.7889</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0.0296</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15, 2029</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74.2863</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55.3482</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42.3057</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27.3145</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19.7288</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12.7114</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5.0144</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1.3342</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0.0356</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15, 2030</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74.2863</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23.0471</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0.0679</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Make-Whole Fundamental Change Effective Date or Stock Price is not set forth in the table above,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Stock Price is greater than $37.00 (subject to adjustment in the same manner as the Stock Prices set forth in the column headings of the table above are adjusted pursuant to </w:t>
      </w:r>
      <w:r>
        <w:rPr>
          <w:rFonts w:ascii="Times New Roman;Times;Serif" w:hAnsi="Times New Roman;Times;Serif"/>
          <w:b/>
          <w:i w:val="false"/>
          <w:caps w:val="false"/>
          <w:smallCaps w:val="false"/>
          <w:sz w:val="20"/>
        </w:rPr>
        <w:t>Section 5.07(B)</w:t>
      </w:r>
      <w:r>
        <w:rPr>
          <w:rFonts w:ascii="Times New Roman;Times;Serif" w:hAnsi="Times New Roman;Times;Serif"/>
          <w:b w:val="false"/>
          <w:i w:val="false"/>
          <w:caps w:val="false"/>
          <w:smallCaps w:val="false"/>
          <w:sz w:val="20"/>
        </w:rPr>
        <w:t>), or less than $3.49 (subject to adjustment in the same manner), per share, then no Additional Shares will be added to the Conversion Rate.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or the Notes, in no event will the Conversion Rate be increased to an amount that exceeds 286.5329 shares of Common Stock per $1,000 principal amount of Notes, which amount is subject to adjustment in the same manner as, and at the same time and for the same events for which, the Conversion Rate is required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For the avoidance of doubt, but subject to </w:t>
      </w:r>
      <w:r>
        <w:rPr>
          <w:rFonts w:ascii="Times New Roman;Times;Serif" w:hAnsi="Times New Roman;Times;Serif"/>
          <w:b/>
          <w:i w:val="false"/>
          <w:caps w:val="false"/>
          <w:smallCaps w:val="false"/>
          <w:sz w:val="20"/>
        </w:rPr>
        <w:t>Section 4.03(J)</w:t>
      </w:r>
      <w:r>
        <w:rPr>
          <w:rFonts w:ascii="Times New Roman;Times;Serif" w:hAnsi="Times New Roman;Times;Serif"/>
          <w:b w:val="false"/>
          <w:i w:val="false"/>
          <w:caps w:val="false"/>
          <w:smallCaps w:val="false"/>
          <w:sz w:val="20"/>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on account of such Redemption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Adjustment of Stock Prices and Number of Additional Shares</w:t>
      </w:r>
      <w:r>
        <w:rPr>
          <w:rFonts w:ascii="Times New Roman;Times;Serif" w:hAnsi="Times New Roman;Times;Serif"/>
          <w:b w:val="false"/>
          <w:i w:val="false"/>
          <w:caps w:val="false"/>
          <w:smallCaps w:val="false"/>
          <w:sz w:val="20"/>
        </w:rPr>
        <w:t>. The Stock Prices in the first row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column headers) of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Price is adjusted as a result of the operation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The numbers of Additional Shares in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Rate is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the Occurrence of a Make-Whole Fundamental Change</w:t>
      </w:r>
      <w:r>
        <w:rPr>
          <w:rFonts w:ascii="Times New Roman;Times;Serif" w:hAnsi="Times New Roman;Times;Serif"/>
          <w:b w:val="false"/>
          <w:i w:val="false"/>
          <w:caps w:val="false"/>
          <w:smallCaps w:val="false"/>
          <w:sz w:val="20"/>
        </w:rPr>
        <w:t xml:space="preserve">. The Company will notify the Holders, the Trustee and the Conversion Agent of each occurrence of any Make-Whole Fundamental Change (i) occurring pursuant to clause (A) of the definition thereof in accordance with </w:t>
      </w:r>
      <w:r>
        <w:rPr>
          <w:rFonts w:ascii="Times New Roman;Times;Serif" w:hAnsi="Times New Roman;Times;Serif"/>
          <w:b/>
          <w:i w:val="false"/>
          <w:caps w:val="false"/>
          <w:smallCaps w:val="false"/>
          <w:sz w:val="20"/>
        </w:rPr>
        <w:t>Section 5.01(C)(i)(3)(b)</w:t>
      </w:r>
      <w:r>
        <w:rPr>
          <w:rFonts w:ascii="Times New Roman;Times;Serif" w:hAnsi="Times New Roman;Times;Serif"/>
          <w:b w:val="false"/>
          <w:i w:val="false"/>
          <w:caps w:val="false"/>
          <w:smallCaps w:val="false"/>
          <w:sz w:val="20"/>
        </w:rPr>
        <w:t xml:space="preserve">; and (ii) occurring pursuant to clause (B) of the definition thereof in accordance with </w:t>
      </w:r>
      <w:r>
        <w:rPr>
          <w:rFonts w:ascii="Times New Roman;Times;Serif" w:hAnsi="Times New Roman;Times;Serif"/>
          <w:b/>
          <w:i w:val="false"/>
          <w:caps w:val="false"/>
          <w:smallCaps w:val="false"/>
          <w:sz w:val="20"/>
        </w:rPr>
        <w:t>Section 4.03(G)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5.08.      </w:t>
      </w:r>
      <w:r>
        <w:rPr>
          <w:rFonts w:ascii="Times New Roman;Times;Serif" w:hAnsi="Times New Roman;Times;Serif"/>
          <w:b/>
          <w:i w:val="false"/>
          <w:smallCaps/>
          <w:sz w:val="20"/>
        </w:rPr>
        <w:t>Exchange in Lieu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and subject to the terms of this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Note will not cease to be outstanding by reason of such exchange in lieu of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as if the Company had not elected to make an exchange in lieu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5.09.    </w:t>
      </w:r>
      <w:r>
        <w:rPr>
          <w:rFonts w:ascii="Times New Roman;Times;Serif" w:hAnsi="Times New Roman;Times;Serif"/>
          <w:b/>
          <w:i w:val="false"/>
          <w:smallCaps/>
          <w:sz w:val="20"/>
        </w:rPr>
        <w:t> Effect of Common Stock 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there occurs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consolidation, merger, combination or binding or statutory share exchange involving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 lease or other transfer of all or substantially all of the assets of the Company and its Subsidiaries, taken as a whole, to any Person;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similar event,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and such other securities, cash or property,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then, notwithstanding anything to the contrary in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in any related definitions) were instead a reference to the same number of Reference Property Units; (II) for purposes of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each reference to any number of shares of Common Stock in such Section (or in any related definitions) will instead be deemed to be a reference to the same number of Reference Property Units; (III) for purposes of the definition of “Record Date,” the term “Common Stock” will be deemed to refer to any class of securities forming part of such Reference Property; and (IV)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lineRule="auto" w:line="240"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if applicable); and (y) the amount of cash constituting such Reference Property Unit; and (II) the Company will settle each such conversion no later than the second (2nd) Business Day after the relevant Conversion Date;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these purposes, (I) the Daily VWAP of any Reference Property Unit or portion thereof that consists of a class of Common Equity securities listed on a national securities exchange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listed on a national securities exchange,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effective time of such Common Stock Change Event, the Company and the resulting, surviving or transferee Person (if not the Company) of such Common Stock Change Event (the “</w:t>
      </w:r>
      <w:r>
        <w:rPr>
          <w:rFonts w:ascii="Times New Roman;Times;Serif" w:hAnsi="Times New Roman;Times;Serif"/>
          <w:b/>
          <w:i w:val="false"/>
          <w:caps w:val="false"/>
          <w:smallCaps w:val="false"/>
          <w:sz w:val="20"/>
        </w:rPr>
        <w:t>Successor Person</w:t>
      </w:r>
      <w:r>
        <w:rPr>
          <w:rFonts w:ascii="Times New Roman;Times;Serif" w:hAnsi="Times New Roman;Times;Serif"/>
          <w:b w:val="false"/>
          <w:i w:val="false"/>
          <w:caps w:val="false"/>
          <w:smallCaps w:val="false"/>
          <w:sz w:val="20"/>
        </w:rPr>
        <w:t xml:space="preserve">”) will execute and deliver to the Trustee a supplemental indenture pursuant to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xml:space="preserve">, which supplemental indenture will (x) provide for subsequent conversions of Notes in the manner set forth in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(y) provide for subsequent adjustments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in a manner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and (z) contain such other provisions, if any, that the Company determines in good faith and in a commercially reasonable manner are appropriate to preserve the economic interests of the Holders and to give effect to the provisions of this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Common Stock Change Events</w:t>
      </w:r>
      <w:r>
        <w:rPr>
          <w:rFonts w:ascii="Times New Roman;Times;Serif" w:hAnsi="Times New Roman;Times;Serif"/>
          <w:b w:val="false"/>
          <w:i w:val="false"/>
          <w:caps w:val="false"/>
          <w:smallCaps w:val="false"/>
          <w:sz w:val="20"/>
        </w:rPr>
        <w:t xml:space="preserve">. The Company will provide notice of each Common Stock Change Event in the manner provided in </w:t>
      </w:r>
      <w:r>
        <w:rPr>
          <w:rFonts w:ascii="Times New Roman;Times;Serif" w:hAnsi="Times New Roman;Times;Serif"/>
          <w:b/>
          <w:i w:val="false"/>
          <w:caps w:val="false"/>
          <w:smallCaps w:val="false"/>
          <w:sz w:val="20"/>
        </w:rPr>
        <w:t>Section 5.01(C)(i)(3)(b)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Compliance Covenant</w:t>
      </w:r>
      <w:r>
        <w:rPr>
          <w:rFonts w:ascii="Times New Roman;Times;Serif" w:hAnsi="Times New Roman;Times;Serif"/>
          <w:b w:val="false"/>
          <w:i w:val="false"/>
          <w:caps w:val="false"/>
          <w:smallCaps w:val="false"/>
          <w:sz w:val="20"/>
        </w:rPr>
        <w:t xml:space="preserve">. The Company will not become a party to any Common Stock Change Event unless its terms are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         Successors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6.01.      </w:t>
      </w:r>
      <w:r>
        <w:rPr>
          <w:rFonts w:ascii="Times New Roman;Times;Serif" w:hAnsi="Times New Roman;Times;Serif"/>
          <w:b/>
          <w:i w:val="false"/>
          <w:smallCaps/>
          <w:sz w:val="20"/>
        </w:rPr>
        <w:t>When the Company May Merge,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not consolidate with or merge with or into, or (directly, or indirectly through one or more of its Subsidiaries) sell, lease or otherwise transfer, in one transaction or a series of transactions, all or substantially all of the consolidated assets of the Company and its Subsidiaries, taken as a whole,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either (x) is the Company or (y) if not the Company, is a corporation (the “</w:t>
      </w:r>
      <w:r>
        <w:rPr>
          <w:rFonts w:ascii="Times New Roman;Times;Serif" w:hAnsi="Times New Roman;Times;Serif"/>
          <w:b/>
          <w:i w:val="false"/>
          <w:caps w:val="false"/>
          <w:smallCaps w:val="false"/>
          <w:sz w:val="20"/>
        </w:rPr>
        <w:t>Successor Corporation</w:t>
      </w:r>
      <w:r>
        <w:rPr>
          <w:rFonts w:ascii="Times New Roman;Times;Serif" w:hAnsi="Times New Roman;Times;Serif"/>
          <w:b w:val="false"/>
          <w:i w:val="false"/>
          <w:caps w:val="false"/>
          <w:smallCaps w:val="false"/>
          <w:sz w:val="20"/>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all of the Company’s obligations under this Indenture and the Notes;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Business Combination Event, no Default or Event of Default will have occurred and be continuing.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Officer’s Certificate and Opinion of Counsel to the Trustee</w:t>
      </w:r>
      <w:r>
        <w:rPr>
          <w:rFonts w:ascii="Times New Roman;Times;Serif" w:hAnsi="Times New Roman;Times;Serif"/>
          <w:b w:val="false"/>
          <w:i w:val="false"/>
          <w:caps w:val="false"/>
          <w:smallCaps w:val="false"/>
          <w:sz w:val="20"/>
        </w:rPr>
        <w:t xml:space="preserve">.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and (ii) all conditions precedent to such Business Combination Event provided in this Indenture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6.02.      </w:t>
      </w:r>
      <w:r>
        <w:rPr>
          <w:rFonts w:ascii="Times New Roman;Times;Serif" w:hAnsi="Times New Roman;Times;Serif"/>
          <w:b/>
          <w:i w:val="false"/>
          <w:smallCaps/>
          <w:sz w:val="20"/>
        </w:rPr>
        <w:t>Successor Corporation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effective time of any Business Combination Event that complies with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the Successor Corporation (if not the Company) will succeed to, and may exercise every right and power of, the Company under this Indenture and the Notes with the same effect as if such Successor Corporation had been named as the Company in this Indenture and the Notes, and, except in the case of a lease, the predecessor Company will be discharged from its obligations under this Indenture and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6.03.      </w:t>
      </w:r>
      <w:r>
        <w:rPr>
          <w:rFonts w:ascii="Times New Roman;Times;Serif" w:hAnsi="Times New Roman;Times;Serif"/>
          <w:b/>
          <w:i w:val="false"/>
          <w:smallCaps/>
          <w:sz w:val="20"/>
        </w:rPr>
        <w:t>Exclusion for Certain Asset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will not apply to (i) any transfer of assets between or among the Company and any one or more of its Wholly Owned Subsidiaries not effected by merger or consolidation, (ii) sales or other transfers of residential real property and/or mortgage loans in the ordinary course of the Company’s business or (iii) transfers to the Company’s Subsidiaries in connection with bona fide financing transactions and equity transfers of the equity of the Company’s Subsidiaries in connection with establishing bona fide financing vehicles.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         Defaults and Remedies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7.01.     </w:t>
      </w:r>
      <w:r>
        <w:rPr>
          <w:rFonts w:ascii="Times New Roman;Times;Serif" w:hAnsi="Times New Roman;Times;Serif"/>
          <w:b/>
          <w:i w:val="false"/>
          <w:small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Definition of Events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default in the payment when due (whether at maturity, upon a Redemption or Repurchase Upon Fundamental Change or otherwise) of the principal of, or the Redemption Price or Fundamental Change Repurchase Price for,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default for thirty (30) consecutive days in the payment when due of Special Interest or Additional Interest, if any, on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Company’s failure to deliver, when required by this Indenture, a Fundamental Change Notice or a notice pursuant to </w:t>
      </w:r>
      <w:r>
        <w:rPr>
          <w:rFonts w:ascii="Times New Roman;Times;Serif" w:hAnsi="Times New Roman;Times;Serif"/>
          <w:b/>
          <w:i w:val="false"/>
          <w:caps w:val="false"/>
          <w:smallCaps w:val="false"/>
          <w:sz w:val="20"/>
        </w:rPr>
        <w:t>Section 5.01(C)(i)(3)</w:t>
      </w:r>
      <w:r>
        <w:rPr>
          <w:rFonts w:ascii="Times New Roman;Times;Serif" w:hAnsi="Times New Roman;Times;Serif"/>
          <w:b w:val="false"/>
          <w:i w:val="false"/>
          <w:caps w:val="false"/>
          <w:smallCaps w:val="false"/>
          <w:sz w:val="20"/>
        </w:rPr>
        <w:t xml:space="preserve">, if (in the case of any notice other than a notice pursuant to </w:t>
      </w:r>
      <w:r>
        <w:rPr>
          <w:rFonts w:ascii="Times New Roman;Times;Serif" w:hAnsi="Times New Roman;Times;Serif"/>
          <w:b/>
          <w:i w:val="false"/>
          <w:caps w:val="false"/>
          <w:smallCaps w:val="false"/>
          <w:sz w:val="20"/>
        </w:rPr>
        <w:t>Section 5.01(C)(i)(3)(a)</w:t>
      </w:r>
      <w:r>
        <w:rPr>
          <w:rFonts w:ascii="Times New Roman;Times;Serif" w:hAnsi="Times New Roman;Times;Serif"/>
          <w:b w:val="false"/>
          <w:i w:val="false"/>
          <w:caps w:val="false"/>
          <w:smallCaps w:val="false"/>
          <w:sz w:val="20"/>
        </w:rPr>
        <w:t>) such failure is not cured within five (5) days after its occurrence;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default in the Company’s obligation to convert a Note in accordance with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the exercise of the conversion right with respect thereto, if such default is not cured within three (3) Business Days after its occurrence;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default in the Company’s obligations under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default in any of the Company’s obligations or agreements under this Indenture or the Notes (other than a default set forth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default by the Company or any of the Company’s Subsidiaries with respect to any one or more mortgages, agreements or other instruments under which there is outstanding, or by which there is secured or evidenced, any indebtedness for money borrowed (other than (i) any non-recourse indebtedness for borrowed money (it being understood and agreed that limited recourse provisions in respect of the applicable financing assets, transaction structure or that otherwise are customary in transactions in which the primary recourse is to financing assets shall not cause indebtedness that is otherwise non-recourse indebtedness to constitute recourse indebtedness) or (ii) indebtedness of the Company’s Subsidiaries if such Subsidiaries are special purpose entities that serve as a vehicle to obtain financing that is otherwise non-recourse to the Company and its other non-special purpose entity Subsidiaries (it being understood and agreed that limited recourse provisions in respect of the applicable financing assets, transaction structure or that otherwise are customary in transactions in which the primary recourse is to financing assets shall not cause indebtedness that is otherwise non-recourse indebtedness to constitute recourse indebtedness)) of at least $50,000,000 (or its foreign currency equivalent) in the aggregate of the Company or any of the Company’s Subsidiaries, whether such indebtedness exists as of the Issue Date or is thereafter created, where such default: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constitutes a failure to pay the principal of or interest on such indebtedness when due and payable at its stated maturity, upon required repurchase, upon declaration of acceleration or otherwise, in each case after the expiration of any applicable grace period;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results in such indebtedness becoming or being declared due and payable before its stated maturity,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00" w:after="20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or any of its Significant Subsidiaries, pursuant to or within the meaning of any Bankruptcy Law, either: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commences a voluntary case or proceeding;</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consents to the entry of an order for relief against it in an involuntary case or proceeding;</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consents to the appointment of a custodian of it or for any substantial part of its property;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makes a general assignment for the benefit of its creditors;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takes any comparable action under any foreign Bankruptcy Law;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generally is not paying its debts as they become due;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court of competent jurisdiction enters an order or decree under any Bankruptcy Law that either: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 for relief against the Company or any of its Significant Subsidiaries in an involuntary case or proceeding;</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appoints a custodian of the Company or any of its Significant Subsidiaries, or for any substantial part of the property of the Company or any of its Significant Subsidiaries;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orders the winding up or liquidation of the Company or any of its Significant Subsidiaries;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grants any similar relief under any foreign Bankruptcy Law,</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under this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such order or decree remains unstayed and in effect for at least sixty (60) days.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Cause Irrelevant</w:t>
      </w:r>
      <w:r>
        <w:rPr>
          <w:rFonts w:ascii="Times New Roman;Times;Serif" w:hAnsi="Times New Roman;Times;Serif"/>
          <w:b w:val="false"/>
          <w:i w:val="false"/>
          <w:caps w:val="false"/>
          <w:smallCaps w:val="false"/>
          <w:sz w:val="20"/>
        </w:rPr>
        <w:t xml:space="preserve">. Each of the events set forth in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7.02.     </w:t>
      </w:r>
      <w:r>
        <w:rPr>
          <w:rFonts w:ascii="Times New Roman;Times;Serif" w:hAnsi="Times New Roman;Times;Serif"/>
          <w:b/>
          <w:i w:val="false"/>
          <w:smallCaps/>
          <w:sz w:val="20"/>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Automatic Acceleration in Certain Circumstances</w:t>
      </w:r>
      <w:r>
        <w:rPr>
          <w:rFonts w:ascii="Times New Roman;Times;Serif" w:hAnsi="Times New Roman;Times;Serif"/>
          <w:b w:val="false"/>
          <w:i w:val="false"/>
          <w:caps w:val="false"/>
          <w:smallCaps w:val="false"/>
          <w:sz w:val="20"/>
        </w:rPr>
        <w:t xml:space="preserve">. If an Event of Default set forth in </w:t>
      </w:r>
      <w:r>
        <w:rPr>
          <w:rFonts w:ascii="Times New Roman;Times;Serif" w:hAnsi="Times New Roman;Times;Serif"/>
          <w:b/>
          <w:i w:val="false"/>
          <w:caps w:val="false"/>
          <w:smallCaps w:val="false"/>
          <w:sz w:val="20"/>
        </w:rPr>
        <w:t>Section 7.01(A)(viii)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7.01(A)(ix)</w:t>
      </w:r>
      <w:r>
        <w:rPr>
          <w:rFonts w:ascii="Times New Roman;Times;Serif" w:hAnsi="Times New Roman;Times;Serif"/>
          <w:b w:val="false"/>
          <w:i w:val="false"/>
          <w:caps w:val="false"/>
          <w:smallCaps w:val="false"/>
          <w:sz w:val="20"/>
        </w:rPr>
        <w:t xml:space="preserve"> occurs with respect to the Company (and not solely with respect to a Significant Subsidiary of the Company), then the principal amount of, and all accrued and unpaid Special Interest and Additional Interest, if any, on, all of the Notes then outstanding will immediately become due and payable without any further action or notice by any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Optional Acceleration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if an Event of Default (other than an Event of Default set forth in </w:t>
      </w:r>
      <w:r>
        <w:rPr>
          <w:rFonts w:ascii="Times New Roman;Times;Serif" w:hAnsi="Times New Roman;Times;Serif"/>
          <w:b/>
          <w:i w:val="false"/>
          <w:caps w:val="false"/>
          <w:smallCaps w:val="false"/>
          <w:sz w:val="20"/>
        </w:rPr>
        <w:t>Section 7.01(A)(viii)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7.01(A)(ix)</w:t>
      </w:r>
      <w:r>
        <w:rPr>
          <w:rFonts w:ascii="Times New Roman;Times;Serif" w:hAnsi="Times New Roman;Times;Serif"/>
          <w:b w:val="false"/>
          <w:i w:val="false"/>
          <w:caps w:val="false"/>
          <w:smallCaps w:val="false"/>
          <w:sz w:val="20"/>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Special Interest and Additional Interest, if any, on, all of the Notes then outstanding to become due and payable immediately.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Rescission of Acceleration</w:t>
      </w:r>
      <w:r>
        <w:rPr>
          <w:rFonts w:ascii="Times New Roman;Times;Serif" w:hAnsi="Times New Roman;Times;Serif"/>
          <w:b w:val="false"/>
          <w:i w:val="false"/>
          <w:caps w:val="false"/>
          <w:smallCaps w:val="false"/>
          <w:sz w:val="20"/>
        </w:rPr>
        <w:t>.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Special Interest or Additional Interest, if any, on, the Notes that has become due solely because of such acceleration) have been cured or waived. No such rescission will affect any subsequent Default or impair any right consequent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7.03.      </w:t>
      </w:r>
      <w:r>
        <w:rPr>
          <w:rFonts w:ascii="Times New Roman;Times;Serif" w:hAnsi="Times New Roman;Times;Serif"/>
          <w:b/>
          <w:i w:val="false"/>
          <w:smallCaps/>
          <w:sz w:val="20"/>
        </w:rPr>
        <w:t>Sole Remedy for a Failure to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Notwithstanding anything to the contrary in this Indenture or the Notes, the Company may elect that the sole remedy for any Event of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7.01(A)(vi)</w:t>
      </w:r>
      <w:r>
        <w:rPr>
          <w:rFonts w:ascii="Times New Roman;Times;Serif" w:hAnsi="Times New Roman;Times;Serif"/>
          <w:b w:val="false"/>
          <w:i w:val="false"/>
          <w:caps w:val="false"/>
          <w:smallCaps w:val="false"/>
          <w:sz w:val="20"/>
        </w:rPr>
        <w:t xml:space="preserve"> arising from the Company’s failure to comply with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will, for each of the first one hundred and eighty (180)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Times;Serif" w:hAnsi="Times New Roman;Times;Serif"/>
          <w:b/>
          <w:i w:val="false"/>
          <w:caps w:val="false"/>
          <w:smallCaps w:val="false"/>
          <w:sz w:val="20"/>
        </w:rPr>
        <w:t>Section 7.02</w:t>
      </w:r>
      <w:r>
        <w:rPr>
          <w:rFonts w:ascii="Times New Roman;Times;Serif" w:hAnsi="Times New Roman;Times;Serif"/>
          <w:b w:val="false"/>
          <w:i w:val="false"/>
          <w:caps w:val="false"/>
          <w:smallCaps w:val="false"/>
          <w:sz w:val="20"/>
        </w:rPr>
        <w:t xml:space="preserve"> on account of the relevant Reporting Event of Default from, and including, the one hundred and eighty first (181st) calendar day on which a Reporting Event of Default has occurred and is continuing or if the Company fails to pay any accrued and unpaid Special Interest when due; and (ii) Special Interest will cease to accrue on any Notes from, and including, such one hundred and eighty first (181st) calendar day (it being understood that interest on any defaulted Special Interest will nonetheless accrue pursuant to </w:t>
      </w:r>
      <w:r>
        <w:rPr>
          <w:rFonts w:ascii="Times New Roman;Times;Serif" w:hAnsi="Times New Roman;Times;Serif"/>
          <w:b/>
          <w:i w:val="false"/>
          <w:caps w:val="false"/>
          <w:smallCaps w:val="false"/>
          <w:sz w:val="20"/>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Amount and Payment of Special Interest</w:t>
      </w:r>
      <w:r>
        <w:rPr>
          <w:rFonts w:ascii="Times New Roman;Times;Serif" w:hAnsi="Times New Roman;Times;Serif"/>
          <w:b w:val="false"/>
          <w:i w:val="false"/>
          <w:caps w:val="false"/>
          <w:smallCaps w:val="false"/>
          <w:sz w:val="20"/>
        </w:rPr>
        <w:t xml:space="preserve">. Any Special Interest that accrues on a Note pursuant to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xml:space="preserve"> will accrue at a rate per annum equal to one half of one percent (0.50%) of the principal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no event will Special Interest payable at the Company’s election for its failure to comply with its reporting obligations as set forth in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xml:space="preserve">, together with any Additional Interest that may accrue as a result of the Company’s failure to timely file any document or report that it is required to file with the SEC pursuant to Section 13 or 15(d) of the Exchange Act, as applicable (other than reports on Form 8-K) pursuant to </w:t>
      </w:r>
      <w:r>
        <w:rPr>
          <w:rFonts w:ascii="Times New Roman;Times;Serif" w:hAnsi="Times New Roman;Times;Serif"/>
          <w:b/>
          <w:i w:val="false"/>
          <w:caps w:val="false"/>
          <w:smallCaps w:val="false"/>
          <w:sz w:val="20"/>
        </w:rPr>
        <w:t>Section 3.04(A)</w:t>
      </w:r>
      <w:r>
        <w:rPr>
          <w:rFonts w:ascii="Times New Roman;Times;Serif" w:hAnsi="Times New Roman;Times;Serif"/>
          <w:b w:val="false"/>
          <w:i w:val="false"/>
          <w:caps w:val="false"/>
          <w:smallCaps w:val="false"/>
          <w:sz w:val="20"/>
        </w:rPr>
        <w:t>, accrue on any day on a Note at a combined rate per annum that exceeds one percent (1.00%). For the avoidance of doubt, any Special Interest that accrues on a Note will, subject to the proviso of the immediately preceding sentence, be in addition to any Additional Interest that accrues on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- 69 -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Election</w:t>
      </w:r>
      <w:r>
        <w:rPr>
          <w:rFonts w:ascii="Times New Roman;Times;Serif" w:hAnsi="Times New Roman;Times;Serif"/>
          <w:b w:val="false"/>
          <w:i w:val="false"/>
          <w:caps w:val="false"/>
          <w:smallCaps w:val="false"/>
          <w:sz w:val="20"/>
        </w:rPr>
        <w:t xml:space="preserve">. To make the election set forth in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the Company must send to the Holders and the Trustee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Trustee and Paying Agent; Trustee’s Disclaimer</w:t>
      </w:r>
      <w:r>
        <w:rPr>
          <w:rFonts w:ascii="Times New Roman;Times;Serif" w:hAnsi="Times New Roman;Times;Serif"/>
          <w:b w:val="false"/>
          <w:i w:val="false"/>
          <w:caps w:val="false"/>
          <w:smallCaps w:val="false"/>
          <w:sz w:val="20"/>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 and may assume without inquiry that no Special Interest is payable or has been deferred until written notice of such Special Interest has been provided to the Trustee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Effect on Other Events of Default</w:t>
      </w:r>
      <w:r>
        <w:rPr>
          <w:rFonts w:ascii="Times New Roman;Times;Serif" w:hAnsi="Times New Roman;Times;Serif"/>
          <w:b w:val="false"/>
          <w:i w:val="false"/>
          <w:caps w:val="false"/>
          <w:smallCaps w:val="false"/>
          <w:sz w:val="20"/>
        </w:rPr>
        <w:t xml:space="preserve">. No election pursuant to this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with respect to a Reporting Event of Default will affect the rights of any Holder with respect to any other Event of Default, including with respect to any other Reporting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7.04.     </w:t>
      </w:r>
      <w:r>
        <w:rPr>
          <w:rFonts w:ascii="Times New Roman;Times;Serif" w:hAnsi="Times New Roman;Times;Serif"/>
          <w:b/>
          <w:i w:val="false"/>
          <w:smallCaps/>
          <w:sz w:val="20"/>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Trustee May Pursue All Remedies</w:t>
      </w:r>
      <w:r>
        <w:rPr>
          <w:rFonts w:ascii="Times New Roman;Times;Serif" w:hAnsi="Times New Roman;Times;Serif"/>
          <w:b w:val="false"/>
          <w:i w:val="false"/>
          <w:caps w:val="false"/>
          <w:smallCaps w:val="false"/>
          <w:sz w:val="20"/>
        </w:rPr>
        <w:t>. If an Event of Default occurs and is continuing, then the Trustee may pursue any available remedy to collect the payment of any amounts due with respect to the Notes or to enforce the performance of any provision of this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Procedural Matters</w:t>
      </w:r>
      <w:r>
        <w:rPr>
          <w:rFonts w:ascii="Times New Roman;Times;Serif" w:hAnsi="Times New Roman;Times;Serif"/>
          <w:b w:val="false"/>
          <w:i w:val="false"/>
          <w:caps w:val="false"/>
          <w:smallCaps w:val="false"/>
          <w:sz w:val="20"/>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7.05.     </w:t>
      </w:r>
      <w:r>
        <w:rPr>
          <w:rFonts w:ascii="Times New Roman;Times;Serif" w:hAnsi="Times New Roman;Times;Serif"/>
          <w:b/>
          <w:i w:val="false"/>
          <w:smallCaps/>
          <w:sz w:val="20"/>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pursuant to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(vi)</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i w:val="false"/>
          <w:caps w:val="false"/>
          <w:smallCaps w:val="false"/>
          <w:sz w:val="20"/>
        </w:rPr>
        <w:t>clause (vi)</w:t>
      </w:r>
      <w:r>
        <w:rPr>
          <w:rFonts w:ascii="Times New Roman;Times;Serif" w:hAnsi="Times New Roman;Times;Serif"/>
          <w:b w:val="false"/>
          <w:i w:val="false"/>
          <w:caps w:val="false"/>
          <w:smallCaps w:val="false"/>
          <w:sz w:val="20"/>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7.06.      </w:t>
      </w:r>
      <w:r>
        <w:rPr>
          <w:rFonts w:ascii="Times New Roman;Times;Serif" w:hAnsi="Times New Roman;Times;Serif"/>
          <w:b/>
          <w:i w:val="false"/>
          <w:smallCaps/>
          <w:sz w:val="20"/>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7.07.      </w:t>
      </w:r>
      <w:r>
        <w:rPr>
          <w:rFonts w:ascii="Times New Roman;Times;Serif" w:hAnsi="Times New Roman;Times;Serif"/>
          <w:b/>
          <w:i w:val="false"/>
          <w:smallCaps/>
          <w:sz w:val="20"/>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Holder may pursue any remedy with respect to this Indenture or the Notes (except to enforce (x) its rights to receive the principal of, or the Redemption Price or Fundamental Change Repurchase Price for, or any interest on, any Notes; or (y) the Company’s obligations to convert any Notes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delivered to the Trustee notice that an Event of Default is continuing;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twenty five percent (25%) in aggregate principal amount of the Notes then outstanding deliver a written request to the Trustee to pursue such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such request within sixty (60) calendar days after its receipt of such request and such offer of security or indemnity;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7.08.      </w:t>
      </w:r>
      <w:r>
        <w:rPr>
          <w:rFonts w:ascii="Times New Roman;Times;Serif" w:hAnsi="Times New Roman;Times;Serif"/>
          <w:b/>
          <w:i w:val="false"/>
          <w:smallCaps/>
          <w:sz w:val="20"/>
        </w:rPr>
        <w:t>Absolute Right of Holders to Institute Suit for the Enforcement of the Right to Receive Payment and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or the Notes (but without limiting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the right of each Holder of a Note to bring suit for the enforcement of any payment or delivery, as applicable, of the principal of, or the Redemption Price or Fundamental Change Repurchase Price for, or any interest on, or the Conversion Consideration due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conversion of, such Note on or after the respective due dates therefor provided in this Indenture and the Notes, will not be impaired or affected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7.09.      </w:t>
      </w:r>
      <w:r>
        <w:rPr>
          <w:rFonts w:ascii="Times New Roman;Times;Serif" w:hAnsi="Times New Roman;Times;Serif"/>
          <w:b/>
          <w:i w:val="false"/>
          <w:smallCaps/>
          <w:sz w:val="20"/>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have the right, upon the occurrence and continuance of an Event of Default pursuant to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to recover judgment in its own name and as trustee of an express trust against the Company for the total unpaid or undelivered principal of, or the Redemption Price or Fundamental Change Repurchase Price for, or any interest on, or Conversion Consideration due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7.10.      </w:t>
      </w:r>
      <w:r>
        <w:rPr>
          <w:rFonts w:ascii="Times New Roman;Times;Serif" w:hAnsi="Times New Roman;Times;Serif"/>
          <w:b/>
          <w:i w:val="false"/>
          <w:smallCaps/>
          <w:sz w:val="20"/>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7.11.      </w:t>
      </w:r>
      <w:r>
        <w:rPr>
          <w:rFonts w:ascii="Times New Roman;Times;Serif" w:hAnsi="Times New Roman;Times;Serif"/>
          <w:b/>
          <w:i w:val="false"/>
          <w:smallCaps/>
          <w:sz w:val="20"/>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pay or deliver in the following order any money or other property that it collects pursuant to this </w:t>
      </w: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Trustee and its agents and attorneys for amounts due under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including payment of all fees, compensation, expenses and liabilities incurred, and all advances made, by the Trustee (in each of its capacities under this Indenture including as Note Agent) and the costs and expenses of collection;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Holders for unpaid amounts or other property due on the Notes, including the principal of, or the Redemption Price or 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 or such other Person as a court of competent jurisdiction directs.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fix a record date and payment date for any payment or delivery to the Holders pursuant to this </w:t>
      </w:r>
      <w:r>
        <w:rPr>
          <w:rFonts w:ascii="Times New Roman;Times;Serif" w:hAnsi="Times New Roman;Times;Serif"/>
          <w:b/>
          <w:i w:val="false"/>
          <w:caps w:val="false"/>
          <w:smallCaps w:val="false"/>
          <w:sz w:val="20"/>
        </w:rPr>
        <w:t>Section 7.11</w:t>
      </w:r>
      <w:r>
        <w:rPr>
          <w:rFonts w:ascii="Times New Roman;Times;Serif" w:hAnsi="Times New Roman;Times;Serif"/>
          <w:b w:val="false"/>
          <w:i w:val="false"/>
          <w:caps w:val="false"/>
          <w:smallCaps w:val="false"/>
          <w:sz w:val="20"/>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7.12.      </w:t>
      </w:r>
      <w:r>
        <w:rPr>
          <w:rFonts w:ascii="Times New Roman;Times;Serif" w:hAnsi="Times New Roman;Times;Serif"/>
          <w:b/>
          <w:i w:val="false"/>
          <w:smallCaps/>
          <w:sz w:val="20"/>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7.12</w:t>
      </w:r>
      <w:r>
        <w:rPr>
          <w:rFonts w:ascii="Times New Roman;Times;Serif" w:hAnsi="Times New Roman;Times;Serif"/>
          <w:b w:val="false"/>
          <w:i w:val="false"/>
          <w:caps w:val="false"/>
          <w:smallCaps w:val="false"/>
          <w:sz w:val="20"/>
        </w:rPr>
        <w:t xml:space="preserve"> does not apply to any suit by the Trustee, any suit by a Holder pursuant to </w:t>
      </w:r>
      <w:r>
        <w:rPr>
          <w:rFonts w:ascii="Times New Roman;Times;Serif" w:hAnsi="Times New Roman;Times;Serif"/>
          <w:b/>
          <w:i w:val="false"/>
          <w:caps w:val="false"/>
          <w:smallCaps w:val="false"/>
          <w:sz w:val="20"/>
        </w:rPr>
        <w:t>Section 7.08</w:t>
      </w:r>
      <w:r>
        <w:rPr>
          <w:rFonts w:ascii="Times New Roman;Times;Serif" w:hAnsi="Times New Roman;Times;Serif"/>
          <w:b w:val="false"/>
          <w:i w:val="false"/>
          <w:caps w:val="false"/>
          <w:smallCaps w:val="false"/>
          <w:sz w:val="20"/>
        </w:rPr>
        <w:t xml:space="preserve"> or any suit by one or more Holders of more than ten percent (10%) in aggregate principal amount of the Notes then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         Amendments, Supplements and Waivers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8.01.      </w:t>
      </w:r>
      <w:r>
        <w:rPr>
          <w:rFonts w:ascii="Times New Roman;Times;Serif" w:hAnsi="Times New Roman;Times;Serif"/>
          <w:b/>
          <w:i w:val="false"/>
          <w:smallCaps/>
          <w:sz w:val="20"/>
        </w:rPr>
        <w:t>Without the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the Company and the Trustee may amend or supplement this Indenture or the Notes without the consent of any Holder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or correct any omission, defect or inconsistency in this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 guarantees with respect to the Company’s obligations under this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secure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the Company’s covenants or Events of Default for the benefit of the Holders or surrender any right or power conferred on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provide for the assumption of the Company’s obligations under this Indenture and the Notes pursuant to, and in compliance with,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enter into supplemental indentures pursuant to, and in accordance with,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in connection with a Common Stock Change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irrevocably elect or eliminate any Settlement Method or Specified Dollar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such election or elimination will affect any Settlement Method theretofore elected (or deemed to be elected) with respect to any Note pursuant to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or provide for the acceptance of the appointment, under this Indenture, of a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provide for or confirm the issuance of additional Notes pursuant to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comply with any requirement of the SEC in connection with any qualification of this Indenture or any supplemental indenture under the Trust Indenture Act, as then in effect;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to this Indenture or the Notes that does not, individually or in the aggregate with all other such changes, adversely affect the rights of the Holders, as such, in any material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8.02.      </w:t>
      </w:r>
      <w:r>
        <w:rPr>
          <w:rFonts w:ascii="Times New Roman;Times;Serif" w:hAnsi="Times New Roman;Times;Serif"/>
          <w:b/>
          <w:i w:val="false"/>
          <w:smallCaps/>
          <w:sz w:val="20"/>
        </w:rPr>
        <w:t>With the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7.08</w:t>
      </w:r>
      <w:r>
        <w:rPr>
          <w:rFonts w:ascii="Times New Roman;Times;Serif" w:hAnsi="Times New Roman;Times;Serif"/>
          <w:b w:val="false"/>
          <w:i w:val="false"/>
          <w:caps w:val="false"/>
          <w:smallCaps w:val="false"/>
          <w:sz w:val="20"/>
        </w:rPr>
        <w:t xml:space="preserve">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without the consent of each affected Holder, no amendment or supplement to this Indenture or the Notes, or waiver of any provision of this Indenture or the Notes, may: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reduce the principal, or change the stated maturity, of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Redemption Price or Fundamental Change Repurchase Price for any Note or change the times at which, or the circumstances under which, the Notes may or will be redeemed or repurchased by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rate, or extend the time for the payment, of Special Interest or Additional Interest or other interest, if any, on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change that adversely affects the conversion rights of any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impair the rights of any Holder set forth in </w:t>
      </w:r>
      <w:r>
        <w:rPr>
          <w:rFonts w:ascii="Times New Roman;Times;Serif" w:hAnsi="Times New Roman;Times;Serif"/>
          <w:b/>
          <w:i w:val="false"/>
          <w:caps w:val="false"/>
          <w:smallCaps w:val="false"/>
          <w:sz w:val="20"/>
        </w:rPr>
        <w:t>Section 7.08</w:t>
      </w:r>
      <w:r>
        <w:rPr>
          <w:rFonts w:ascii="Times New Roman;Times;Serif" w:hAnsi="Times New Roman;Times;Serif"/>
          <w:b w:val="false"/>
          <w:i w:val="false"/>
          <w:caps w:val="false"/>
          <w:smallCaps w:val="false"/>
          <w:sz w:val="20"/>
        </w:rPr>
        <w:t xml:space="preserve"> (as such section is in effect on the Issue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the ranking of the Notes;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Note payable in money, or at a place of payment, other than that stated in this Indenture or the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reduce the amount of Notes whose Holders must consent to any amendment, supplement, waiver or other modification;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any direct or indirect change to any amendment, supplement, waiver or modification provision of this Indenture or the Notes that requires the consent of each affected Holder.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pursuant to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upon conversion or otherwise), or the date(s) or time(s) such consideration is payable or deliverable, as applicable, without the consent of each affected Holder. Holders do not need to approve the particular form of any proposed amendment. It will be sufficient if such Holders approve the substance of the proposed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Holders Need Not Approve the Particular Form of any Amendment</w:t>
      </w:r>
      <w:r>
        <w:rPr>
          <w:rFonts w:ascii="Times New Roman;Times;Serif" w:hAnsi="Times New Roman;Times;Serif"/>
          <w:b w:val="false"/>
          <w:i w:val="false"/>
          <w:caps w:val="false"/>
          <w:smallCaps w:val="false"/>
          <w:sz w:val="20"/>
        </w:rPr>
        <w:t xml:space="preserve">. A consent of any Holder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need approve only the substance, and not necessarily the particular form, of the proposed amendment, supplement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8.03.      </w:t>
      </w:r>
      <w:r>
        <w:rPr>
          <w:rFonts w:ascii="Times New Roman;Times;Serif" w:hAnsi="Times New Roman;Times;Serif"/>
          <w:b/>
          <w:i w:val="false"/>
          <w:smallCaps/>
          <w:sz w:val="20"/>
        </w:rPr>
        <w:t>Notice of 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after any amendment, supplement or waiver pursuant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8.02</w:t>
      </w:r>
      <w:r>
        <w:rPr>
          <w:rFonts w:ascii="Times New Roman;Times;Serif" w:hAnsi="Times New Roman;Times;Serif"/>
          <w:b w:val="false"/>
          <w:i w:val="false"/>
          <w:caps w:val="false"/>
          <w:smallCaps w:val="false"/>
          <w:sz w:val="20"/>
        </w:rPr>
        <w:t xml:space="preserve"> becomes effective, the Company will send to the Holders and the Trustee notice that (A) describes the substance of such amendment, supplement or waiver in reasonable detail and (B) states the effective date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8.04.      </w:t>
      </w:r>
      <w:r>
        <w:rPr>
          <w:rFonts w:ascii="Times New Roman;Times;Serif" w:hAnsi="Times New Roman;Times;Serif"/>
          <w:b/>
          <w:i w:val="false"/>
          <w:smallCaps/>
          <w:sz w:val="20"/>
        </w:rPr>
        <w:t>Revocation, Effect and Solicitation of Consents; Special Record Dates;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Revocation and Effect of Consents</w:t>
      </w:r>
      <w:r>
        <w:rPr>
          <w:rFonts w:ascii="Times New Roman;Times;Serif" w:hAnsi="Times New Roman;Times;Serif"/>
          <w:b w:val="false"/>
          <w:i w:val="false"/>
          <w:caps w:val="false"/>
          <w:smallCaps w:val="false"/>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Times;Serif" w:hAnsi="Times New Roman;Times;Serif"/>
          <w:b/>
          <w:i w:val="false"/>
          <w:caps w:val="false"/>
          <w:smallCaps w:val="false"/>
          <w:sz w:val="20"/>
        </w:rPr>
        <w:t>Section 8.04(B)</w:t>
      </w:r>
      <w:r>
        <w:rPr>
          <w:rFonts w:ascii="Times New Roman;Times;Serif" w:hAnsi="Times New Roman;Times;Serif"/>
          <w:b w:val="false"/>
          <w:i w:val="false"/>
          <w:caps w:val="false"/>
          <w:smallCaps w:val="false"/>
          <w:sz w:val="20"/>
        </w:rPr>
        <w:t>) any such consent with respect to such Note by delivering notice of revocation to the Trustee before the time such amendment, supplement or waiver becomes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Special Record Dates</w:t>
      </w:r>
      <w:r>
        <w:rPr>
          <w:rFonts w:ascii="Times New Roman;Times;Serif" w:hAnsi="Times New Roman;Times;Serif"/>
          <w:b w:val="false"/>
          <w:i w:val="false"/>
          <w:caps w:val="false"/>
          <w:smallCaps w:val="false"/>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If a record date is fixed, then, notwithstanding anything to the contrary in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consent will be valid or effective for more than one hundred and twenty (120) calendar days after such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Solicitation of Consents</w:t>
      </w:r>
      <w:r>
        <w:rPr>
          <w:rFonts w:ascii="Times New Roman;Times;Serif" w:hAnsi="Times New Roman;Times;Serif"/>
          <w:b w:val="false"/>
          <w:i w:val="false"/>
          <w:caps w:val="false"/>
          <w:smallCaps w:val="false"/>
          <w:sz w:val="20"/>
        </w:rPr>
        <w:t>. For the avoidance of doubt, each reference in this Indenture or the Notes to the consent of a Holder will be deemed to include any such consent obtained in connection with a repurchase of, or tender or exchange offer for, any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Effectiveness and Binding Effect</w:t>
      </w:r>
      <w:r>
        <w:rPr>
          <w:rFonts w:ascii="Times New Roman;Times;Serif" w:hAnsi="Times New Roman;Times;Serif"/>
          <w:b w:val="false"/>
          <w:i w:val="false"/>
          <w:caps w:val="false"/>
          <w:smallCaps w:val="false"/>
          <w:sz w:val="20"/>
        </w:rPr>
        <w:t xml:space="preserve">. Each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8.05.      </w:t>
      </w:r>
      <w:r>
        <w:rPr>
          <w:rFonts w:ascii="Times New Roman;Times;Serif" w:hAnsi="Times New Roman;Times;Serif"/>
          <w:b/>
          <w:i w:val="false"/>
          <w:smallCaps/>
          <w:sz w:val="20"/>
        </w:rPr>
        <w:t>Notations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 new Note that reflects the changed terms. The failure to make any appropriate notation or issue a new Note pursuant to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will not impair or affect the validity of such amendment, supplement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8.06.      </w:t>
      </w:r>
      <w:r>
        <w:rPr>
          <w:rFonts w:ascii="Times New Roman;Times;Serif" w:hAnsi="Times New Roman;Times;Serif"/>
          <w:b/>
          <w:i w:val="false"/>
          <w:smallCaps/>
          <w:sz w:val="20"/>
        </w:rPr>
        <w:t>Trustee to Execute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execute and deliver any amendment or supplemental indenture authorized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Times;Serif" w:hAnsi="Times New Roman;Times;Serif"/>
          <w:b/>
          <w:i w:val="false"/>
          <w:caps w:val="false"/>
          <w:smallCaps w:val="false"/>
          <w:sz w:val="20"/>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10.02</w:t>
      </w:r>
      <w:r>
        <w:rPr>
          <w:rFonts w:ascii="Times New Roman;Times;Serif" w:hAnsi="Times New Roman;Times;Serif"/>
          <w:b w:val="false"/>
          <w:i w:val="false"/>
          <w:caps w:val="false"/>
          <w:smallCaps w:val="false"/>
          <w:sz w:val="20"/>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         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9.01.      </w:t>
      </w:r>
      <w:r>
        <w:rPr>
          <w:rFonts w:ascii="Times New Roman;Times;Serif" w:hAnsi="Times New Roman;Times;Serif"/>
          <w:b/>
          <w:i w:val="false"/>
          <w:smallCaps/>
          <w:sz w:val="20"/>
        </w:rPr>
        <w:t>Termination of Company’s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all Notes issued under this Indenture, when: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Notes then outstanding (other than Notes replaced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paid all other amounts payable by it under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to the Trustee an Officer’s Certificate and an Opinion of Counsel, each stating that the conditions precedent to the discharge of this Indenture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i w:val="false"/>
          <w:caps w:val="false"/>
          <w:smallCaps w:val="false"/>
          <w:sz w:val="20"/>
        </w:rPr>
        <w:t>Article 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 xml:space="preserve"> will survive such discharge and, until no Notes remain outstanding,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and the obligations of the Trustee, the Paying Agent and the Conversion Agent with respect to money or other property deposited with them will survive such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will acknowledge the satisfaction and discharge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9.02.      </w:t>
      </w:r>
      <w:r>
        <w:rPr>
          <w:rFonts w:ascii="Times New Roman;Times;Serif" w:hAnsi="Times New Roman;Times;Serif"/>
          <w:b/>
          <w:i w:val="false"/>
          <w:smallCaps/>
          <w:sz w:val="20"/>
        </w:rPr>
        <w:t>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9.03.      </w:t>
      </w:r>
      <w:r>
        <w:rPr>
          <w:rFonts w:ascii="Times New Roman;Times;Serif" w:hAnsi="Times New Roman;Times;Serif"/>
          <w:b/>
          <w:i w:val="false"/>
          <w:smallCaps/>
          <w:sz w:val="20"/>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the Paying Agent or the Conversion Agent is unable to apply any cash or other property deposited with it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will be rescinded;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       Trustee</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10.01.  </w:t>
      </w:r>
      <w:r>
        <w:rPr>
          <w:rFonts w:ascii="Times New Roman;Times;Serif" w:hAnsi="Times New Roman;Times;Serif"/>
          <w:b/>
          <w:i w:val="false"/>
          <w:smallCaps/>
          <w:sz w:val="20"/>
        </w:rPr>
        <w:t>Duties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and a Responsible Officer of the Trustee has received written notice or obtains actual knowledge of the same, then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provided, however, that the Trustee will examine the certificates and opinions to determine whether or not they conform to the requirements of this Indenture.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negligence or willful misconduct, except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paragraph will not limit the effect of </w:t>
      </w:r>
      <w:r>
        <w:rPr>
          <w:rFonts w:ascii="Times New Roman;Times;Serif" w:hAnsi="Times New Roman;Times;Serif"/>
          <w:b/>
          <w:i w:val="false"/>
          <w:caps w:val="false"/>
          <w:smallCaps w:val="false"/>
          <w:sz w:val="20"/>
        </w:rPr>
        <w:t>Section 10.01(B)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will not be liable for any error of judgment made in good faith by a Responsible Officer, unless it is proved that the Trustee was negligent in ascertaining the pertinent facts;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Trustee will not be liable with respect to any action it takes or omits to take in good faith in accordance with a direction received by it pursuant to </w:t>
      </w:r>
      <w:r>
        <w:rPr>
          <w:rFonts w:ascii="Times New Roman;Times;Serif" w:hAnsi="Times New Roman;Times;Serif"/>
          <w:b/>
          <w:i w:val="false"/>
          <w:caps w:val="false"/>
          <w:smallCaps w:val="false"/>
          <w:sz w:val="20"/>
        </w:rPr>
        <w:t>Section 7.06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provision of this Indenture that in any way relates to the Trustee is subject to </w:t>
      </w:r>
      <w:r>
        <w:rPr>
          <w:rFonts w:ascii="Times New Roman;Times;Serif" w:hAnsi="Times New Roman;Times;Serif"/>
          <w:b/>
          <w:i w:val="false"/>
          <w:caps w:val="false"/>
          <w:smallCaps w:val="false"/>
          <w:sz w:val="20"/>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regardless of whether such provision so expressly provides.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provision of this Indenture will require the Trustee to expend or risk its own funds or incur any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will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will not be liable in its individual capacity for the obligations evidenced by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Whether or not therein provided, every provision of this Indenture relating to the conduct or affecting the liability of, or affording protection to, the Trustee will be subject to the provisions of this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permissive rights of the Trustee enumerated herein will not be construed as duties.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will not be required to give any bond or surety in respect of the execution of this Indenture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Unless a Responsible Officer of the Trustee has received notice from the Company that Additional Interest is owing on the Notes or that the Company has elected to pay Special Interest on the Notes, the Trustee may assume no Additional Interest or Special Interest, as applicable, is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privileges, protections, immunities and benefits given to the Trustee, including its right to be indemnified, are extended to, and will be enforceable by, the Trustee in each of its capacities under this Indenture, including as Note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will not be charged with knowledge of any document or agreement other than this Indenture and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10.02.  </w:t>
      </w:r>
      <w:r>
        <w:rPr>
          <w:rFonts w:ascii="Times New Roman;Times;Serif" w:hAnsi="Times New Roman;Times;Serif"/>
          <w:b/>
          <w:i w:val="false"/>
          <w:smallCaps/>
          <w:sz w:val="20"/>
        </w:rPr>
        <w:t>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any document that it believes to be genuine and signed or presented by the proper Person, and the Trustee need not investigate any fact or matter stated in such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- 79 -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will not be responsible for the misconduct or negligence of any such agent appointed with due care.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will not be liable for any action it takes or omits to take in good faith and that it believes to be authorized or within the rights or powers vested in it by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Company will be sufficient if signed by an Officer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need not exercise any rights or powers vested in it by this Indenture at the request or direction of any Holder unless such Holder has offered (and, if requested, provided with) the Trustee security or indemnity satisfactory to the Trustee against any loss, liability or expense that it may incur in complying with such request or direction.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will not be responsible or liable for any punitive, special, indirect or consequential loss or damage (including lost profits), even if the Trustee has been advised of the likelihood of such loss or damage and regardless of the form of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10.03.  </w:t>
      </w:r>
      <w:r>
        <w:rPr>
          <w:rFonts w:ascii="Times New Roman;Times;Serif" w:hAnsi="Times New Roman;Times;Serif"/>
          <w:b/>
          <w:i w:val="false"/>
          <w:smallCaps/>
          <w:sz w:val="20"/>
        </w:rPr>
        <w:t>Individual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Times;Serif" w:hAnsi="Times New Roman;Times;Serif"/>
          <w:b/>
          <w:i w:val="false"/>
          <w:caps w:val="false"/>
          <w:smallCaps w:val="false"/>
          <w:sz w:val="20"/>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10.04.  </w:t>
      </w:r>
      <w:r>
        <w:rPr>
          <w:rFonts w:ascii="Times New Roman;Times;Serif" w:hAnsi="Times New Roman;Times;Serif"/>
          <w:b/>
          <w:i w:val="false"/>
          <w:smallCaps/>
          <w:sz w:val="20"/>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- 80 -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10.05.  </w:t>
      </w:r>
      <w:r>
        <w:rPr>
          <w:rFonts w:ascii="Times New Roman;Times;Serif" w:hAnsi="Times New Roman;Times;Serif"/>
          <w:b/>
          <w:i w:val="false"/>
          <w:smallCaps/>
          <w:sz w:val="20"/>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or Event of Default occurs and is continuing and is known to a Responsible Officer of the Trustee, then the Trustee will send Holders a notice of such Default or Event of Default within ninety (90) days after it occurs or, if it is not known to the Trustee at such time, promptly (and in any event within ten (10) Business Days) after it becomes known to a Responsible Officer;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or Event of Default in the payment of the principal of, or interest, if any, on, any Note, or a default in the payment or delivery of the Conversion Consideration due upon conversion,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10.06.  </w:t>
      </w:r>
      <w:r>
        <w:rPr>
          <w:rFonts w:ascii="Times New Roman;Times;Serif" w:hAnsi="Times New Roman;Times;Serif"/>
          <w:b/>
          <w:i w:val="false"/>
          <w:smallCaps/>
          <w:sz w:val="20"/>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from time to time, pay the Trustee reasonable compensation for its acceptance of this Indenture and services under this Indenture, as separately agreed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will indemnify the Trustee (in each of its capacities)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to its negligence, or willful misconduct, as determined by a final decision of a court of competent jurisdiction. The Trustee will promptly notify the Company of any claim for which it may seek indemnity, but the Trustee’s failure to so notify the Company will not relieve the Company of its obligations under this </w:t>
      </w:r>
      <w:r>
        <w:rPr>
          <w:rFonts w:ascii="Times New Roman;Times;Serif" w:hAnsi="Times New Roman;Times;Serif"/>
          <w:b/>
          <w:i w:val="false"/>
          <w:caps w:val="false"/>
          <w:smallCaps w:val="false"/>
          <w:sz w:val="20"/>
        </w:rPr>
        <w:t>Section 10.06(B)</w:t>
      </w:r>
      <w:r>
        <w:rPr>
          <w:rFonts w:ascii="Times New Roman;Times;Serif" w:hAnsi="Times New Roman;Times;Serif"/>
          <w:b w:val="false"/>
          <w:i w:val="false"/>
          <w:caps w:val="false"/>
          <w:smallCaps w:val="false"/>
          <w:sz w:val="20"/>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of the Company under this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xml:space="preserve"> will survive the resignation or removal of the Trustee and the discharge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secure the Company’s payment obligations in this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the Trustee will have a lien prior to the Notes on all money or property held or collected by the Trustee, except that held in trust to pay principal of, or interest, if any, on, particular Notes, which lien will survive the discharge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- 81 -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incurs expenses or renders services after an Event of Default pursuant to </w:t>
      </w:r>
      <w:r>
        <w:rPr>
          <w:rFonts w:ascii="Times New Roman;Times;Serif" w:hAnsi="Times New Roman;Times;Serif"/>
          <w:b/>
          <w:i w:val="false"/>
          <w:caps w:val="false"/>
          <w:smallCaps w:val="false"/>
          <w:sz w:val="20"/>
        </w:rPr>
        <w:t>clause (viii)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(ix)</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occurs, then such expenses and the compensation for such services (including the fees and expenses of its agents and counsel) are intended to constitute expenses of administration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10.07.  </w:t>
      </w:r>
      <w:r>
        <w:rPr>
          <w:rFonts w:ascii="Times New Roman;Times;Serif" w:hAnsi="Times New Roman;Times;Serif"/>
          <w:b/>
          <w:i w:val="false"/>
          <w:smallCaps/>
          <w:sz w:val="20"/>
        </w:rPr>
        <w:t>Replacement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this </w:t>
      </w:r>
      <w:r>
        <w:rPr>
          <w:rFonts w:ascii="Times New Roman;Times;Serif" w:hAnsi="Times New Roman;Times;Serif"/>
          <w:b/>
          <w:i w:val="false"/>
          <w:caps w:val="false"/>
          <w:smallCaps w:val="false"/>
          <w:sz w:val="20"/>
        </w:rPr>
        <w:t>Section 10.07</w:t>
      </w:r>
      <w:r>
        <w:rPr>
          <w:rFonts w:ascii="Times New Roman;Times;Serif" w:hAnsi="Times New Roman;Times;Serif"/>
          <w:b w:val="false"/>
          <w:i w:val="false"/>
          <w:caps w:val="false"/>
          <w:smallCaps w:val="false"/>
          <w:sz w:val="20"/>
        </w:rPr>
        <w:t xml:space="preserve">, a resignation or removal of the Trustee, and the appointment of a successor Trustee, will become effective only upon such successor Trustee’s acceptance of appointment as provided in this </w:t>
      </w:r>
      <w:r>
        <w:rPr>
          <w:rFonts w:ascii="Times New Roman;Times;Serif" w:hAnsi="Times New Roman;Times;Serif"/>
          <w:b/>
          <w:i w:val="false"/>
          <w:caps w:val="false"/>
          <w:smallCaps w:val="false"/>
          <w:sz w:val="20"/>
        </w:rPr>
        <w:t>Section 10.07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fails to comply with </w:t>
      </w:r>
      <w:r>
        <w:rPr>
          <w:rFonts w:ascii="Times New Roman;Times;Serif" w:hAnsi="Times New Roman;Times;Serif"/>
          <w:b/>
          <w:i w:val="false"/>
          <w:caps w:val="false"/>
          <w:smallCaps w:val="false"/>
          <w:sz w:val="20"/>
        </w:rPr>
        <w:t>Section 10.09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is adjudged to be bankrupt or insolvent or an order for relief is entered with respect to the Trustee under any Bankruptcy Law;</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custodian or public officer takes charge of the Trustee or its property;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Trustee becomes incapable of acting.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after written request by a Holder of at least six (6) months, fails to comply with </w:t>
      </w:r>
      <w:r>
        <w:rPr>
          <w:rFonts w:ascii="Times New Roman;Times;Serif" w:hAnsi="Times New Roman;Times;Serif"/>
          <w:b/>
          <w:i w:val="false"/>
          <w:caps w:val="false"/>
          <w:smallCaps w:val="false"/>
          <w:sz w:val="20"/>
        </w:rPr>
        <w:t>Section 10.09</w:t>
      </w:r>
      <w:r>
        <w:rPr>
          <w:rFonts w:ascii="Times New Roman;Times;Serif" w:hAnsi="Times New Roman;Times;Serif"/>
          <w:b w:val="false"/>
          <w:i w:val="false"/>
          <w:caps w:val="false"/>
          <w:smallCaps w:val="false"/>
          <w:sz w:val="20"/>
        </w:rPr>
        <w:t>, then such Holder may petition any court of competent jurisdiction for the removal of the Trustee and the appointment of a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Times;Serif" w:hAnsi="Times New Roman;Times;Serif"/>
          <w:b/>
          <w:i w:val="false"/>
          <w:caps w:val="false"/>
          <w:smallCaps w:val="false"/>
          <w:sz w:val="20"/>
        </w:rPr>
        <w:t>Section 10.06(D)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- 82 -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10.08.  </w:t>
      </w:r>
      <w:r>
        <w:rPr>
          <w:rFonts w:ascii="Times New Roman;Times;Serif" w:hAnsi="Times New Roman;Times;Serif"/>
          <w:b/>
          <w:i w:val="false"/>
          <w:smallCaps/>
          <w:sz w:val="20"/>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all or substantially all of its corporate trust business to, another entity, then such entity will become the successor Trustee without any further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10.09.  </w:t>
      </w:r>
      <w:r>
        <w:rPr>
          <w:rFonts w:ascii="Times New Roman;Times;Serif" w:hAnsi="Times New Roman;Times;Serif"/>
          <w:b/>
          <w:i w:val="false"/>
          <w:smallCaps/>
          <w:sz w:val="20"/>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       Miscellaneous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11.01.  </w:t>
      </w:r>
      <w:r>
        <w:rPr>
          <w:rFonts w:ascii="Times New Roman;Times;Serif" w:hAnsi="Times New Roman;Times;Serif"/>
          <w:b/>
          <w:i w:val="false"/>
          <w:small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Opendoor Technologies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 West Washington Street, Suite 115, Tempe, AZ 85288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Opendoor Technologies Inc.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 West Washington Street, Suite 115, Tempe, AZ 85288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legal@opendoor.com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Fillmore Ave E,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MN 55107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EP-MN-WS3C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Joshua A. Hahn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joshua.hahn@usbank.com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200" w:after="200"/>
        <w:ind w:left="14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- 83 -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preceding paragraph, notices to the Trustee (other than a notice pursuant to Section 2.12) or any Note Agent must be in writing and will be deemed to have been given upon actual receipt by the Trustee or such Note Agent,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(including facsimile numbers and electronic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Each other party assumes all risks arising out of the use of electronic signatures and electronic methods to send communications to the Trustee, including without limitation the risk of the Trustee acting on an unauthorized communication, and the risk of interception or misuse by third parties. Notwithstanding the foregoing, the Trustee may in any instance and in its sole discretion require that an original document bearing a manual signature be delivered to the Trustee in lieu of, or in addition to, any such electronic communication.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or communication to a Holder of a Global Note shall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- 84 -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sent in the manner provided above within the time prescribed, it will be deemed to have been duly given, whether or not the addressee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11.02.  </w:t>
      </w:r>
      <w:r>
        <w:rPr>
          <w:rFonts w:ascii="Times New Roman;Times;Serif" w:hAnsi="Times New Roman;Times;Serif"/>
          <w:b/>
          <w:i w:val="false"/>
          <w:smallCaps/>
          <w:sz w:val="20"/>
        </w:rPr>
        <w:t>Delivery of Officer’s Certificate and Opinion of Counsel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(other than the initial authentication of Notes under this Indenture), the Company will furnish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Officer’s Certificate that complies with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and states that, in the opinion of the signatory thereto, all conditions precedent and covenants, if any, provided for in this Indenture relating to such action have been satisfied;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Opinion of Counsel that complies with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and states that, in the opinion of such counsel, all such conditions precedent and covenants, if any,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11.03.  </w:t>
      </w:r>
      <w:r>
        <w:rPr>
          <w:rFonts w:ascii="Times New Roman;Times;Serif" w:hAnsi="Times New Roman;Times;Serif"/>
          <w:b/>
          <w:i w:val="false"/>
          <w:smallCaps/>
          <w:sz w:val="20"/>
        </w:rPr>
        <w:t>Statements Required in Officer’s Certificate and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Officer’s Certificate (other than an Officer’s Certificate pursuant to </w:t>
      </w:r>
      <w:r>
        <w:rPr>
          <w:rFonts w:ascii="Times New Roman;Times;Serif" w:hAnsi="Times New Roman;Times;Serif"/>
          <w:b/>
          <w:i w:val="false"/>
          <w:caps w:val="false"/>
          <w:smallCaps w:val="false"/>
          <w:sz w:val="20"/>
        </w:rPr>
        <w:t>Section 3.05</w:t>
      </w:r>
      <w:r>
        <w:rPr>
          <w:rFonts w:ascii="Times New Roman;Times;Serif" w:hAnsi="Times New Roman;Times;Serif"/>
          <w:b w:val="false"/>
          <w:i w:val="false"/>
          <w:caps w:val="false"/>
          <w:smallCaps w:val="false"/>
          <w:sz w:val="20"/>
        </w:rPr>
        <w:t>) or Opinion of Counsel with respect to compliance with a covenant or condition provided for in this Indenture will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signatory thereto has read such covenant or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therein are based;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signatory, he, she or it has made such examination or investigation as is necessary to enable him, her or it to express an informed opinion as to whether or not such covenant or condition has been satisfied;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in the opinion of such signatory, such covenant or condition has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- 85 -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11.04.  </w:t>
      </w:r>
      <w:r>
        <w:rPr>
          <w:rFonts w:ascii="Times New Roman;Times;Serif" w:hAnsi="Times New Roman;Times;Serif"/>
          <w:b/>
          <w:i w:val="false"/>
          <w:smallCaps/>
          <w:sz w:val="20"/>
        </w:rPr>
        <w:t>Rules by the Trustee, the Registrar, the Paying Agent and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The Registrar, Paying Agent or Conversion Agent may make reasonable rules and set reasonable requirements for its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11.05.  </w:t>
      </w:r>
      <w:r>
        <w:rPr>
          <w:rFonts w:ascii="Times New Roman;Times;Serif" w:hAnsi="Times New Roman;Times;Serif"/>
          <w:b/>
          <w:i w:val="false"/>
          <w:smallCaps/>
          <w:sz w:val="20"/>
        </w:rPr>
        <w:t>No Personal Liability of Directors, Officers, Employees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11.06.  </w:t>
      </w:r>
      <w:r>
        <w:rPr>
          <w:rFonts w:ascii="Times New Roman;Times;Serif" w:hAnsi="Times New Roman;Times;Serif"/>
          <w:b/>
          <w:i w:val="false"/>
          <w:smallCaps/>
          <w:sz w:val="20"/>
        </w:rPr>
        <w:t>Governing Law;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11.07.  </w:t>
      </w:r>
      <w:r>
        <w:rPr>
          <w:rFonts w:ascii="Times New Roman;Times;Serif" w:hAnsi="Times New Roman;Times;Serif"/>
          <w:b/>
          <w:i w:val="false"/>
          <w:smallCaps/>
          <w:sz w:val="20"/>
        </w:rPr>
        <w:t>Submission to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11.08.  </w:t>
      </w:r>
      <w:r>
        <w:rPr>
          <w:rFonts w:ascii="Times New Roman;Times;Serif" w:hAnsi="Times New Roman;Times;Serif"/>
          <w:b/>
          <w:i w:val="false"/>
          <w:smallCaps/>
          <w:sz w:val="20"/>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- 86 -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11.09.  </w:t>
      </w:r>
      <w:r>
        <w:rPr>
          <w:rFonts w:ascii="Times New Roman;Times;Serif" w:hAnsi="Times New Roman;Times;Serif"/>
          <w:b/>
          <w:i w:val="false"/>
          <w:smallCaps/>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Notes will bind its successors. All agreements of the Trustee in this Indenture will bind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11.10.  </w:t>
      </w:r>
      <w:r>
        <w:rPr>
          <w:rFonts w:ascii="Times New Roman;Times;Serif" w:hAnsi="Times New Roman;Times;Serif"/>
          <w:b/>
          <w:i w:val="false"/>
          <w:smallCaps/>
          <w:sz w:val="20"/>
        </w:rPr>
        <w:t>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11.11.  </w:t>
      </w:r>
      <w:r>
        <w:rPr>
          <w:rFonts w:ascii="Times New Roman;Times;Serif" w:hAnsi="Times New Roman;Times;Serif"/>
          <w:b/>
          <w:i w:val="false"/>
          <w:smallCaps/>
          <w:sz w:val="20"/>
        </w:rPr>
        <w:t>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11.12.  </w:t>
      </w:r>
      <w:r>
        <w:rPr>
          <w:rFonts w:ascii="Times New Roman;Times;Serif" w:hAnsi="Times New Roman;Times;Serif"/>
          <w:b/>
          <w:i w:val="false"/>
          <w:smallCaps/>
          <w:sz w:val="20"/>
        </w:rPr>
        <w:t>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if any, on the Notes, any Additional Interest or Special Interest on the Notes, the Redemption Price, the Fundamental Change Repurchase Price, and the Conversion Rate. The Trustee shall not be responsible for verifying such calculations.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11.13.  </w:t>
      </w:r>
      <w:r>
        <w:rPr>
          <w:rFonts w:ascii="Times New Roman;Times;Serif" w:hAnsi="Times New Roman;Times;Serif"/>
          <w:b/>
          <w:i w:val="false"/>
          <w:smallCaps/>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or the Notes is invalid, illegal or unenforceable, then the validity, legality and enforceability of the remaining provisions of this Indenture or the Notes will not in any way be affected or impaired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- 87 -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11.14.  </w:t>
      </w:r>
      <w:r>
        <w:rPr>
          <w:rFonts w:ascii="Times New Roman;Times;Serif" w:hAnsi="Times New Roman;Times;Serif"/>
          <w:b/>
          <w:i w:val="false"/>
          <w:smallCaps/>
          <w:sz w:val="20"/>
        </w:rPr>
        <w:t>Counterparts; 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The words “execution,” “signed” and “signature” and words of like import in this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11.15.  </w:t>
      </w:r>
      <w:r>
        <w:rPr>
          <w:rFonts w:ascii="Times New Roman;Times;Serif" w:hAnsi="Times New Roman;Times;Serif"/>
          <w:b/>
          <w:i w:val="false"/>
          <w:smallCaps/>
          <w:sz w:val="20"/>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caps w:val="false"/>
          <w:smallCaps w:val="false"/>
          <w:sz w:val="20"/>
        </w:rPr>
        <w:t xml:space="preserve">ection </w:t>
      </w:r>
      <w:r>
        <w:rPr>
          <w:rFonts w:ascii="Times New Roman;Times;Serif" w:hAnsi="Times New Roman;Times;Serif"/>
          <w:b/>
          <w:i w:val="false"/>
          <w:caps w:val="false"/>
          <w:smallCaps w:val="false"/>
          <w:sz w:val="20"/>
        </w:rPr>
        <w:t xml:space="preserve">11.16.  </w:t>
      </w:r>
      <w:r>
        <w:rPr>
          <w:rFonts w:ascii="Times New Roman;Times;Serif" w:hAnsi="Times New Roman;Times;Serif"/>
          <w:b/>
          <w:i w:val="false"/>
          <w:smallCaps/>
          <w:sz w:val="20"/>
        </w:rPr>
        <w:t>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a beneficial owner, including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- 88 -</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to this Indenture have caused this Indenture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8104" w:type="dxa"/>
        <w:jc w:val="left"/>
        <w:tblInd w:w="0" w:type="dxa"/>
        <w:tblLayout w:type="fixed"/>
        <w:tblCellMar>
          <w:top w:w="0" w:type="dxa"/>
          <w:left w:w="0" w:type="dxa"/>
          <w:bottom w:w="0" w:type="dxa"/>
          <w:right w:w="0" w:type="dxa"/>
        </w:tblCellMar>
      </w:tblPr>
      <w:tblGrid>
        <w:gridCol w:w="75"/>
        <w:gridCol w:w="872"/>
        <w:gridCol w:w="1552"/>
        <w:gridCol w:w="5605"/>
      </w:tblGrid>
      <w:tr>
        <w:trPr/>
        <w:tc>
          <w:tcPr>
            <w:tcW w:w="75" w:type="dxa"/>
            <w:tcBorders/>
            <w:vAlign w:val="center"/>
          </w:tcPr>
          <w:p>
            <w:pPr>
              <w:pStyle w:val="TableContents"/>
              <w:bidi w:val="0"/>
              <w:spacing w:before="0" w:after="283"/>
              <w:jc w:val="left"/>
              <w:rPr/>
            </w:pPr>
            <w:r>
              <w:rPr/>
              <w:t> </w:t>
            </w:r>
          </w:p>
        </w:tc>
        <w:tc>
          <w:tcPr>
            <w:tcW w:w="8029" w:type="dxa"/>
            <w:gridSpan w:val="3"/>
            <w:tcBorders/>
            <w:vAlign w:val="center"/>
          </w:tcPr>
          <w:p>
            <w:pPr>
              <w:pStyle w:val="TableContents"/>
              <w:bidi w:val="0"/>
              <w:spacing w:before="0" w:after="283"/>
              <w:jc w:val="left"/>
              <w:rPr>
                <w:smallCaps/>
              </w:rPr>
            </w:pPr>
            <w:r>
              <w:rPr>
                <w:smallCaps/>
              </w:rPr>
              <w:t>OPENDOOR TECHNOLOGIES INC.</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715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By:</w:t>
            </w:r>
          </w:p>
        </w:tc>
        <w:tc>
          <w:tcPr>
            <w:tcW w:w="7157" w:type="dxa"/>
            <w:gridSpan w:val="2"/>
            <w:tcBorders>
              <w:bottom w:val="single" w:sz="8" w:space="0" w:color="000000"/>
            </w:tcBorders>
            <w:tcMar>
              <w:bottom w:w="28" w:type="dxa"/>
            </w:tcMar>
            <w:vAlign w:val="center"/>
          </w:tcPr>
          <w:p>
            <w:pPr>
              <w:pStyle w:val="TableContents"/>
              <w:bidi w:val="0"/>
              <w:spacing w:before="0" w:after="283"/>
              <w:jc w:val="left"/>
              <w:rPr/>
            </w:pPr>
            <w:r>
              <w:rPr/>
              <w:t>/s/ Christina Schwartz</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pPr>
            <w:r>
              <w:rPr/>
              <w:t>Name:</w:t>
            </w:r>
          </w:p>
        </w:tc>
        <w:tc>
          <w:tcPr>
            <w:tcW w:w="5605" w:type="dxa"/>
            <w:tcBorders/>
            <w:vAlign w:val="center"/>
          </w:tcPr>
          <w:p>
            <w:pPr>
              <w:pStyle w:val="TableContents"/>
              <w:bidi w:val="0"/>
              <w:spacing w:before="0" w:after="283"/>
              <w:jc w:val="left"/>
              <w:rPr/>
            </w:pPr>
            <w:r>
              <w:rPr/>
              <w:t>Christina Schwartz</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pPr>
            <w:r>
              <w:rPr/>
              <w:t>Title:</w:t>
            </w:r>
          </w:p>
        </w:tc>
        <w:tc>
          <w:tcPr>
            <w:tcW w:w="5605"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1552" w:type="dxa"/>
            <w:tcBorders/>
            <w:vAlign w:val="center"/>
          </w:tcPr>
          <w:p>
            <w:pPr>
              <w:pStyle w:val="TableContents"/>
              <w:bidi w:val="0"/>
              <w:spacing w:before="0" w:after="283"/>
              <w:jc w:val="left"/>
              <w:rPr/>
            </w:pPr>
            <w:r>
              <w:rPr/>
              <w:t> </w:t>
            </w:r>
          </w:p>
        </w:tc>
        <w:tc>
          <w:tcPr>
            <w:tcW w:w="5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29" w:type="dxa"/>
            <w:gridSpan w:val="3"/>
            <w:tcBorders/>
            <w:vAlign w:val="center"/>
          </w:tcPr>
          <w:p>
            <w:pPr>
              <w:pStyle w:val="TableContents"/>
              <w:bidi w:val="0"/>
              <w:spacing w:before="0" w:after="283"/>
              <w:jc w:val="left"/>
              <w:rPr>
                <w:caps/>
              </w:rPr>
            </w:pPr>
            <w:r>
              <w:rPr>
                <w:caps/>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1552" w:type="dxa"/>
            <w:tcBorders/>
            <w:vAlign w:val="center"/>
          </w:tcPr>
          <w:p>
            <w:pPr>
              <w:pStyle w:val="TableContents"/>
              <w:bidi w:val="0"/>
              <w:spacing w:before="0" w:after="283"/>
              <w:jc w:val="left"/>
              <w:rPr/>
            </w:pPr>
            <w:r>
              <w:rPr/>
              <w:t> </w:t>
            </w:r>
          </w:p>
        </w:tc>
        <w:tc>
          <w:tcPr>
            <w:tcW w:w="5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By:</w:t>
            </w:r>
          </w:p>
        </w:tc>
        <w:tc>
          <w:tcPr>
            <w:tcW w:w="7157"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Quinton M. DePompolo </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pPr>
            <w:r>
              <w:rPr/>
              <w:t>Name:</w:t>
            </w:r>
          </w:p>
        </w:tc>
        <w:tc>
          <w:tcPr>
            <w:tcW w:w="5605" w:type="dxa"/>
            <w:tcBorders/>
            <w:vAlign w:val="center"/>
          </w:tcPr>
          <w:p>
            <w:pPr>
              <w:pStyle w:val="TableContents"/>
              <w:bidi w:val="0"/>
              <w:spacing w:before="0" w:after="283"/>
              <w:jc w:val="left"/>
              <w:rPr/>
            </w:pPr>
            <w:r>
              <w:rPr/>
              <w:t>Quinton M. DePompolo</w:t>
            </w:r>
          </w:p>
        </w:tc>
      </w:tr>
      <w:tr>
        <w:trPr/>
        <w:tc>
          <w:tcPr>
            <w:tcW w:w="7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pPr>
            <w:r>
              <w:rPr/>
              <w:t>Title:</w:t>
            </w:r>
          </w:p>
        </w:tc>
        <w:tc>
          <w:tcPr>
            <w:tcW w:w="5605" w:type="dxa"/>
            <w:tcBorders/>
            <w:vAlign w:val="center"/>
          </w:tcPr>
          <w:p>
            <w:pPr>
              <w:pStyle w:val="TableContents"/>
              <w:bidi w:val="0"/>
              <w:spacing w:before="0" w:after="283"/>
              <w:jc w:val="left"/>
              <w:rPr/>
            </w:pPr>
            <w:r>
              <w:rPr/>
              <w:t>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Indenture]</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XHIBITA"/>
      <w:bookmarkEnd w:id="2"/>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Global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Restricted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Non-Affiliate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Opendoor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 Convertible Senior Note due 2030</w:t>
      </w:r>
    </w:p>
    <w:p>
      <w:pPr>
        <w:pStyle w:val="TextBody"/>
        <w:bidi w:val="0"/>
        <w:spacing w:before="0" w:after="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760"/>
        <w:gridCol w:w="1985"/>
      </w:tblGrid>
      <w:tr>
        <w:trPr/>
        <w:tc>
          <w:tcPr>
            <w:tcW w:w="1760" w:type="dxa"/>
            <w:tcBorders/>
            <w:vAlign w:val="center"/>
          </w:tcPr>
          <w:p>
            <w:pPr>
              <w:pStyle w:val="TableContents"/>
              <w:bidi w:val="0"/>
              <w:spacing w:before="0" w:after="283"/>
              <w:jc w:val="left"/>
              <w:rPr/>
            </w:pPr>
            <w:r>
              <w:rPr/>
              <w:t>CUSIP No.: [___]</w:t>
            </w:r>
          </w:p>
        </w:tc>
        <w:tc>
          <w:tcPr>
            <w:tcW w:w="1985" w:type="dxa"/>
            <w:tcBorders/>
            <w:vAlign w:val="center"/>
          </w:tcPr>
          <w:p>
            <w:pPr>
              <w:pStyle w:val="TableContents"/>
              <w:bidi w:val="0"/>
              <w:spacing w:before="0" w:after="283"/>
              <w:jc w:val="right"/>
              <w:rPr/>
            </w:pPr>
            <w:r>
              <w:rPr/>
              <w:t>Certificate No. [___]</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Opendoor Technologies Inc., a Delaware corporation, for value received, promises to pay to [Cede &amp; Co.], or its registered assigns, the principal sum of [___] dollars ($[___]) [(as revised by the attached Schedule of Exchanges of Interests in the Global Note)]* on August 15, 2030 and, to the extent applicable, to pay Special Interest or Additional Interest thereon, as provided in the Indenture referred to below, until the principal and all accrued and unpaid interest, if any, are paid or duly provided for.</w:t>
      </w:r>
    </w:p>
    <w:p>
      <w:pPr>
        <w:pStyle w:val="TextBody"/>
        <w:bidi w:val="0"/>
        <w:spacing w:before="0" w:after="0"/>
        <w:ind w:left="0" w:right="0" w:firstLine="72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2255"/>
        <w:gridCol w:w="3905"/>
      </w:tblGrid>
      <w:tr>
        <w:trPr/>
        <w:tc>
          <w:tcPr>
            <w:tcW w:w="2255" w:type="dxa"/>
            <w:tcBorders/>
            <w:vAlign w:val="center"/>
          </w:tcPr>
          <w:p>
            <w:pPr>
              <w:pStyle w:val="TableContents"/>
              <w:bidi w:val="0"/>
              <w:spacing w:before="0" w:after="283"/>
              <w:jc w:val="left"/>
              <w:rPr/>
            </w:pPr>
            <w:r>
              <w:rPr/>
              <w:t>Interest Payment Dates:</w:t>
            </w:r>
          </w:p>
        </w:tc>
        <w:tc>
          <w:tcPr>
            <w:tcW w:w="3905" w:type="dxa"/>
            <w:tcBorders/>
            <w:vAlign w:val="center"/>
          </w:tcPr>
          <w:p>
            <w:pPr>
              <w:pStyle w:val="TableContents"/>
              <w:bidi w:val="0"/>
              <w:spacing w:before="0" w:after="283"/>
              <w:jc w:val="left"/>
              <w:rPr/>
            </w:pPr>
            <w:r>
              <w:rPr/>
              <w:t>February 15 and August 15 of each year.</w:t>
            </w:r>
          </w:p>
        </w:tc>
      </w:tr>
    </w:tbl>
    <w:p>
      <w:pPr>
        <w:pStyle w:val="TextBody"/>
        <w:bidi w:val="0"/>
        <w:spacing w:before="0" w:after="0"/>
        <w:ind w:left="2880" w:right="0" w:hanging="288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2120"/>
        <w:gridCol w:w="5570"/>
      </w:tblGrid>
      <w:tr>
        <w:trPr/>
        <w:tc>
          <w:tcPr>
            <w:tcW w:w="2120" w:type="dxa"/>
            <w:tcBorders/>
            <w:vAlign w:val="center"/>
          </w:tcPr>
          <w:p>
            <w:pPr>
              <w:pStyle w:val="TableContents"/>
              <w:bidi w:val="0"/>
              <w:spacing w:before="0" w:after="283"/>
              <w:jc w:val="left"/>
              <w:rPr/>
            </w:pPr>
            <w:r>
              <w:rPr/>
              <w:t>Interest Record Dates:</w:t>
            </w:r>
          </w:p>
        </w:tc>
        <w:tc>
          <w:tcPr>
            <w:tcW w:w="5570" w:type="dxa"/>
            <w:tcBorders/>
            <w:vAlign w:val="center"/>
          </w:tcPr>
          <w:p>
            <w:pPr>
              <w:pStyle w:val="TableContents"/>
              <w:bidi w:val="0"/>
              <w:spacing w:before="0" w:after="283"/>
              <w:jc w:val="left"/>
              <w:rPr/>
            </w:pPr>
            <w:r>
              <w:rPr/>
              <w:t>February 1 and August 1 (whether or not a Business Day).</w:t>
            </w:r>
          </w:p>
        </w:tc>
      </w:tr>
    </w:tbl>
    <w:p>
      <w:pPr>
        <w:pStyle w:val="TextBody"/>
        <w:bidi w:val="0"/>
        <w:spacing w:before="0" w:after="0"/>
        <w:ind w:left="2880" w:right="0" w:hanging="28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Insert bracketed language for Global Notes only.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Opendoor Technologies Inc. has caused this instrument to be duly executed as of the date set forth below.</w:t>
      </w:r>
    </w:p>
    <w:p>
      <w:pPr>
        <w:pStyle w:val="TextBody"/>
        <w:bidi w:val="0"/>
        <w:spacing w:before="0" w:after="0"/>
        <w:ind w:left="0" w:right="0" w:firstLine="72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545"/>
        <w:gridCol w:w="60"/>
        <w:gridCol w:w="60"/>
        <w:gridCol w:w="1293"/>
        <w:gridCol w:w="2566"/>
      </w:tblGrid>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caps/>
              </w:rPr>
            </w:pPr>
            <w:r>
              <w:rPr>
                <w:caps/>
              </w:rPr>
              <w:t>Opendoor Technologies Inc.</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By:</w:t>
            </w:r>
          </w:p>
        </w:tc>
        <w:tc>
          <w:tcPr>
            <w:tcW w:w="256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left"/>
              <w:rPr/>
            </w:pPr>
            <w:r>
              <w:rPr/>
              <w:t>Name:</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left"/>
              <w:rPr/>
            </w:pPr>
            <w:r>
              <w:rPr/>
              <w:t>Title: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 </w:t>
      </w:r>
    </w:p>
    <w:tbl>
      <w:tblPr>
        <w:tblW w:w="3105" w:type="dxa"/>
        <w:jc w:val="left"/>
        <w:tblInd w:w="0" w:type="dxa"/>
        <w:tblLayout w:type="fixed"/>
        <w:tblCellMar>
          <w:top w:w="0" w:type="dxa"/>
          <w:left w:w="0" w:type="dxa"/>
          <w:bottom w:w="0" w:type="dxa"/>
          <w:right w:w="0" w:type="dxa"/>
        </w:tblCellMar>
      </w:tblPr>
      <w:tblGrid>
        <w:gridCol w:w="545"/>
        <w:gridCol w:w="60"/>
        <w:gridCol w:w="60"/>
        <w:gridCol w:w="365"/>
        <w:gridCol w:w="2075"/>
      </w:tblGrid>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0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center"/>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Opendoor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 Convertible Senior Note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Opendoor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0.00% Convertible Senior Notes due 2030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dated as of August 19, 2026 (as the same may be amended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Capitalized terms used in this Note without definition have the respective meanings ascribed to them in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This Note will not bear regular interest, and the principal amount of this Note will not accrete. Special Interest and Additional Interest will accrue on this Note in the circumstances, at the rates, and be payable on the dates, and in the manner, set forth in Sections 2.05, 3.04 and 7.03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This Note will mature on August 15, 2030, unless earlier repurchased, redeemed or converted.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Cash amounts due on this Note will be paid in the manner set forth in Section 2.04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Persons Deemed Owners</w:t>
      </w:r>
      <w:r>
        <w:rPr>
          <w:rFonts w:ascii="Times New Roman;Times;Serif" w:hAnsi="Times New Roman;Times;Serif"/>
          <w:b w:val="false"/>
          <w:i w:val="false"/>
          <w:caps w:val="false"/>
          <w:smallCaps w:val="false"/>
          <w:sz w:val="20"/>
        </w:rPr>
        <w:t>. The Holder of this Note will be treated as the owner of this Note for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Denominations; Transfers and Exchanges</w:t>
      </w:r>
      <w:r>
        <w:rPr>
          <w:rFonts w:ascii="Times New Roman;Times;Serif" w:hAnsi="Times New Roman;Times;Serif"/>
          <w:b w:val="false"/>
          <w:i w:val="false"/>
          <w:caps w:val="false"/>
          <w:smallCaps w:val="false"/>
          <w:sz w:val="20"/>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If a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Right of the Company to Redeem the Notes</w:t>
      </w:r>
      <w:r>
        <w:rPr>
          <w:rFonts w:ascii="Times New Roman;Times;Serif" w:hAnsi="Times New Roman;Times;Serif"/>
          <w:b w:val="false"/>
          <w:i w:val="false"/>
          <w:caps w:val="false"/>
          <w:smallCaps w:val="false"/>
          <w:sz w:val="20"/>
        </w:rPr>
        <w:t>. The Company will have the right to redeem the Notes for cash in the manner, and subject to the terms, set forth in Section 4.03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Holder of this Note may convert this Note into Conversion Consideration in the manner, and subject to the terms, set forth in Article 5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When the Company May Merge, Etc</w:t>
      </w:r>
      <w:r>
        <w:rPr>
          <w:rFonts w:ascii="Times New Roman;Times;Serif" w:hAnsi="Times New Roman;Times;Serif"/>
          <w:b w:val="false"/>
          <w:i w:val="false"/>
          <w:caps w:val="false"/>
          <w:smallCaps w:val="false"/>
          <w:sz w:val="20"/>
        </w:rPr>
        <w:t>. Article 6 of the Indenture places limited restrictions on the Company’s ability to be a party to a Business Combination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Defaults and Remedies</w:t>
      </w:r>
      <w:r>
        <w:rPr>
          <w:rFonts w:ascii="Times New Roman;Times;Serif" w:hAnsi="Times New Roman;Times;Serif"/>
          <w:b w:val="false"/>
          <w:i w:val="false"/>
          <w:caps w:val="false"/>
          <w:smallCaps w:val="false"/>
          <w:sz w:val="20"/>
        </w:rPr>
        <w:t>. If an Event of Default occurs, then the principal amount of, and all accrued and unpaid Special Interest and Additional Interest, if any, on, all of the Notes then outstanding may (and, in certain circumstances, will automatically) become due and payable in the manner, and subject to the terms, set forth in Article 7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Amendments, Supplements and Waivers</w:t>
      </w:r>
      <w:r>
        <w:rPr>
          <w:rFonts w:ascii="Times New Roman;Times;Serif" w:hAnsi="Times New Roman;Times;Serif"/>
          <w:b w:val="false"/>
          <w:i w:val="false"/>
          <w:caps w:val="false"/>
          <w:smallCaps w:val="false"/>
          <w:sz w:val="20"/>
        </w:rPr>
        <w:t>. The Company and the Trustee may amend or supplement the Indenture or the Notes or waive compliance with any provision of the Indenture or the Notes in the manner, and subject to the terms, set forth in Section 7.05 and Article 8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Authentication</w:t>
      </w:r>
      <w:r>
        <w:rPr>
          <w:rFonts w:ascii="Times New Roman;Times;Serif" w:hAnsi="Times New Roman;Times;Serif"/>
          <w:b w:val="false"/>
          <w:i w:val="false"/>
          <w:caps w:val="false"/>
          <w:smallCaps w:val="false"/>
          <w:sz w:val="20"/>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NOTE, AND ANY CLAIM, CONTROVERSY OR DISPUTE ARISING UNDER OR RELATED TO THIS NOTE, WILL BE GOVERNED BY AND CONSTRUED IN ACCORDANCE WITH THE LAWS OF THE STATE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Opendoor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 West Washington Street, Suite 115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Tempe, AZ 85288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425"/>
        <w:gridCol w:w="1790"/>
        <w:gridCol w:w="1745"/>
        <w:gridCol w:w="1775"/>
      </w:tblGrid>
      <w:tr>
        <w:trPr/>
        <w:tc>
          <w:tcPr>
            <w:tcW w:w="4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w:t>
              <w:br/>
              <w:t xml:space="preserve">(Decrease) in </w:t>
              <w:br/>
              <w:t xml:space="preserve">Principal Amount of </w:t>
              <w:br/>
              <w:t>this Global Note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17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br/>
              <w:t xml:space="preserve">this Global Note </w:t>
              <w:br/>
              <w:t xml:space="preserve">After Such Increase </w:t>
              <w:br/>
              <w:t>(Decrease)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17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 xml:space="preserve">Authorized </w:t>
              <w:br/>
              <w:t>Signatory of Trustee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Insert for Global Notes only.</w:t>
      </w:r>
    </w:p>
    <w:p>
      <w:pPr>
        <w:pStyle w:val="TextBody"/>
        <w:bidi w:val="0"/>
        <w:jc w:val="left"/>
        <w:rPr>
          <w:caps w:val="false"/>
          <w:smallCaps w:val="false"/>
        </w:rPr>
      </w:pPr>
      <w:r>
        <w:rPr>
          <w:caps w:val="false"/>
          <w:smallCaps w:val="false"/>
        </w:rPr>
        <w:t> </w:t>
      </w:r>
    </w:p>
    <w:tbl>
      <w:tblPr>
        <w:tblW w:w="270" w:type="dxa"/>
        <w:jc w:val="left"/>
        <w:tblInd w:w="0" w:type="dxa"/>
        <w:tblLayout w:type="fixed"/>
        <w:tblCellMar>
          <w:top w:w="0" w:type="dxa"/>
          <w:left w:w="0" w:type="dxa"/>
          <w:bottom w:w="0" w:type="dxa"/>
          <w:right w:w="0" w:type="dxa"/>
        </w:tblCellMar>
      </w:tblPr>
      <w:tblGrid>
        <w:gridCol w:w="75"/>
        <w:gridCol w:w="60"/>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Opendoor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the Company to convert (check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63"/>
        <w:gridCol w:w="9317"/>
      </w:tblGrid>
      <w:tr>
        <w:trPr/>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rFonts w:ascii="Wingdings" w:hAnsi="Wingdings"/>
              </w:rPr>
            </w:pPr>
            <w:r>
              <w:rPr>
                <w:rFonts w:ascii="Wingdings" w:hAnsi="Wingdings"/>
              </w:rPr>
              <w:t>o</w:t>
            </w:r>
          </w:p>
        </w:tc>
        <w:tc>
          <w:tcPr>
            <w:tcW w:w="9317" w:type="dxa"/>
            <w:tcBorders/>
            <w:vAlign w:val="center"/>
          </w:tcPr>
          <w:p>
            <w:pPr>
              <w:pStyle w:val="TableContents"/>
              <w:bidi w:val="0"/>
              <w:spacing w:before="0" w:after="283"/>
              <w:jc w:val="left"/>
              <w:rPr/>
            </w:pPr>
            <w:r>
              <w:rPr/>
              <w:t>the entire principal amount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03"/>
        <w:gridCol w:w="9620"/>
      </w:tblGrid>
      <w:tr>
        <w:trPr/>
        <w:tc>
          <w:tcPr>
            <w:tcW w:w="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rFonts w:ascii="Wingdings" w:hAnsi="Wingdings"/>
              </w:rPr>
            </w:pPr>
            <w:r>
              <w:rPr>
                <w:rFonts w:ascii="Wingdings" w:hAnsi="Wingdings"/>
              </w:rPr>
              <w:t>o</w:t>
            </w:r>
          </w:p>
        </w:tc>
        <w:tc>
          <w:tcPr>
            <w:tcW w:w="9620" w:type="dxa"/>
            <w:tcBorders/>
            <w:vAlign w:val="center"/>
          </w:tcPr>
          <w:p>
            <w:pPr>
              <w:pStyle w:val="TableContents"/>
              <w:bidi w:val="0"/>
              <w:spacing w:lineRule="auto" w:line="240" w:before="0" w:after="283"/>
              <w:jc w:val="left"/>
              <w:rPr/>
            </w:pPr>
            <w:r>
              <w:rPr/>
              <w:t>$</w:t>
            </w:r>
            <w:r>
              <w:rPr>
                <w:u w:val="single"/>
              </w:rPr>
              <w:t>                     </w:t>
            </w:r>
            <w:r>
              <w:rPr>
                <w:rFonts w:ascii="Times New Roman;Times;Serif" w:hAnsi="Times New Roman;Times;Serif"/>
                <w:sz w:val="20"/>
              </w:rPr>
              <w:t>*</w:t>
            </w:r>
            <w:r>
              <w:rPr/>
              <w:t xml:space="preserve"> aggregate principal amount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identified by CUSIP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an Interest Record Date and before the next Interest Payment Date, then such Note, when surrendered for conversion, must, in certain circumstances, be accompanied with an amount of cash equal to the Special Interest and Additional Interest, if any, that would have accrued on such Note to, but excluding, such Interest Payment Date.</w:t>
      </w:r>
    </w:p>
    <w:p>
      <w:pPr>
        <w:pStyle w:val="TextBody"/>
        <w:bidi w:val="0"/>
        <w:spacing w:before="0" w:after="0"/>
        <w:ind w:left="0" w:right="0" w:hanging="0"/>
        <w:jc w:val="left"/>
        <w:rPr>
          <w:caps w:val="false"/>
          <w:smallCaps w:val="false"/>
        </w:rPr>
      </w:pPr>
      <w:r>
        <w:rPr>
          <w:caps w:val="false"/>
          <w:smallCaps w:val="false"/>
        </w:rPr>
        <w:t> </w:t>
      </w:r>
    </w:p>
    <w:tbl>
      <w:tblPr>
        <w:tblW w:w="2994" w:type="dxa"/>
        <w:jc w:val="left"/>
        <w:tblInd w:w="0" w:type="dxa"/>
        <w:tblLayout w:type="fixed"/>
        <w:tblCellMar>
          <w:top w:w="0" w:type="dxa"/>
          <w:left w:w="0" w:type="dxa"/>
          <w:bottom w:w="0" w:type="dxa"/>
          <w:right w:w="0" w:type="dxa"/>
        </w:tblCellMar>
      </w:tblPr>
      <w:tblGrid>
        <w:gridCol w:w="545"/>
        <w:gridCol w:w="60"/>
        <w:gridCol w:w="60"/>
        <w:gridCol w:w="1032"/>
        <w:gridCol w:w="1297"/>
      </w:tblGrid>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center"/>
              <w:rPr/>
            </w:pPr>
            <w:r>
              <w:rPr/>
              <w:t>(Legal Name of Holder)</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60"/>
        <w:gridCol w:w="60"/>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60"/>
        <w:gridCol w:w="60"/>
        <w:gridCol w:w="536"/>
        <w:gridCol w:w="2618"/>
      </w:tblGrid>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Signature Guaranteed:</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bottom w:val="single" w:sz="8" w:space="0" w:color="000000"/>
            </w:tcBorders>
            <w:tcMar>
              <w:bottom w:w="28" w:type="dxa"/>
            </w:tcMar>
            <w:vAlign w:val="center"/>
          </w:tcPr>
          <w:p>
            <w:pPr>
              <w:pStyle w:val="TableContents"/>
              <w:bidi w:val="0"/>
              <w:spacing w:before="0" w:after="283"/>
              <w:jc w:val="left"/>
              <w:rPr/>
            </w:pPr>
            <w:r>
              <w:rPr/>
              <w:t> </w:t>
            </w:r>
          </w:p>
        </w:tc>
        <w:tc>
          <w:tcPr>
            <w:tcW w:w="2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xml:space="preserve">By: </w:t>
            </w:r>
          </w:p>
        </w:tc>
        <w:tc>
          <w:tcPr>
            <w:tcW w:w="2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2618" w:type="dxa"/>
            <w:tcBorders/>
            <w:vAlign w:val="center"/>
          </w:tcPr>
          <w:p>
            <w:pPr>
              <w:pStyle w:val="TableContents"/>
              <w:bidi w:val="0"/>
              <w:spacing w:before="0" w:after="283"/>
              <w:jc w:val="center"/>
              <w:rPr/>
            </w:pPr>
            <w:r>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Must be an Authorized Denomination.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Opendoor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63"/>
        <w:gridCol w:w="9317"/>
      </w:tblGrid>
      <w:tr>
        <w:trPr/>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rFonts w:ascii="Wingdings" w:hAnsi="Wingdings"/>
              </w:rPr>
            </w:pPr>
            <w:r>
              <w:rPr>
                <w:rFonts w:ascii="Wingdings" w:hAnsi="Wingdings"/>
              </w:rPr>
              <w:t>o</w:t>
            </w:r>
          </w:p>
        </w:tc>
        <w:tc>
          <w:tcPr>
            <w:tcW w:w="9317" w:type="dxa"/>
            <w:tcBorders/>
            <w:vAlign w:val="center"/>
          </w:tcPr>
          <w:p>
            <w:pPr>
              <w:pStyle w:val="TableContents"/>
              <w:bidi w:val="0"/>
              <w:spacing w:before="0" w:after="283"/>
              <w:jc w:val="left"/>
              <w:rPr/>
            </w:pPr>
            <w:r>
              <w:rPr/>
              <w:t>the entire principal amount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03"/>
        <w:gridCol w:w="9620"/>
      </w:tblGrid>
      <w:tr>
        <w:trPr/>
        <w:tc>
          <w:tcPr>
            <w:tcW w:w="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rFonts w:ascii="Wingdings" w:hAnsi="Wingdings"/>
              </w:rPr>
            </w:pPr>
            <w:r>
              <w:rPr>
                <w:rFonts w:ascii="Wingdings" w:hAnsi="Wingdings"/>
              </w:rPr>
              <w:t>o</w:t>
            </w:r>
          </w:p>
        </w:tc>
        <w:tc>
          <w:tcPr>
            <w:tcW w:w="9620" w:type="dxa"/>
            <w:tcBorders/>
            <w:vAlign w:val="center"/>
          </w:tcPr>
          <w:p>
            <w:pPr>
              <w:pStyle w:val="TableContents"/>
              <w:bidi w:val="0"/>
              <w:spacing w:lineRule="auto" w:line="240" w:before="0" w:after="283"/>
              <w:jc w:val="left"/>
              <w:rPr/>
            </w:pPr>
            <w:r>
              <w:rPr/>
              <w:t>$</w:t>
            </w:r>
            <w:r>
              <w:rPr>
                <w:u w:val="single"/>
              </w:rPr>
              <w:t>                     </w:t>
            </w:r>
            <w:r>
              <w:rPr>
                <w:rFonts w:ascii="Times New Roman;Times;Serif" w:hAnsi="Times New Roman;Times;Serif"/>
                <w:sz w:val="20"/>
              </w:rPr>
              <w:t>*</w:t>
            </w:r>
            <w:r>
              <w:rPr/>
              <w:t xml:space="preserve"> aggregate principal amount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identified by CUSIP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this Note, duly endorsed for transfer, must be delivered to the Paying Agent before the Fundamental Change Repurchase Price will be paid. </w:t>
      </w:r>
    </w:p>
    <w:tbl>
      <w:tblPr>
        <w:tblW w:w="2994" w:type="dxa"/>
        <w:jc w:val="left"/>
        <w:tblInd w:w="0" w:type="dxa"/>
        <w:tblLayout w:type="fixed"/>
        <w:tblCellMar>
          <w:top w:w="0" w:type="dxa"/>
          <w:left w:w="0" w:type="dxa"/>
          <w:bottom w:w="0" w:type="dxa"/>
          <w:right w:w="0" w:type="dxa"/>
        </w:tblCellMar>
      </w:tblPr>
      <w:tblGrid>
        <w:gridCol w:w="545"/>
        <w:gridCol w:w="60"/>
        <w:gridCol w:w="60"/>
        <w:gridCol w:w="1032"/>
        <w:gridCol w:w="1297"/>
      </w:tblGrid>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center"/>
              <w:rPr/>
            </w:pPr>
            <w:r>
              <w:rPr/>
              <w:t>(Legal Name of Holder)</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60"/>
        <w:gridCol w:w="60"/>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60"/>
        <w:gridCol w:w="60"/>
        <w:gridCol w:w="536"/>
        <w:gridCol w:w="2618"/>
      </w:tblGrid>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Signature Guaranteed:</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bottom w:val="single" w:sz="8" w:space="0" w:color="000000"/>
            </w:tcBorders>
            <w:tcMar>
              <w:bottom w:w="28" w:type="dxa"/>
            </w:tcMar>
            <w:vAlign w:val="center"/>
          </w:tcPr>
          <w:p>
            <w:pPr>
              <w:pStyle w:val="TableContents"/>
              <w:bidi w:val="0"/>
              <w:spacing w:before="0" w:after="283"/>
              <w:jc w:val="left"/>
              <w:rPr/>
            </w:pPr>
            <w:r>
              <w:rPr/>
              <w:t> </w:t>
            </w:r>
          </w:p>
        </w:tc>
        <w:tc>
          <w:tcPr>
            <w:tcW w:w="2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xml:space="preserve">By: </w:t>
            </w:r>
          </w:p>
        </w:tc>
        <w:tc>
          <w:tcPr>
            <w:tcW w:w="2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2618" w:type="dxa"/>
            <w:tcBorders/>
            <w:vAlign w:val="center"/>
          </w:tcPr>
          <w:p>
            <w:pPr>
              <w:pStyle w:val="TableContents"/>
              <w:bidi w:val="0"/>
              <w:spacing w:before="0" w:after="283"/>
              <w:jc w:val="center"/>
              <w:rPr/>
            </w:pPr>
            <w:r>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Must be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Opendoor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Convertible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Notes identified below assigns (check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63"/>
        <w:gridCol w:w="9317"/>
      </w:tblGrid>
      <w:tr>
        <w:trPr/>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rFonts w:ascii="Wingdings" w:hAnsi="Wingdings"/>
              </w:rPr>
            </w:pPr>
            <w:r>
              <w:rPr>
                <w:rFonts w:ascii="Wingdings" w:hAnsi="Wingdings"/>
              </w:rPr>
              <w:t>o</w:t>
            </w:r>
          </w:p>
        </w:tc>
        <w:tc>
          <w:tcPr>
            <w:tcW w:w="9317" w:type="dxa"/>
            <w:tcBorders/>
            <w:vAlign w:val="center"/>
          </w:tcPr>
          <w:p>
            <w:pPr>
              <w:pStyle w:val="TableContents"/>
              <w:bidi w:val="0"/>
              <w:spacing w:before="0" w:after="283"/>
              <w:jc w:val="left"/>
              <w:rPr/>
            </w:pPr>
            <w:r>
              <w:rPr/>
              <w:t>the entire principal amount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03"/>
        <w:gridCol w:w="9620"/>
      </w:tblGrid>
      <w:tr>
        <w:trPr/>
        <w:tc>
          <w:tcPr>
            <w:tcW w:w="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rFonts w:ascii="Wingdings" w:hAnsi="Wingdings"/>
              </w:rPr>
            </w:pPr>
            <w:r>
              <w:rPr>
                <w:rFonts w:ascii="Wingdings" w:hAnsi="Wingdings"/>
              </w:rPr>
              <w:t>o</w:t>
            </w:r>
          </w:p>
        </w:tc>
        <w:tc>
          <w:tcPr>
            <w:tcW w:w="9620" w:type="dxa"/>
            <w:tcBorders/>
            <w:vAlign w:val="center"/>
          </w:tcPr>
          <w:p>
            <w:pPr>
              <w:pStyle w:val="TableContents"/>
              <w:bidi w:val="0"/>
              <w:spacing w:lineRule="auto" w:line="240" w:before="0" w:after="283"/>
              <w:jc w:val="left"/>
              <w:rPr/>
            </w:pPr>
            <w:r>
              <w:rPr/>
              <w:t>$</w:t>
            </w:r>
            <w:r>
              <w:rPr>
                <w:u w:val="single"/>
              </w:rPr>
              <w:t>                     </w:t>
            </w:r>
            <w:r>
              <w:rPr>
                <w:rFonts w:ascii="Times New Roman;Times;Serif" w:hAnsi="Times New Roman;Times;Serif"/>
                <w:sz w:val="20"/>
              </w:rPr>
              <w:t>*</w:t>
            </w:r>
            <w:r>
              <w:rPr/>
              <w:t xml:space="preserve"> aggregate principal amount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identified by CUSIP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and all rights thereunder, to:</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75"/>
        <w:gridCol w:w="254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Social security or tax id.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gridSpan w:val="2"/>
            <w:tcBorders/>
            <w:vAlign w:val="center"/>
          </w:tcPr>
          <w:p>
            <w:pPr>
              <w:pStyle w:val="TableContents"/>
              <w:bidi w:val="0"/>
              <w:spacing w:before="0" w:after="283"/>
              <w:jc w:val="left"/>
              <w:rPr/>
            </w:pPr>
            <w:r>
              <w:rPr/>
              <w:t>and irrevocably appoints: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the Company. The agent may substitute another to act for him/her. </w:t>
      </w:r>
    </w:p>
    <w:tbl>
      <w:tblPr>
        <w:tblW w:w="2994" w:type="dxa"/>
        <w:jc w:val="left"/>
        <w:tblInd w:w="0" w:type="dxa"/>
        <w:tblLayout w:type="fixed"/>
        <w:tblCellMar>
          <w:top w:w="0" w:type="dxa"/>
          <w:left w:w="0" w:type="dxa"/>
          <w:bottom w:w="0" w:type="dxa"/>
          <w:right w:w="0" w:type="dxa"/>
        </w:tblCellMar>
      </w:tblPr>
      <w:tblGrid>
        <w:gridCol w:w="545"/>
        <w:gridCol w:w="60"/>
        <w:gridCol w:w="60"/>
        <w:gridCol w:w="1032"/>
        <w:gridCol w:w="1297"/>
      </w:tblGrid>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center"/>
              <w:rPr/>
            </w:pPr>
            <w:r>
              <w:rPr/>
              <w:t>(Legal Name of Holder)</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60"/>
        <w:gridCol w:w="60"/>
        <w:gridCol w:w="365"/>
        <w:gridCol w:w="66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60"/>
        <w:gridCol w:w="60"/>
        <w:gridCol w:w="536"/>
        <w:gridCol w:w="2618"/>
      </w:tblGrid>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Signature Guaranteed:</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6" w:type="dxa"/>
            <w:tcBorders>
              <w:bottom w:val="single" w:sz="8" w:space="0" w:color="000000"/>
            </w:tcBorders>
            <w:tcMar>
              <w:bottom w:w="28" w:type="dxa"/>
            </w:tcMar>
            <w:vAlign w:val="center"/>
          </w:tcPr>
          <w:p>
            <w:pPr>
              <w:pStyle w:val="TableContents"/>
              <w:bidi w:val="0"/>
              <w:spacing w:before="0" w:after="283"/>
              <w:jc w:val="left"/>
              <w:rPr/>
            </w:pPr>
            <w:r>
              <w:rPr/>
              <w:t> </w:t>
            </w:r>
          </w:p>
        </w:tc>
        <w:tc>
          <w:tcPr>
            <w:tcW w:w="2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31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xml:space="preserve">By: </w:t>
            </w:r>
          </w:p>
        </w:tc>
        <w:tc>
          <w:tcPr>
            <w:tcW w:w="2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2618" w:type="dxa"/>
            <w:tcBorders/>
            <w:vAlign w:val="center"/>
          </w:tcPr>
          <w:p>
            <w:pPr>
              <w:pStyle w:val="TableContents"/>
              <w:bidi w:val="0"/>
              <w:spacing w:before="0" w:after="283"/>
              <w:jc w:val="center"/>
              <w:rPr/>
            </w:pPr>
            <w:r>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Must be an Authorized Denomination.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within Note bears a Restricted Note Legend, the undersigned further certifies that (check one):</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215"/>
        <w:gridCol w:w="290"/>
        <w:gridCol w:w="7445"/>
      </w:tblGrid>
      <w:tr>
        <w:trPr/>
        <w:tc>
          <w:tcPr>
            <w:tcW w:w="215" w:type="dxa"/>
            <w:tcBorders/>
            <w:vAlign w:val="center"/>
          </w:tcPr>
          <w:p>
            <w:pPr>
              <w:pStyle w:val="TableContents"/>
              <w:bidi w:val="0"/>
              <w:spacing w:before="0" w:after="283"/>
              <w:jc w:val="left"/>
              <w:rPr/>
            </w:pPr>
            <w:r>
              <w:rPr/>
              <w:t>1.</w:t>
            </w:r>
          </w:p>
        </w:tc>
        <w:tc>
          <w:tcPr>
            <w:tcW w:w="290" w:type="dxa"/>
            <w:tcBorders/>
            <w:vAlign w:val="center"/>
          </w:tcPr>
          <w:p>
            <w:pPr>
              <w:pStyle w:val="TableContents"/>
              <w:bidi w:val="0"/>
              <w:spacing w:before="0" w:after="283"/>
              <w:jc w:val="left"/>
              <w:rPr/>
            </w:pPr>
            <w:r>
              <w:rPr>
                <w:rFonts w:ascii="Wingdings" w:hAnsi="Wingdings"/>
              </w:rPr>
              <w:t>o</w:t>
            </w:r>
            <w:r>
              <w:rPr/>
              <w:t xml:space="preserve"> </w:t>
            </w:r>
          </w:p>
        </w:tc>
        <w:tc>
          <w:tcPr>
            <w:tcW w:w="7445" w:type="dxa"/>
            <w:tcBorders/>
            <w:vAlign w:val="center"/>
          </w:tcPr>
          <w:p>
            <w:pPr>
              <w:pStyle w:val="TableContents"/>
              <w:bidi w:val="0"/>
              <w:spacing w:before="0" w:after="283"/>
              <w:jc w:val="left"/>
              <w:rPr/>
            </w:pPr>
            <w:r>
              <w:rPr/>
              <w:t>Such Transfer is being made to the Company or a Subsidiary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267"/>
        <w:gridCol w:w="9746"/>
      </w:tblGrid>
      <w:tr>
        <w:trPr/>
        <w:tc>
          <w:tcPr>
            <w:tcW w:w="192" w:type="dxa"/>
            <w:tcBorders/>
            <w:vAlign w:val="center"/>
          </w:tcPr>
          <w:p>
            <w:pPr>
              <w:pStyle w:val="TableContents"/>
              <w:bidi w:val="0"/>
              <w:spacing w:before="0" w:after="283"/>
              <w:jc w:val="left"/>
              <w:rPr/>
            </w:pPr>
            <w:r>
              <w:rPr/>
              <w:t>2.</w:t>
            </w:r>
          </w:p>
        </w:tc>
        <w:tc>
          <w:tcPr>
            <w:tcW w:w="267" w:type="dxa"/>
            <w:tcBorders/>
            <w:vAlign w:val="center"/>
          </w:tcPr>
          <w:p>
            <w:pPr>
              <w:pStyle w:val="TableContents"/>
              <w:bidi w:val="0"/>
              <w:spacing w:before="0" w:after="283"/>
              <w:jc w:val="left"/>
              <w:rPr/>
            </w:pPr>
            <w:r>
              <w:rPr>
                <w:rFonts w:ascii="Wingdings" w:hAnsi="Wingdings"/>
              </w:rPr>
              <w:t>o</w:t>
            </w:r>
            <w:r>
              <w:rPr/>
              <w:t xml:space="preserve"> </w:t>
            </w:r>
          </w:p>
        </w:tc>
        <w:tc>
          <w:tcPr>
            <w:tcW w:w="9746" w:type="dxa"/>
            <w:tcBorders/>
            <w:vAlign w:val="center"/>
          </w:tcPr>
          <w:p>
            <w:pPr>
              <w:pStyle w:val="TableContents"/>
              <w:bidi w:val="0"/>
              <w:spacing w:before="0" w:after="283"/>
              <w:jc w:val="left"/>
              <w:rPr/>
            </w:pPr>
            <w:r>
              <w:rPr/>
              <w:t>Such Transfer is being made pursuant to, and in accordance with, a registration statement that is effective under the Securities Act at the time of the Transfer.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237"/>
        <w:gridCol w:w="9806"/>
      </w:tblGrid>
      <w:tr>
        <w:trPr/>
        <w:tc>
          <w:tcPr>
            <w:tcW w:w="162" w:type="dxa"/>
            <w:tcBorders/>
            <w:vAlign w:val="center"/>
          </w:tcPr>
          <w:p>
            <w:pPr>
              <w:pStyle w:val="TableContents"/>
              <w:bidi w:val="0"/>
              <w:spacing w:before="0" w:after="283"/>
              <w:jc w:val="left"/>
              <w:rPr/>
            </w:pPr>
            <w:r>
              <w:rPr/>
              <w:t>3.</w:t>
            </w:r>
          </w:p>
        </w:tc>
        <w:tc>
          <w:tcPr>
            <w:tcW w:w="237" w:type="dxa"/>
            <w:tcBorders/>
            <w:vAlign w:val="center"/>
          </w:tcPr>
          <w:p>
            <w:pPr>
              <w:pStyle w:val="TableContents"/>
              <w:bidi w:val="0"/>
              <w:spacing w:before="0" w:after="283"/>
              <w:jc w:val="left"/>
              <w:rPr/>
            </w:pPr>
            <w:r>
              <w:rPr>
                <w:rFonts w:ascii="Wingdings" w:hAnsi="Wingdings"/>
              </w:rPr>
              <w:t>o</w:t>
            </w:r>
            <w:r>
              <w:rPr/>
              <w:t xml:space="preserve"> </w:t>
            </w:r>
          </w:p>
        </w:tc>
        <w:tc>
          <w:tcPr>
            <w:tcW w:w="9806" w:type="dxa"/>
            <w:tcBorders/>
            <w:vAlign w:val="center"/>
          </w:tcPr>
          <w:p>
            <w:pPr>
              <w:pStyle w:val="TableContents"/>
              <w:bidi w:val="0"/>
              <w:spacing w:before="0" w:after="283"/>
              <w:jc w:val="left"/>
              <w:rPr/>
            </w:pPr>
            <w:r>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b/>
              </w:rPr>
              <w:t>If this item is checked, then the transferee must complete and execute the acknowledgment contained on the next page</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254"/>
        <w:gridCol w:w="9772"/>
      </w:tblGrid>
      <w:tr>
        <w:trPr/>
        <w:tc>
          <w:tcPr>
            <w:tcW w:w="179" w:type="dxa"/>
            <w:tcBorders/>
            <w:vAlign w:val="center"/>
          </w:tcPr>
          <w:p>
            <w:pPr>
              <w:pStyle w:val="TableContents"/>
              <w:bidi w:val="0"/>
              <w:spacing w:before="0" w:after="283"/>
              <w:jc w:val="left"/>
              <w:rPr/>
            </w:pPr>
            <w:r>
              <w:rPr/>
              <w:t>4.</w:t>
            </w:r>
          </w:p>
        </w:tc>
        <w:tc>
          <w:tcPr>
            <w:tcW w:w="254" w:type="dxa"/>
            <w:tcBorders/>
            <w:vAlign w:val="center"/>
          </w:tcPr>
          <w:p>
            <w:pPr>
              <w:pStyle w:val="TableContents"/>
              <w:bidi w:val="0"/>
              <w:spacing w:before="0" w:after="283"/>
              <w:jc w:val="left"/>
              <w:rPr/>
            </w:pPr>
            <w:r>
              <w:rPr>
                <w:rFonts w:ascii="Wingdings" w:hAnsi="Wingdings"/>
              </w:rPr>
              <w:t>o</w:t>
            </w:r>
            <w:r>
              <w:rPr/>
              <w:t xml:space="preserve"> </w:t>
            </w:r>
          </w:p>
        </w:tc>
        <w:tc>
          <w:tcPr>
            <w:tcW w:w="9772" w:type="dxa"/>
            <w:tcBorders/>
            <w:vAlign w:val="center"/>
          </w:tcPr>
          <w:p>
            <w:pPr>
              <w:pStyle w:val="TableContents"/>
              <w:bidi w:val="0"/>
              <w:spacing w:before="0" w:after="283"/>
              <w:jc w:val="left"/>
              <w:rPr/>
            </w:pPr>
            <w:r>
              <w:rPr/>
              <w:t>Such Transfer is being made pursuant to, and in accordance with, any other available exemption from the registration requirements of the Securities Act (including, if available, the exemption provided by Rule 144 under the Securities Act).</w:t>
            </w:r>
          </w:p>
        </w:tc>
      </w:tr>
    </w:tbl>
    <w:tbl>
      <w:tblPr>
        <w:tblW w:w="3739" w:type="dxa"/>
        <w:jc w:val="left"/>
        <w:tblInd w:w="0" w:type="dxa"/>
        <w:tblLayout w:type="fixed"/>
        <w:tblCellMar>
          <w:top w:w="0" w:type="dxa"/>
          <w:left w:w="0" w:type="dxa"/>
          <w:bottom w:w="0" w:type="dxa"/>
          <w:right w:w="0" w:type="dxa"/>
        </w:tblCellMar>
      </w:tblPr>
      <w:tblGrid>
        <w:gridCol w:w="894"/>
        <w:gridCol w:w="2770"/>
        <w:gridCol w:w="75"/>
      </w:tblGrid>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4" w:type="dxa"/>
            <w:tcBorders/>
            <w:vAlign w:val="center"/>
          </w:tcPr>
          <w:p>
            <w:pPr>
              <w:pStyle w:val="TableContents"/>
              <w:bidi w:val="0"/>
              <w:spacing w:before="0" w:after="283"/>
              <w:jc w:val="left"/>
              <w:rPr/>
            </w:pPr>
            <w:r>
              <w:rPr/>
              <w:t>Dated:</w:t>
            </w:r>
          </w:p>
        </w:tc>
        <w:tc>
          <w:tcPr>
            <w:tcW w:w="277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894" w:type="dxa"/>
            <w:tcBorders>
              <w:bottom w:val="single" w:sz="8" w:space="0" w:color="000000"/>
            </w:tcBorders>
            <w:tcMar>
              <w:bottom w:w="28" w:type="dxa"/>
            </w:tcMar>
            <w:vAlign w:val="center"/>
          </w:tcPr>
          <w:p>
            <w:pPr>
              <w:pStyle w:val="TableContents"/>
              <w:bidi w:val="0"/>
              <w:spacing w:before="0" w:after="283"/>
              <w:jc w:val="left"/>
              <w:rPr/>
            </w:pPr>
            <w:r>
              <w:rPr/>
              <w:t> </w:t>
            </w:r>
          </w:p>
        </w:tc>
        <w:tc>
          <w:tcPr>
            <w:tcW w:w="277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3664" w:type="dxa"/>
            <w:gridSpan w:val="2"/>
            <w:tcBorders/>
            <w:vAlign w:val="center"/>
          </w:tcPr>
          <w:p>
            <w:pPr>
              <w:pStyle w:val="TableContents"/>
              <w:bidi w:val="0"/>
              <w:spacing w:before="0" w:after="283"/>
              <w:jc w:val="center"/>
              <w:rPr/>
            </w:pPr>
            <w:r>
              <w:rPr/>
              <w:t>(Legal Name of Holder)</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By:</w:t>
            </w:r>
          </w:p>
        </w:tc>
        <w:tc>
          <w:tcPr>
            <w:tcW w:w="27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3664" w:type="dxa"/>
            <w:gridSpan w:val="2"/>
            <w:tcBorders/>
            <w:vAlign w:val="center"/>
          </w:tcPr>
          <w:p>
            <w:pPr>
              <w:pStyle w:val="TableContents"/>
              <w:bidi w:val="0"/>
              <w:spacing w:before="0" w:after="283"/>
              <w:jc w:val="left"/>
              <w:rPr/>
            </w:pPr>
            <w:r>
              <w:rPr/>
              <w:t>Signature Guaranteed:</w:t>
            </w:r>
          </w:p>
        </w:tc>
        <w:tc>
          <w:tcPr>
            <w:tcW w:w="75" w:type="dxa"/>
            <w:tcBorders/>
            <w:vAlign w:val="center"/>
          </w:tcPr>
          <w:p>
            <w:pPr>
              <w:pStyle w:val="TableContents"/>
              <w:bidi w:val="0"/>
              <w:spacing w:before="0" w:after="283"/>
              <w:jc w:val="center"/>
              <w:rPr/>
            </w:pPr>
            <w:r>
              <w:rPr/>
              <w:t> </w:t>
            </w:r>
          </w:p>
        </w:tc>
      </w:tr>
      <w:tr>
        <w:trPr/>
        <w:tc>
          <w:tcPr>
            <w:tcW w:w="894" w:type="dxa"/>
            <w:tcBorders>
              <w:bottom w:val="single" w:sz="8" w:space="0" w:color="000000"/>
            </w:tcBorders>
            <w:tcMar>
              <w:bottom w:w="28" w:type="dxa"/>
            </w:tcMar>
            <w:vAlign w:val="center"/>
          </w:tcPr>
          <w:p>
            <w:pPr>
              <w:pStyle w:val="TableContents"/>
              <w:bidi w:val="0"/>
              <w:spacing w:before="0" w:after="283"/>
              <w:jc w:val="left"/>
              <w:rPr/>
            </w:pPr>
            <w:r>
              <w:rPr/>
              <w:t> </w:t>
            </w:r>
          </w:p>
        </w:tc>
        <w:tc>
          <w:tcPr>
            <w:tcW w:w="277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3664" w:type="dxa"/>
            <w:gridSpan w:val="2"/>
            <w:tcBorders/>
            <w:vAlign w:val="center"/>
          </w:tcPr>
          <w:p>
            <w:pPr>
              <w:pStyle w:val="TableContents"/>
              <w:bidi w:val="0"/>
              <w:spacing w:before="0" w:after="283"/>
              <w:jc w:val="center"/>
              <w:rPr/>
            </w:pPr>
            <w:r>
              <w:rPr/>
              <w:t>(Participant in a Recognized Signature</w:t>
            </w:r>
          </w:p>
        </w:tc>
        <w:tc>
          <w:tcPr>
            <w:tcW w:w="75" w:type="dxa"/>
            <w:tcBorders/>
            <w:vAlign w:val="center"/>
          </w:tcPr>
          <w:p>
            <w:pPr>
              <w:pStyle w:val="TableContents"/>
              <w:bidi w:val="0"/>
              <w:spacing w:before="0" w:after="283"/>
              <w:jc w:val="center"/>
              <w:rPr/>
            </w:pPr>
            <w:r>
              <w:rPr/>
              <w:t> </w:t>
            </w:r>
          </w:p>
        </w:tc>
      </w:tr>
      <w:tr>
        <w:trPr/>
        <w:tc>
          <w:tcPr>
            <w:tcW w:w="3664" w:type="dxa"/>
            <w:gridSpan w:val="2"/>
            <w:tcBorders/>
            <w:vAlign w:val="center"/>
          </w:tcPr>
          <w:p>
            <w:pPr>
              <w:pStyle w:val="TableContents"/>
              <w:bidi w:val="0"/>
              <w:spacing w:before="0" w:after="283"/>
              <w:jc w:val="center"/>
              <w:rPr/>
            </w:pPr>
            <w:r>
              <w:rPr/>
              <w:t>Guarantee Medallion Program)</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By:</w:t>
            </w:r>
          </w:p>
        </w:tc>
        <w:tc>
          <w:tcPr>
            <w:tcW w:w="27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894" w:type="dxa"/>
            <w:tcBorders/>
            <w:vAlign w:val="center"/>
          </w:tcPr>
          <w:p>
            <w:pPr>
              <w:pStyle w:val="TableContents"/>
              <w:bidi w:val="0"/>
              <w:spacing w:before="0" w:after="283"/>
              <w:jc w:val="left"/>
              <w:rPr/>
            </w:pPr>
            <w:r>
              <w:rPr/>
              <w:t> </w:t>
            </w:r>
          </w:p>
        </w:tc>
        <w:tc>
          <w:tcPr>
            <w:tcW w:w="2770"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TRANSFEREE 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that it is purchasing the within Note for its own account, or for one or more accounts with respect to which the undersigned exercises sole investment discretion, and that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 </w:t>
      </w:r>
    </w:p>
    <w:tbl>
      <w:tblPr>
        <w:tblW w:w="2149" w:type="dxa"/>
        <w:jc w:val="left"/>
        <w:tblInd w:w="0" w:type="dxa"/>
        <w:tblLayout w:type="fixed"/>
        <w:tblCellMar>
          <w:top w:w="0" w:type="dxa"/>
          <w:left w:w="0" w:type="dxa"/>
          <w:bottom w:w="0" w:type="dxa"/>
          <w:right w:w="0" w:type="dxa"/>
        </w:tblCellMar>
      </w:tblPr>
      <w:tblGrid>
        <w:gridCol w:w="1049"/>
        <w:gridCol w:w="1025"/>
        <w:gridCol w:w="75"/>
      </w:tblGrid>
      <w:tr>
        <w:trPr/>
        <w:tc>
          <w:tcPr>
            <w:tcW w:w="104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pPr>
            <w:r>
              <w:rPr/>
              <w:t>Dated:</w:t>
            </w:r>
          </w:p>
        </w:tc>
        <w:tc>
          <w:tcPr>
            <w:tcW w:w="10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049" w:type="dxa"/>
            <w:tcBorders>
              <w:bottom w:val="single" w:sz="8" w:space="0" w:color="000000"/>
            </w:tcBorders>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r>
        <w:trPr/>
        <w:tc>
          <w:tcPr>
            <w:tcW w:w="2074" w:type="dxa"/>
            <w:gridSpan w:val="2"/>
            <w:tcBorders/>
            <w:vAlign w:val="center"/>
          </w:tcPr>
          <w:p>
            <w:pPr>
              <w:pStyle w:val="TableContents"/>
              <w:bidi w:val="0"/>
              <w:spacing w:before="0" w:after="283"/>
              <w:jc w:val="center"/>
              <w:rPr/>
            </w:pPr>
            <w:r>
              <w:rPr/>
              <w:t>(Name of Transferee)</w:t>
            </w:r>
          </w:p>
        </w:tc>
        <w:tc>
          <w:tcPr>
            <w:tcW w:w="75" w:type="dxa"/>
            <w:tcBorders/>
            <w:vAlign w:val="center"/>
          </w:tcPr>
          <w:p>
            <w:pPr>
              <w:pStyle w:val="TableContents"/>
              <w:bidi w:val="0"/>
              <w:spacing w:before="0" w:after="283"/>
              <w:jc w:val="center"/>
              <w:rPr/>
            </w:pPr>
            <w:r>
              <w:rPr/>
              <w:t> </w:t>
            </w:r>
          </w:p>
        </w:tc>
      </w:tr>
      <w:tr>
        <w:trPr/>
        <w:tc>
          <w:tcPr>
            <w:tcW w:w="104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049" w:type="dxa"/>
            <w:tcBorders/>
            <w:vAlign w:val="center"/>
          </w:tcPr>
          <w:p>
            <w:pPr>
              <w:pStyle w:val="TableContents"/>
              <w:bidi w:val="0"/>
              <w:spacing w:before="0" w:after="283"/>
              <w:jc w:val="left"/>
              <w:rPr/>
            </w:pPr>
            <w:r>
              <w:rPr/>
              <w:t>By:</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104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center"/>
              <w:rPr/>
            </w:pPr>
            <w:r>
              <w:rPr/>
              <w:t> </w:t>
            </w:r>
          </w:p>
        </w:tc>
      </w:tr>
      <w:tr>
        <w:trPr/>
        <w:tc>
          <w:tcPr>
            <w:tcW w:w="104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center"/>
              <w:rPr/>
            </w:pPr>
            <w:r>
              <w:rPr/>
              <w:t> </w:t>
            </w:r>
          </w:p>
        </w:tc>
      </w:tr>
      <w:tr>
        <w:trPr/>
        <w:tc>
          <w:tcPr>
            <w:tcW w:w="1049"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RESTRICTED NOTE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left"/>
              <w:rPr/>
            </w:pPr>
            <w:r>
              <w:rPr/>
              <w:t>REPRESENTS THAT IT AND ANY ACCOUNT FOR WHICH IT IS ACTING IS A “QUALIFIED INSTITUTIONAL BUYER” (WITHIN THE MEANING OF RULE 144A UNDER THE SECURITIES ACT) AND THAT IT EXERCISES SOLE INVESTMENT DISCRETION WITH RESPECT TO EACH SUCH ACCOUNT;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left"/>
              <w:rPr/>
            </w:pPr>
            <w:r>
              <w:rPr/>
              <w:t>AGREES FOR THE BENEFIT OF THE COMPANY THAT IT WILL NOT OFFER, SELL OR OTHERWISE TRANSFER THIS NOTE OR ANY BENEFICIAL INTEREST HEREIN, EXCEPT ONLY: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62"/>
        <w:gridCol w:w="9582"/>
      </w:tblGrid>
      <w:tr>
        <w:trPr/>
        <w:tc>
          <w:tcPr>
            <w:tcW w:w="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pPr>
            <w:r>
              <w:rPr/>
              <w:t>(A)</w:t>
            </w:r>
          </w:p>
        </w:tc>
        <w:tc>
          <w:tcPr>
            <w:tcW w:w="9582" w:type="dxa"/>
            <w:tcBorders/>
            <w:vAlign w:val="center"/>
          </w:tcPr>
          <w:p>
            <w:pPr>
              <w:pStyle w:val="TableContents"/>
              <w:bidi w:val="0"/>
              <w:spacing w:before="0" w:after="283"/>
              <w:jc w:val="left"/>
              <w:rPr/>
            </w:pPr>
            <w:r>
              <w:rPr/>
              <w:t>TO THE COMPANY OR ANY SUBSIDIARY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4"/>
        <w:gridCol w:w="9844"/>
      </w:tblGrid>
      <w:tr>
        <w:trPr/>
        <w:tc>
          <w:tcPr>
            <w:tcW w:w="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(B)</w:t>
            </w:r>
          </w:p>
        </w:tc>
        <w:tc>
          <w:tcPr>
            <w:tcW w:w="9844" w:type="dxa"/>
            <w:tcBorders/>
            <w:vAlign w:val="center"/>
          </w:tcPr>
          <w:p>
            <w:pPr>
              <w:pStyle w:val="TableContents"/>
              <w:bidi w:val="0"/>
              <w:spacing w:before="0" w:after="283"/>
              <w:jc w:val="left"/>
              <w:rPr/>
            </w:pPr>
            <w:r>
              <w:rPr/>
              <w:t>PURSUANT TO A REGISTRATION STATEMENT THAT IS EFFECTIVE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(C)</w:t>
            </w:r>
          </w:p>
        </w:tc>
        <w:tc>
          <w:tcPr>
            <w:tcW w:w="9851" w:type="dxa"/>
            <w:tcBorders/>
            <w:vAlign w:val="center"/>
          </w:tcPr>
          <w:p>
            <w:pPr>
              <w:pStyle w:val="TableContents"/>
              <w:bidi w:val="0"/>
              <w:spacing w:before="0" w:after="283"/>
              <w:jc w:val="left"/>
              <w:rPr/>
            </w:pPr>
            <w:r>
              <w:rPr/>
              <w:t>TO A QUALIFIED INSTITUTIONAL BUYER IN COMPLIANCE WITH RULE 144A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98"/>
        <w:gridCol w:w="9653"/>
      </w:tblGrid>
      <w:tr>
        <w:trPr/>
        <w:tc>
          <w:tcPr>
            <w:tcW w:w="5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(D)</w:t>
            </w:r>
          </w:p>
        </w:tc>
        <w:tc>
          <w:tcPr>
            <w:tcW w:w="9653" w:type="dxa"/>
            <w:tcBorders/>
            <w:vAlign w:val="center"/>
          </w:tcPr>
          <w:p>
            <w:pPr>
              <w:pStyle w:val="TableContents"/>
              <w:bidi w:val="0"/>
              <w:spacing w:before="0" w:after="283"/>
              <w:jc w:val="left"/>
              <w:rPr/>
            </w:pPr>
            <w:r>
              <w:rPr/>
              <w:t>PURSUANT TO RULE 144 UNDER THE SECURITIES ACT;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(E)</w:t>
            </w:r>
          </w:p>
        </w:tc>
        <w:tc>
          <w:tcPr>
            <w:tcW w:w="9886" w:type="dxa"/>
            <w:tcBorders/>
            <w:vAlign w:val="center"/>
          </w:tcPr>
          <w:p>
            <w:pPr>
              <w:pStyle w:val="TableContents"/>
              <w:bidi w:val="0"/>
              <w:spacing w:before="0" w:after="283"/>
              <w:jc w:val="left"/>
              <w:rPr/>
            </w:pPr>
            <w:r>
              <w:rPr/>
              <w:t>PURSUANT TO ANY OTHER EXEMPTION FROM, OR IN A TRANSACTION NOT SUBJECT TO, THE REGISTRATION REQUIREMENTS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GLOBAL NOTE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B2-1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NON-AFFILIATE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1933, AS AMENDED) OF THE COMPANY MAY PURCHASE OR OTHERWISE ACQUIRE THIS NOTE OR ANY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B3-1</w:t>
      </w:r>
    </w:p>
    <w:p>
      <w:pPr>
        <w:pStyle w:val="HorizontalLine"/>
        <w:pBdr>
          <w:bottom w:val="single" w:sz="12"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48795</Words>
  <Characters>249478</Characters>
  <CharactersWithSpaces>303000</CharactersWithSpaces>
  <Paragraphs>3144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