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3" w:lineRule="exact"/>
        <w:rPr>
          <w:sz w:val="24"/>
          <w:szCs w:val="24"/>
          <w:color w:val="auto"/>
        </w:rPr>
      </w:pPr>
    </w:p>
    <w:p>
      <w:pPr>
        <w:ind w:left="340" w:right="1640" w:hanging="258"/>
        <w:spacing w:after="0" w:line="323" w:lineRule="auto"/>
        <w:tabs>
          <w:tab w:leader="none" w:pos="3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45" w:lineRule="exact"/>
        <w:rPr>
          <w:sz w:val="24"/>
          <w:szCs w:val="24"/>
          <w:color w:val="auto"/>
        </w:rPr>
      </w:pPr>
    </w:p>
    <w:p>
      <w:pPr>
        <w:ind w:left="340" w:right="1640" w:hanging="265"/>
        <w:spacing w:after="0" w:line="422" w:lineRule="auto"/>
        <w:tabs>
          <w:tab w:leader="none" w:pos="33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 to ____________.</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001-39253</w:t>
      </w:r>
    </w:p>
    <w:p>
      <w:pPr>
        <w:spacing w:after="0" w:line="13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Opendoor Technologies Inc.</w:t>
      </w:r>
    </w:p>
    <w:p>
      <w:pPr>
        <w:sectPr>
          <w:pgSz w:w="11900" w:h="16838" w:orient="portrait"/>
          <w:cols w:equalWidth="0" w:num="1">
            <w:col w:w="11120"/>
          </w:cols>
          <w:pgMar w:left="320" w:top="247" w:right="459" w:bottom="1440" w:gutter="0" w:footer="0" w:header="0"/>
        </w:sectPr>
      </w:pPr>
    </w:p>
    <w:p>
      <w:pPr>
        <w:spacing w:after="0" w:line="289" w:lineRule="exact"/>
        <w:rPr>
          <w:sz w:val="24"/>
          <w:szCs w:val="24"/>
          <w:color w:val="auto"/>
        </w:rPr>
      </w:pPr>
    </w:p>
    <w:p>
      <w:pPr>
        <w:jc w:val="center"/>
        <w:ind w:left="1160"/>
        <w:spacing w:after="0"/>
        <w:rPr>
          <w:sz w:val="20"/>
          <w:szCs w:val="20"/>
          <w:color w:val="auto"/>
        </w:rPr>
      </w:pPr>
      <w:r>
        <w:rPr>
          <w:rFonts w:ascii="Arial" w:cs="Arial" w:eastAsia="Arial" w:hAnsi="Arial"/>
          <w:sz w:val="18"/>
          <w:szCs w:val="18"/>
          <w:b w:val="1"/>
          <w:bCs w:val="1"/>
          <w:color w:val="auto"/>
        </w:rPr>
        <w:t>Delaware</w:t>
      </w:r>
    </w:p>
    <w:p>
      <w:pPr>
        <w:spacing w:after="0" w:line="108" w:lineRule="exact"/>
        <w:rPr>
          <w:sz w:val="24"/>
          <w:szCs w:val="24"/>
          <w:color w:val="auto"/>
        </w:rPr>
      </w:pPr>
    </w:p>
    <w:p>
      <w:pPr>
        <w:jc w:val="both"/>
        <w:ind w:left="1160" w:firstLine="38"/>
        <w:spacing w:after="0" w:line="376" w:lineRule="auto"/>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(Exact name of registrant as specified in its charter)</w:t>
      </w:r>
    </w:p>
    <w:p>
      <w:pPr>
        <w:spacing w:after="0" w:line="43" w:lineRule="exact"/>
        <w:rPr>
          <w:sz w:val="24"/>
          <w:szCs w:val="24"/>
          <w:color w:val="auto"/>
        </w:rPr>
      </w:pPr>
    </w:p>
    <w:p>
      <w:pPr>
        <w:jc w:val="center"/>
        <w:ind w:left="-3059"/>
        <w:spacing w:after="0"/>
        <w:rPr>
          <w:sz w:val="20"/>
          <w:szCs w:val="20"/>
          <w:color w:val="auto"/>
        </w:rPr>
      </w:pPr>
      <w:r>
        <w:rPr>
          <w:rFonts w:ascii="Arial" w:cs="Arial" w:eastAsia="Arial" w:hAnsi="Arial"/>
          <w:sz w:val="18"/>
          <w:szCs w:val="18"/>
          <w:b w:val="1"/>
          <w:bCs w:val="1"/>
          <w:color w:val="auto"/>
        </w:rPr>
        <w:t>98-1515020</w:t>
      </w:r>
    </w:p>
    <w:p>
      <w:pPr>
        <w:spacing w:after="0" w:line="67" w:lineRule="exact"/>
        <w:rPr>
          <w:sz w:val="24"/>
          <w:szCs w:val="24"/>
          <w:color w:val="auto"/>
        </w:rPr>
      </w:pPr>
    </w:p>
    <w:p>
      <w:pPr>
        <w:jc w:val="center"/>
        <w:ind w:left="-3059"/>
        <w:spacing w:after="0"/>
        <w:rPr>
          <w:sz w:val="20"/>
          <w:szCs w:val="20"/>
          <w:color w:val="auto"/>
        </w:rPr>
      </w:pPr>
      <w:r>
        <w:rPr>
          <w:rFonts w:ascii="Arial" w:cs="Arial" w:eastAsia="Arial" w:hAnsi="Arial"/>
          <w:sz w:val="16"/>
          <w:szCs w:val="16"/>
          <w:color w:val="auto"/>
        </w:rPr>
        <w:t>(I.R.S. Employer Identification No.)</w:t>
      </w:r>
    </w:p>
    <w:p>
      <w:pPr>
        <w:spacing w:after="0" w:line="434" w:lineRule="exact"/>
        <w:rPr>
          <w:sz w:val="24"/>
          <w:szCs w:val="24"/>
          <w:color w:val="auto"/>
        </w:rPr>
      </w:pPr>
    </w:p>
    <w:p>
      <w:pPr>
        <w:sectPr>
          <w:pgSz w:w="11900" w:h="16838" w:orient="portrait"/>
          <w:cols w:equalWidth="0" w:num="2">
            <w:col w:w="3320" w:space="440"/>
            <w:col w:w="7360"/>
          </w:cols>
          <w:pgMar w:left="320" w:top="247" w:right="459" w:bottom="1440" w:gutter="0" w:footer="0" w:header="0"/>
          <w:type w:val="continuous"/>
        </w:sectPr>
      </w:pPr>
    </w:p>
    <w:p>
      <w:pPr>
        <w:ind w:left="540"/>
        <w:spacing w:after="0"/>
        <w:tabs>
          <w:tab w:leader="none" w:pos="2880" w:val="left"/>
        </w:tabs>
        <w:rPr>
          <w:sz w:val="20"/>
          <w:szCs w:val="20"/>
          <w:color w:val="auto"/>
        </w:rPr>
      </w:pPr>
      <w:r>
        <w:rPr>
          <w:rFonts w:ascii="Arial" w:cs="Arial" w:eastAsia="Arial" w:hAnsi="Arial"/>
          <w:sz w:val="18"/>
          <w:szCs w:val="18"/>
          <w:b w:val="1"/>
          <w:bCs w:val="1"/>
          <w:color w:val="auto"/>
        </w:rPr>
        <w:t>410 N. Scottsdale Road,</w:t>
      </w:r>
      <w:r>
        <w:rPr>
          <w:sz w:val="20"/>
          <w:szCs w:val="20"/>
          <w:color w:val="auto"/>
        </w:rPr>
        <w:tab/>
      </w:r>
      <w:r>
        <w:rPr>
          <w:rFonts w:ascii="Arial" w:cs="Arial" w:eastAsia="Arial" w:hAnsi="Arial"/>
          <w:sz w:val="16"/>
          <w:szCs w:val="16"/>
          <w:b w:val="1"/>
          <w:bCs w:val="1"/>
          <w:color w:val="auto"/>
        </w:rPr>
        <w:t>Suite 1600</w:t>
      </w:r>
    </w:p>
    <w:p>
      <w:pPr>
        <w:spacing w:after="0" w:line="63" w:lineRule="exact"/>
        <w:rPr>
          <w:sz w:val="24"/>
          <w:szCs w:val="24"/>
          <w:color w:val="auto"/>
        </w:rPr>
      </w:pPr>
    </w:p>
    <w:p>
      <w:pPr>
        <w:ind w:left="1660"/>
        <w:spacing w:after="0"/>
        <w:tabs>
          <w:tab w:leader="none" w:pos="8960" w:val="left"/>
        </w:tabs>
        <w:rPr>
          <w:sz w:val="20"/>
          <w:szCs w:val="20"/>
          <w:color w:val="auto"/>
        </w:rPr>
      </w:pPr>
      <w:r>
        <w:rPr>
          <w:rFonts w:ascii="Arial" w:cs="Arial" w:eastAsia="Arial" w:hAnsi="Arial"/>
          <w:sz w:val="18"/>
          <w:szCs w:val="18"/>
          <w:b w:val="1"/>
          <w:bCs w:val="1"/>
          <w:color w:val="auto"/>
        </w:rPr>
        <w:t>Tempe, AZ</w:t>
      </w:r>
      <w:r>
        <w:rPr>
          <w:sz w:val="20"/>
          <w:szCs w:val="20"/>
          <w:color w:val="auto"/>
        </w:rPr>
        <w:tab/>
      </w:r>
      <w:r>
        <w:rPr>
          <w:rFonts w:ascii="Arial" w:cs="Arial" w:eastAsia="Arial" w:hAnsi="Arial"/>
          <w:sz w:val="15"/>
          <w:szCs w:val="15"/>
          <w:b w:val="1"/>
          <w:bCs w:val="1"/>
          <w:color w:val="auto"/>
        </w:rPr>
        <w:t>85281</w:t>
      </w:r>
    </w:p>
    <w:p>
      <w:pPr>
        <w:spacing w:after="0" w:line="67" w:lineRule="exact"/>
        <w:rPr>
          <w:sz w:val="24"/>
          <w:szCs w:val="24"/>
          <w:color w:val="auto"/>
        </w:rPr>
      </w:pPr>
    </w:p>
    <w:p>
      <w:pPr>
        <w:ind w:left="780"/>
        <w:spacing w:after="0"/>
        <w:tabs>
          <w:tab w:leader="none" w:pos="878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16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(415) 896-6737</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4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9" w:lineRule="exact"/>
        <w:rPr>
          <w:sz w:val="24"/>
          <w:szCs w:val="24"/>
          <w:color w:val="auto"/>
        </w:rPr>
      </w:pPr>
    </w:p>
    <w:p>
      <w:pPr>
        <w:ind w:left="1580"/>
        <w:spacing w:after="0"/>
        <w:tabs>
          <w:tab w:leader="none" w:pos="4880" w:val="left"/>
          <w:tab w:leader="none" w:pos="728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67" w:lineRule="exact"/>
        <w:rPr>
          <w:sz w:val="24"/>
          <w:szCs w:val="24"/>
          <w:color w:val="auto"/>
        </w:rPr>
      </w:pPr>
    </w:p>
    <w:p>
      <w:pPr>
        <w:ind w:left="680"/>
        <w:spacing w:after="0"/>
        <w:tabs>
          <w:tab w:leader="none" w:pos="5360" w:val="left"/>
          <w:tab w:leader="none" w:pos="7820" w:val="left"/>
        </w:tabs>
        <w:rPr>
          <w:sz w:val="20"/>
          <w:szCs w:val="20"/>
          <w:color w:val="auto"/>
        </w:rPr>
      </w:pPr>
      <w:r>
        <w:rPr>
          <w:rFonts w:ascii="Arial" w:cs="Arial" w:eastAsia="Arial" w:hAnsi="Arial"/>
          <w:sz w:val="18"/>
          <w:szCs w:val="18"/>
          <w:color w:val="auto"/>
        </w:rPr>
        <w:t>Common stock, $0.0001 par value per share</w:t>
      </w:r>
      <w:r>
        <w:rPr>
          <w:sz w:val="20"/>
          <w:szCs w:val="20"/>
          <w:color w:val="auto"/>
        </w:rPr>
        <w:tab/>
      </w:r>
      <w:r>
        <w:rPr>
          <w:rFonts w:ascii="Arial" w:cs="Arial" w:eastAsia="Arial" w:hAnsi="Arial"/>
          <w:sz w:val="18"/>
          <w:szCs w:val="18"/>
          <w:color w:val="auto"/>
        </w:rPr>
        <w:t>OPEN</w:t>
      </w:r>
      <w:r>
        <w:rPr>
          <w:sz w:val="20"/>
          <w:szCs w:val="20"/>
          <w:color w:val="auto"/>
        </w:rPr>
        <w:tab/>
      </w:r>
      <w:r>
        <w:rPr>
          <w:rFonts w:ascii="Arial" w:cs="Arial" w:eastAsia="Arial" w:hAnsi="Arial"/>
          <w:sz w:val="16"/>
          <w:szCs w:val="16"/>
          <w:color w:val="auto"/>
        </w:rPr>
        <w:t>The Nasdaq Stock Market LLC</w:t>
      </w:r>
    </w:p>
    <w:p>
      <w:pPr>
        <w:spacing w:after="0" w:line="239"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31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420"/>
              <w:spacing w:after="0"/>
              <w:rPr>
                <w:sz w:val="20"/>
                <w:szCs w:val="20"/>
                <w:color w:val="auto"/>
              </w:rPr>
            </w:pPr>
            <w:r>
              <w:rPr>
                <w:rFonts w:ascii="Arial" w:cs="Arial" w:eastAsia="Arial" w:hAnsi="Arial"/>
                <w:sz w:val="18"/>
                <w:szCs w:val="18"/>
                <w:color w:val="auto"/>
              </w:rPr>
              <w:t>Accelerated filer</w:t>
            </w:r>
          </w:p>
        </w:tc>
        <w:tc>
          <w:tcPr>
            <w:tcW w:w="158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3100" w:type="dxa"/>
            <w:vAlign w:val="bottom"/>
          </w:tcPr>
          <w:p>
            <w:pPr>
              <w:spacing w:after="0"/>
              <w:rPr>
                <w:sz w:val="20"/>
                <w:szCs w:val="20"/>
                <w:color w:val="auto"/>
              </w:rPr>
            </w:pPr>
            <w:r>
              <w:rPr>
                <w:rFonts w:ascii="Arial" w:cs="Arial" w:eastAsia="Arial" w:hAnsi="Arial"/>
                <w:sz w:val="18"/>
                <w:szCs w:val="18"/>
                <w:color w:val="auto"/>
              </w:rPr>
              <w:t>Non-accelerated filer</w:t>
            </w:r>
          </w:p>
        </w:tc>
        <w:tc>
          <w:tcPr>
            <w:tcW w:w="20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420"/>
              <w:spacing w:after="0"/>
              <w:rPr>
                <w:sz w:val="20"/>
                <w:szCs w:val="20"/>
                <w:color w:val="auto"/>
              </w:rPr>
            </w:pPr>
            <w:r>
              <w:rPr>
                <w:rFonts w:ascii="Arial" w:cs="Arial" w:eastAsia="Arial" w:hAnsi="Arial"/>
                <w:sz w:val="18"/>
                <w:szCs w:val="18"/>
                <w:color w:val="auto"/>
              </w:rPr>
              <w:t>Smaller reporting company</w:t>
            </w:r>
          </w:p>
        </w:tc>
        <w:tc>
          <w:tcPr>
            <w:tcW w:w="158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Emerging growth company</w:t>
            </w:r>
          </w:p>
        </w:tc>
        <w:tc>
          <w:tcPr>
            <w:tcW w:w="158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5"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96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registrant’s common stock outstanding as of August 4, 2021 was approximately 604,641,158.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751205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247" w:right="45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27"/>
        </w:trPr>
        <w:tc>
          <w:tcPr>
            <w:tcW w:w="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3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auto"/>
            </w:tcBorders>
            <w:gridSpan w:val="3"/>
            <w:shd w:val="clear" w:color="auto" w:fill="CCEEFF"/>
          </w:tcPr>
          <w:p>
            <w:pPr>
              <w:spacing w:after="0" w:line="196" w:lineRule="exact"/>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PART I - FINANCIAL INFORMATION</w:t>
              </w:r>
            </w:hyperlink>
          </w:p>
        </w:tc>
        <w:tc>
          <w:tcPr>
            <w:tcW w:w="7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324"/>
        </w:trPr>
        <w:tc>
          <w:tcPr>
            <w:tcW w:w="20" w:type="dxa"/>
            <w:vAlign w:val="bottom"/>
          </w:tcPr>
          <w:p>
            <w:pPr>
              <w:spacing w:after="0"/>
              <w:rPr>
                <w:sz w:val="24"/>
                <w:szCs w:val="24"/>
                <w:color w:val="auto"/>
              </w:rPr>
            </w:pPr>
          </w:p>
        </w:tc>
        <w:tc>
          <w:tcPr>
            <w:tcW w:w="1060" w:type="dxa"/>
            <w:vAlign w:val="bottom"/>
          </w:tcPr>
          <w:p>
            <w:pPr>
              <w:ind w:left="140"/>
              <w:spacing w:after="0"/>
              <w:rPr>
                <w:rFonts w:ascii="Arial" w:cs="Arial" w:eastAsia="Arial" w:hAnsi="Arial"/>
                <w:sz w:val="18"/>
                <w:szCs w:val="18"/>
                <w:color w:val="auto"/>
              </w:rPr>
            </w:pPr>
            <w:hyperlink w:anchor="page5">
              <w:r>
                <w:rPr>
                  <w:rFonts w:ascii="Arial" w:cs="Arial" w:eastAsia="Arial" w:hAnsi="Arial"/>
                  <w:sz w:val="18"/>
                  <w:szCs w:val="18"/>
                  <w:color w:val="auto"/>
                </w:rPr>
                <w:t>Item 1.</w:t>
              </w:r>
            </w:hyperlink>
          </w:p>
        </w:tc>
        <w:tc>
          <w:tcPr>
            <w:tcW w:w="9440" w:type="dxa"/>
            <w:vAlign w:val="bottom"/>
            <w:gridSpan w:val="3"/>
          </w:tcPr>
          <w:p>
            <w:pPr>
              <w:ind w:left="260"/>
              <w:spacing w:after="0"/>
              <w:rPr>
                <w:rFonts w:ascii="Arial" w:cs="Arial" w:eastAsia="Arial" w:hAnsi="Arial"/>
                <w:sz w:val="18"/>
                <w:szCs w:val="18"/>
                <w:color w:val="auto"/>
              </w:rPr>
            </w:pPr>
            <w:hyperlink w:anchor="page5">
              <w:r>
                <w:rPr>
                  <w:rFonts w:ascii="Arial" w:cs="Arial" w:eastAsia="Arial" w:hAnsi="Arial"/>
                  <w:sz w:val="18"/>
                  <w:szCs w:val="18"/>
                  <w:color w:val="auto"/>
                </w:rPr>
                <w:t>Financial Statements</w:t>
              </w:r>
            </w:hyperlink>
          </w:p>
        </w:tc>
        <w:tc>
          <w:tcPr>
            <w:tcW w:w="7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440" w:type="dxa"/>
            <w:vAlign w:val="bottom"/>
            <w:tcBorders>
              <w:bottom w:val="single" w:sz="8" w:color="CCEEFF"/>
            </w:tcBorders>
            <w:gridSpan w:val="3"/>
            <w:shd w:val="clear" w:color="auto" w:fill="CCEEFF"/>
          </w:tcPr>
          <w:p>
            <w:pPr>
              <w:ind w:left="26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Balance Sheets</w:t>
              </w:r>
            </w:hyperlink>
          </w:p>
        </w:tc>
        <w:tc>
          <w:tcPr>
            <w:tcW w:w="7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43"/>
        </w:trPr>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440" w:type="dxa"/>
            <w:vAlign w:val="bottom"/>
            <w:gridSpan w:val="3"/>
          </w:tcPr>
          <w:p>
            <w:pPr>
              <w:ind w:left="26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Statements of Operations</w:t>
              </w:r>
            </w:hyperlink>
          </w:p>
        </w:tc>
        <w:tc>
          <w:tcPr>
            <w:tcW w:w="7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440" w:type="dxa"/>
            <w:vAlign w:val="bottom"/>
            <w:tcBorders>
              <w:bottom w:val="single" w:sz="8" w:color="CCEEFF"/>
            </w:tcBorders>
            <w:gridSpan w:val="3"/>
            <w:shd w:val="clear" w:color="auto" w:fill="CCEEFF"/>
          </w:tcPr>
          <w:p>
            <w:pPr>
              <w:ind w:left="260"/>
              <w:spacing w:after="0"/>
              <w:rPr>
                <w:rFonts w:ascii="Arial" w:cs="Arial" w:eastAsia="Arial" w:hAnsi="Arial"/>
                <w:sz w:val="18"/>
                <w:szCs w:val="18"/>
                <w:color w:val="auto"/>
              </w:rPr>
            </w:pPr>
            <w:hyperlink w:anchor="page6">
              <w:r>
                <w:rPr>
                  <w:rFonts w:ascii="Arial" w:cs="Arial" w:eastAsia="Arial" w:hAnsi="Arial"/>
                  <w:sz w:val="18"/>
                  <w:szCs w:val="18"/>
                  <w:color w:val="auto"/>
                </w:rPr>
                <w:t>Condensed Consolidated Statements of Comprehensive Loss</w:t>
              </w:r>
            </w:hyperlink>
          </w:p>
        </w:tc>
        <w:tc>
          <w:tcPr>
            <w:tcW w:w="7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5</w:t>
              </w:r>
            </w:hyperlink>
          </w:p>
        </w:tc>
      </w:tr>
      <w:tr>
        <w:trPr>
          <w:trHeight w:val="243"/>
        </w:trPr>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440" w:type="dxa"/>
            <w:vAlign w:val="bottom"/>
            <w:gridSpan w:val="3"/>
          </w:tcPr>
          <w:p>
            <w:pPr>
              <w:ind w:left="260"/>
              <w:spacing w:after="0"/>
              <w:rPr>
                <w:rFonts w:ascii="Arial" w:cs="Arial" w:eastAsia="Arial" w:hAnsi="Arial"/>
                <w:sz w:val="18"/>
                <w:szCs w:val="18"/>
                <w:color w:val="auto"/>
              </w:rPr>
            </w:pPr>
            <w:hyperlink w:anchor="page7">
              <w:r>
                <w:rPr>
                  <w:rFonts w:ascii="Arial" w:cs="Arial" w:eastAsia="Arial" w:hAnsi="Arial"/>
                  <w:sz w:val="18"/>
                  <w:szCs w:val="18"/>
                  <w:color w:val="auto"/>
                </w:rPr>
                <w:t>Condensed Consolidated Statements of Changes in Temporary Equity and Shareholders’ Equity (Deficit)</w:t>
              </w:r>
            </w:hyperlink>
          </w:p>
        </w:tc>
        <w:tc>
          <w:tcPr>
            <w:tcW w:w="72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6</w:t>
              </w:r>
            </w:hyperlink>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440" w:type="dxa"/>
            <w:vAlign w:val="bottom"/>
            <w:tcBorders>
              <w:bottom w:val="single" w:sz="8" w:color="CCEEFF"/>
            </w:tcBorders>
            <w:gridSpan w:val="3"/>
            <w:shd w:val="clear" w:color="auto" w:fill="CCEEFF"/>
          </w:tcPr>
          <w:p>
            <w:pPr>
              <w:ind w:left="260"/>
              <w:spacing w:after="0"/>
              <w:rPr>
                <w:rFonts w:ascii="Arial" w:cs="Arial" w:eastAsia="Arial" w:hAnsi="Arial"/>
                <w:sz w:val="18"/>
                <w:szCs w:val="18"/>
                <w:color w:val="auto"/>
              </w:rPr>
            </w:pPr>
            <w:hyperlink w:anchor="page9">
              <w:r>
                <w:rPr>
                  <w:rFonts w:ascii="Arial" w:cs="Arial" w:eastAsia="Arial" w:hAnsi="Arial"/>
                  <w:sz w:val="18"/>
                  <w:szCs w:val="18"/>
                  <w:color w:val="auto"/>
                </w:rPr>
                <w:t>Condensed Consolidated Statements of Cash Flows</w:t>
              </w:r>
            </w:hyperlink>
          </w:p>
        </w:tc>
        <w:tc>
          <w:tcPr>
            <w:tcW w:w="7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8</w:t>
              </w:r>
            </w:hyperlink>
          </w:p>
        </w:tc>
      </w:tr>
      <w:tr>
        <w:trPr>
          <w:trHeight w:val="243"/>
        </w:trPr>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440" w:type="dxa"/>
            <w:vAlign w:val="bottom"/>
            <w:gridSpan w:val="3"/>
          </w:tcPr>
          <w:p>
            <w:pPr>
              <w:ind w:left="260"/>
              <w:spacing w:after="0"/>
              <w:rPr>
                <w:rFonts w:ascii="Arial" w:cs="Arial" w:eastAsia="Arial" w:hAnsi="Arial"/>
                <w:sz w:val="18"/>
                <w:szCs w:val="18"/>
                <w:color w:val="auto"/>
              </w:rPr>
            </w:pPr>
            <w:hyperlink w:anchor="page10">
              <w:r>
                <w:rPr>
                  <w:rFonts w:ascii="Arial" w:cs="Arial" w:eastAsia="Arial" w:hAnsi="Arial"/>
                  <w:sz w:val="18"/>
                  <w:szCs w:val="18"/>
                  <w:color w:val="auto"/>
                </w:rPr>
                <w:t>Notes to Condensed Consolidated Financial Statements</w:t>
              </w:r>
            </w:hyperlink>
          </w:p>
        </w:tc>
        <w:tc>
          <w:tcPr>
            <w:tcW w:w="720" w:type="dxa"/>
            <w:vAlign w:val="bottom"/>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9</w:t>
              </w:r>
            </w:hyperlink>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140"/>
              <w:spacing w:after="0"/>
              <w:rPr>
                <w:rFonts w:ascii="Arial" w:cs="Arial" w:eastAsia="Arial" w:hAnsi="Arial"/>
                <w:sz w:val="18"/>
                <w:szCs w:val="18"/>
                <w:color w:val="auto"/>
              </w:rPr>
            </w:pPr>
            <w:hyperlink w:anchor="page33">
              <w:r>
                <w:rPr>
                  <w:rFonts w:ascii="Arial" w:cs="Arial" w:eastAsia="Arial" w:hAnsi="Arial"/>
                  <w:sz w:val="18"/>
                  <w:szCs w:val="18"/>
                  <w:color w:val="auto"/>
                </w:rPr>
                <w:t>Item 2.</w:t>
              </w:r>
            </w:hyperlink>
          </w:p>
        </w:tc>
        <w:tc>
          <w:tcPr>
            <w:tcW w:w="9440" w:type="dxa"/>
            <w:vAlign w:val="bottom"/>
            <w:tcBorders>
              <w:bottom w:val="single" w:sz="8" w:color="CCEEFF"/>
            </w:tcBorders>
            <w:gridSpan w:val="3"/>
            <w:shd w:val="clear" w:color="auto" w:fill="CCEEFF"/>
          </w:tcPr>
          <w:p>
            <w:pPr>
              <w:ind w:left="260"/>
              <w:spacing w:after="0"/>
              <w:rPr>
                <w:rFonts w:ascii="Arial" w:cs="Arial" w:eastAsia="Arial" w:hAnsi="Arial"/>
                <w:sz w:val="18"/>
                <w:szCs w:val="18"/>
                <w:color w:val="auto"/>
              </w:rPr>
            </w:pPr>
            <w:hyperlink w:anchor="page33">
              <w:r>
                <w:rPr>
                  <w:rFonts w:ascii="Arial" w:cs="Arial" w:eastAsia="Arial" w:hAnsi="Arial"/>
                  <w:sz w:val="18"/>
                  <w:szCs w:val="18"/>
                  <w:color w:val="auto"/>
                </w:rPr>
                <w:t>Management’s Discussion and Analysis of Financial Condition and Results of Operations</w:t>
              </w:r>
            </w:hyperlink>
          </w:p>
        </w:tc>
        <w:tc>
          <w:tcPr>
            <w:tcW w:w="7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32</w:t>
              </w:r>
            </w:hyperlink>
          </w:p>
        </w:tc>
      </w:tr>
      <w:tr>
        <w:trPr>
          <w:trHeight w:val="243"/>
        </w:trPr>
        <w:tc>
          <w:tcPr>
            <w:tcW w:w="20" w:type="dxa"/>
            <w:vAlign w:val="bottom"/>
          </w:tcPr>
          <w:p>
            <w:pPr>
              <w:spacing w:after="0"/>
              <w:rPr>
                <w:sz w:val="21"/>
                <w:szCs w:val="21"/>
                <w:color w:val="auto"/>
              </w:rPr>
            </w:pPr>
          </w:p>
        </w:tc>
        <w:tc>
          <w:tcPr>
            <w:tcW w:w="1060" w:type="dxa"/>
            <w:vAlign w:val="bottom"/>
          </w:tcPr>
          <w:p>
            <w:pPr>
              <w:ind w:left="140"/>
              <w:spacing w:after="0"/>
              <w:rPr>
                <w:rFonts w:ascii="Arial" w:cs="Arial" w:eastAsia="Arial" w:hAnsi="Arial"/>
                <w:sz w:val="18"/>
                <w:szCs w:val="18"/>
                <w:color w:val="auto"/>
              </w:rPr>
            </w:pPr>
            <w:hyperlink w:anchor="page52">
              <w:r>
                <w:rPr>
                  <w:rFonts w:ascii="Arial" w:cs="Arial" w:eastAsia="Arial" w:hAnsi="Arial"/>
                  <w:sz w:val="18"/>
                  <w:szCs w:val="18"/>
                  <w:color w:val="auto"/>
                </w:rPr>
                <w:t>Item 3.</w:t>
              </w:r>
            </w:hyperlink>
          </w:p>
        </w:tc>
        <w:tc>
          <w:tcPr>
            <w:tcW w:w="9440" w:type="dxa"/>
            <w:vAlign w:val="bottom"/>
            <w:gridSpan w:val="3"/>
          </w:tcPr>
          <w:p>
            <w:pPr>
              <w:ind w:left="260"/>
              <w:spacing w:after="0"/>
              <w:rPr>
                <w:rFonts w:ascii="Arial" w:cs="Arial" w:eastAsia="Arial" w:hAnsi="Arial"/>
                <w:sz w:val="18"/>
                <w:szCs w:val="18"/>
                <w:color w:val="auto"/>
              </w:rPr>
            </w:pPr>
            <w:hyperlink w:anchor="page52">
              <w:r>
                <w:rPr>
                  <w:rFonts w:ascii="Arial" w:cs="Arial" w:eastAsia="Arial" w:hAnsi="Arial"/>
                  <w:sz w:val="18"/>
                  <w:szCs w:val="18"/>
                  <w:color w:val="auto"/>
                </w:rPr>
                <w:t>Quantitative and Qualitative Disclosures About Market Risk</w:t>
              </w:r>
            </w:hyperlink>
          </w:p>
        </w:tc>
        <w:tc>
          <w:tcPr>
            <w:tcW w:w="72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51</w:t>
              </w:r>
            </w:hyperlink>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140"/>
              <w:spacing w:after="0"/>
              <w:rPr>
                <w:rFonts w:ascii="Arial" w:cs="Arial" w:eastAsia="Arial" w:hAnsi="Arial"/>
                <w:sz w:val="18"/>
                <w:szCs w:val="18"/>
                <w:color w:val="auto"/>
              </w:rPr>
            </w:pPr>
            <w:hyperlink w:anchor="page53">
              <w:r>
                <w:rPr>
                  <w:rFonts w:ascii="Arial" w:cs="Arial" w:eastAsia="Arial" w:hAnsi="Arial"/>
                  <w:sz w:val="18"/>
                  <w:szCs w:val="18"/>
                  <w:color w:val="auto"/>
                </w:rPr>
                <w:t>Item 4.</w:t>
              </w:r>
            </w:hyperlink>
          </w:p>
        </w:tc>
        <w:tc>
          <w:tcPr>
            <w:tcW w:w="9440" w:type="dxa"/>
            <w:vAlign w:val="bottom"/>
            <w:tcBorders>
              <w:bottom w:val="single" w:sz="8" w:color="CCEEFF"/>
            </w:tcBorders>
            <w:gridSpan w:val="3"/>
            <w:shd w:val="clear" w:color="auto" w:fill="CCEEFF"/>
          </w:tcPr>
          <w:p>
            <w:pPr>
              <w:ind w:left="260"/>
              <w:spacing w:after="0"/>
              <w:rPr>
                <w:rFonts w:ascii="Arial" w:cs="Arial" w:eastAsia="Arial" w:hAnsi="Arial"/>
                <w:sz w:val="18"/>
                <w:szCs w:val="18"/>
                <w:color w:val="auto"/>
              </w:rPr>
            </w:pPr>
            <w:hyperlink w:anchor="page53">
              <w:r>
                <w:rPr>
                  <w:rFonts w:ascii="Arial" w:cs="Arial" w:eastAsia="Arial" w:hAnsi="Arial"/>
                  <w:sz w:val="18"/>
                  <w:szCs w:val="18"/>
                  <w:color w:val="auto"/>
                </w:rPr>
                <w:t>Controls and Procedures</w:t>
              </w:r>
            </w:hyperlink>
          </w:p>
        </w:tc>
        <w:tc>
          <w:tcPr>
            <w:tcW w:w="7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51</w:t>
              </w:r>
            </w:hyperlink>
          </w:p>
        </w:tc>
      </w:tr>
      <w:tr>
        <w:trPr>
          <w:trHeight w:val="257"/>
        </w:trPr>
        <w:tc>
          <w:tcPr>
            <w:tcW w:w="20" w:type="dxa"/>
            <w:vAlign w:val="bottom"/>
          </w:tcPr>
          <w:p>
            <w:pPr>
              <w:spacing w:after="0"/>
              <w:rPr>
                <w:sz w:val="22"/>
                <w:szCs w:val="22"/>
                <w:color w:val="auto"/>
              </w:rPr>
            </w:pPr>
          </w:p>
        </w:tc>
        <w:tc>
          <w:tcPr>
            <w:tcW w:w="2840" w:type="dxa"/>
            <w:vAlign w:val="bottom"/>
            <w:gridSpan w:val="2"/>
          </w:tcPr>
          <w:p>
            <w:pPr>
              <w:spacing w:after="0"/>
              <w:rPr>
                <w:sz w:val="22"/>
                <w:szCs w:val="22"/>
                <w:color w:val="auto"/>
              </w:rPr>
            </w:pPr>
          </w:p>
        </w:tc>
        <w:tc>
          <w:tcPr>
            <w:tcW w:w="300" w:type="dxa"/>
            <w:vAlign w:val="bottom"/>
          </w:tcPr>
          <w:p>
            <w:pPr>
              <w:spacing w:after="0"/>
              <w:rPr>
                <w:sz w:val="22"/>
                <w:szCs w:val="22"/>
                <w:color w:val="auto"/>
              </w:rPr>
            </w:pPr>
          </w:p>
        </w:tc>
        <w:tc>
          <w:tcPr>
            <w:tcW w:w="73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2840" w:type="dxa"/>
            <w:vAlign w:val="bottom"/>
            <w:tcBorders>
              <w:bottom w:val="single" w:sz="8" w:color="auto"/>
            </w:tcBorders>
            <w:gridSpan w:val="2"/>
            <w:shd w:val="clear" w:color="auto" w:fill="CCEEFF"/>
          </w:tcPr>
          <w:p>
            <w:pPr>
              <w:spacing w:after="0"/>
              <w:rPr>
                <w:rFonts w:ascii="Arial" w:cs="Arial" w:eastAsia="Arial" w:hAnsi="Arial"/>
                <w:sz w:val="18"/>
                <w:szCs w:val="18"/>
                <w:b w:val="1"/>
                <w:bCs w:val="1"/>
                <w:color w:val="auto"/>
              </w:rPr>
            </w:pPr>
            <w:hyperlink w:anchor="page55">
              <w:r>
                <w:rPr>
                  <w:rFonts w:ascii="Arial" w:cs="Arial" w:eastAsia="Arial" w:hAnsi="Arial"/>
                  <w:sz w:val="18"/>
                  <w:szCs w:val="18"/>
                  <w:b w:val="1"/>
                  <w:bCs w:val="1"/>
                  <w:color w:val="auto"/>
                </w:rPr>
                <w:t>PART II - OTHER INFORMATION</w:t>
              </w:r>
            </w:hyperlink>
          </w:p>
        </w:tc>
        <w:tc>
          <w:tcPr>
            <w:tcW w:w="7660" w:type="dxa"/>
            <w:vAlign w:val="bottom"/>
            <w:tcBorders>
              <w:bottom w:val="single" w:sz="8" w:color="CCEEFF"/>
            </w:tcBorders>
            <w:gridSpan w:val="2"/>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1060" w:type="dxa"/>
            <w:vAlign w:val="bottom"/>
          </w:tcPr>
          <w:p>
            <w:pPr>
              <w:ind w:left="140"/>
              <w:spacing w:after="0"/>
              <w:rPr>
                <w:rFonts w:ascii="Arial" w:cs="Arial" w:eastAsia="Arial" w:hAnsi="Arial"/>
                <w:sz w:val="18"/>
                <w:szCs w:val="18"/>
                <w:color w:val="auto"/>
              </w:rPr>
            </w:pPr>
            <w:hyperlink w:anchor="page56">
              <w:r>
                <w:rPr>
                  <w:rFonts w:ascii="Arial" w:cs="Arial" w:eastAsia="Arial" w:hAnsi="Arial"/>
                  <w:sz w:val="18"/>
                  <w:szCs w:val="18"/>
                  <w:color w:val="auto"/>
                </w:rPr>
                <w:t>Item 1.</w:t>
              </w:r>
            </w:hyperlink>
          </w:p>
        </w:tc>
        <w:tc>
          <w:tcPr>
            <w:tcW w:w="9440" w:type="dxa"/>
            <w:vAlign w:val="bottom"/>
            <w:gridSpan w:val="3"/>
          </w:tcPr>
          <w:p>
            <w:pPr>
              <w:ind w:left="260"/>
              <w:spacing w:after="0"/>
              <w:rPr>
                <w:rFonts w:ascii="Arial" w:cs="Arial" w:eastAsia="Arial" w:hAnsi="Arial"/>
                <w:sz w:val="18"/>
                <w:szCs w:val="18"/>
                <w:color w:val="auto"/>
              </w:rPr>
            </w:pPr>
            <w:hyperlink w:anchor="page56">
              <w:r>
                <w:rPr>
                  <w:rFonts w:ascii="Arial" w:cs="Arial" w:eastAsia="Arial" w:hAnsi="Arial"/>
                  <w:sz w:val="18"/>
                  <w:szCs w:val="18"/>
                  <w:color w:val="auto"/>
                </w:rPr>
                <w:t>Legal Proceedings</w:t>
              </w:r>
            </w:hyperlink>
          </w:p>
        </w:tc>
        <w:tc>
          <w:tcPr>
            <w:tcW w:w="72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54</w:t>
              </w:r>
            </w:hyperlink>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140"/>
              <w:spacing w:after="0"/>
              <w:rPr>
                <w:rFonts w:ascii="Arial" w:cs="Arial" w:eastAsia="Arial" w:hAnsi="Arial"/>
                <w:sz w:val="18"/>
                <w:szCs w:val="18"/>
                <w:color w:val="auto"/>
              </w:rPr>
            </w:pPr>
            <w:hyperlink w:anchor="page56">
              <w:r>
                <w:rPr>
                  <w:rFonts w:ascii="Arial" w:cs="Arial" w:eastAsia="Arial" w:hAnsi="Arial"/>
                  <w:sz w:val="18"/>
                  <w:szCs w:val="18"/>
                  <w:color w:val="auto"/>
                </w:rPr>
                <w:t>Item 1A.</w:t>
              </w:r>
            </w:hyperlink>
          </w:p>
        </w:tc>
        <w:tc>
          <w:tcPr>
            <w:tcW w:w="9440" w:type="dxa"/>
            <w:vAlign w:val="bottom"/>
            <w:tcBorders>
              <w:bottom w:val="single" w:sz="8" w:color="CCEEFF"/>
            </w:tcBorders>
            <w:gridSpan w:val="3"/>
            <w:shd w:val="clear" w:color="auto" w:fill="CCEEFF"/>
          </w:tcPr>
          <w:p>
            <w:pPr>
              <w:ind w:left="260"/>
              <w:spacing w:after="0"/>
              <w:rPr>
                <w:rFonts w:ascii="Arial" w:cs="Arial" w:eastAsia="Arial" w:hAnsi="Arial"/>
                <w:sz w:val="18"/>
                <w:szCs w:val="18"/>
                <w:color w:val="auto"/>
              </w:rPr>
            </w:pPr>
            <w:hyperlink w:anchor="page56">
              <w:r>
                <w:rPr>
                  <w:rFonts w:ascii="Arial" w:cs="Arial" w:eastAsia="Arial" w:hAnsi="Arial"/>
                  <w:sz w:val="18"/>
                  <w:szCs w:val="18"/>
                  <w:color w:val="auto"/>
                </w:rPr>
                <w:t>Risk Factors</w:t>
              </w:r>
            </w:hyperlink>
          </w:p>
        </w:tc>
        <w:tc>
          <w:tcPr>
            <w:tcW w:w="7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54</w:t>
              </w:r>
            </w:hyperlink>
          </w:p>
        </w:tc>
      </w:tr>
      <w:tr>
        <w:trPr>
          <w:trHeight w:val="243"/>
        </w:trPr>
        <w:tc>
          <w:tcPr>
            <w:tcW w:w="20" w:type="dxa"/>
            <w:vAlign w:val="bottom"/>
          </w:tcPr>
          <w:p>
            <w:pPr>
              <w:spacing w:after="0"/>
              <w:rPr>
                <w:sz w:val="21"/>
                <w:szCs w:val="21"/>
                <w:color w:val="auto"/>
              </w:rPr>
            </w:pPr>
          </w:p>
        </w:tc>
        <w:tc>
          <w:tcPr>
            <w:tcW w:w="1060" w:type="dxa"/>
            <w:vAlign w:val="bottom"/>
          </w:tcPr>
          <w:p>
            <w:pPr>
              <w:ind w:left="140"/>
              <w:spacing w:after="0"/>
              <w:rPr>
                <w:rFonts w:ascii="Arial" w:cs="Arial" w:eastAsia="Arial" w:hAnsi="Arial"/>
                <w:sz w:val="18"/>
                <w:szCs w:val="18"/>
                <w:color w:val="auto"/>
              </w:rPr>
            </w:pPr>
            <w:hyperlink w:anchor="page57">
              <w:r>
                <w:rPr>
                  <w:rFonts w:ascii="Arial" w:cs="Arial" w:eastAsia="Arial" w:hAnsi="Arial"/>
                  <w:sz w:val="18"/>
                  <w:szCs w:val="18"/>
                  <w:color w:val="auto"/>
                </w:rPr>
                <w:t>Item 2.</w:t>
              </w:r>
            </w:hyperlink>
          </w:p>
        </w:tc>
        <w:tc>
          <w:tcPr>
            <w:tcW w:w="9440" w:type="dxa"/>
            <w:vAlign w:val="bottom"/>
            <w:gridSpan w:val="3"/>
          </w:tcPr>
          <w:p>
            <w:pPr>
              <w:ind w:left="260"/>
              <w:spacing w:after="0"/>
              <w:rPr>
                <w:rFonts w:ascii="Arial" w:cs="Arial" w:eastAsia="Arial" w:hAnsi="Arial"/>
                <w:sz w:val="18"/>
                <w:szCs w:val="18"/>
                <w:color w:val="auto"/>
              </w:rPr>
            </w:pPr>
            <w:hyperlink w:anchor="page57">
              <w:r>
                <w:rPr>
                  <w:rFonts w:ascii="Arial" w:cs="Arial" w:eastAsia="Arial" w:hAnsi="Arial"/>
                  <w:sz w:val="18"/>
                  <w:szCs w:val="18"/>
                  <w:color w:val="auto"/>
                </w:rPr>
                <w:t>Unregistered Sales of Equity Securities and Use of Proceeds</w:t>
              </w:r>
            </w:hyperlink>
          </w:p>
        </w:tc>
        <w:tc>
          <w:tcPr>
            <w:tcW w:w="72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55</w:t>
              </w:r>
            </w:hyperlink>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140"/>
              <w:spacing w:after="0"/>
              <w:rPr>
                <w:rFonts w:ascii="Arial" w:cs="Arial" w:eastAsia="Arial" w:hAnsi="Arial"/>
                <w:sz w:val="18"/>
                <w:szCs w:val="18"/>
                <w:color w:val="auto"/>
              </w:rPr>
            </w:pPr>
            <w:hyperlink w:anchor="page58">
              <w:r>
                <w:rPr>
                  <w:rFonts w:ascii="Arial" w:cs="Arial" w:eastAsia="Arial" w:hAnsi="Arial"/>
                  <w:sz w:val="18"/>
                  <w:szCs w:val="18"/>
                  <w:color w:val="auto"/>
                </w:rPr>
                <w:t>Item 3.</w:t>
              </w:r>
            </w:hyperlink>
          </w:p>
        </w:tc>
        <w:tc>
          <w:tcPr>
            <w:tcW w:w="9440" w:type="dxa"/>
            <w:vAlign w:val="bottom"/>
            <w:tcBorders>
              <w:bottom w:val="single" w:sz="8" w:color="CCEEFF"/>
            </w:tcBorders>
            <w:gridSpan w:val="3"/>
            <w:shd w:val="clear" w:color="auto" w:fill="CCEEFF"/>
          </w:tcPr>
          <w:p>
            <w:pPr>
              <w:ind w:left="260"/>
              <w:spacing w:after="0"/>
              <w:rPr>
                <w:rFonts w:ascii="Arial" w:cs="Arial" w:eastAsia="Arial" w:hAnsi="Arial"/>
                <w:sz w:val="18"/>
                <w:szCs w:val="18"/>
                <w:color w:val="auto"/>
              </w:rPr>
            </w:pPr>
            <w:hyperlink w:anchor="page58">
              <w:r>
                <w:rPr>
                  <w:rFonts w:ascii="Arial" w:cs="Arial" w:eastAsia="Arial" w:hAnsi="Arial"/>
                  <w:sz w:val="18"/>
                  <w:szCs w:val="18"/>
                  <w:color w:val="auto"/>
                </w:rPr>
                <w:t>Defaults Upon Senior Securities</w:t>
              </w:r>
            </w:hyperlink>
          </w:p>
        </w:tc>
        <w:tc>
          <w:tcPr>
            <w:tcW w:w="7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56</w:t>
              </w:r>
            </w:hyperlink>
          </w:p>
        </w:tc>
      </w:tr>
      <w:tr>
        <w:trPr>
          <w:trHeight w:val="243"/>
        </w:trPr>
        <w:tc>
          <w:tcPr>
            <w:tcW w:w="20" w:type="dxa"/>
            <w:vAlign w:val="bottom"/>
          </w:tcPr>
          <w:p>
            <w:pPr>
              <w:spacing w:after="0"/>
              <w:rPr>
                <w:sz w:val="21"/>
                <w:szCs w:val="21"/>
                <w:color w:val="auto"/>
              </w:rPr>
            </w:pPr>
          </w:p>
        </w:tc>
        <w:tc>
          <w:tcPr>
            <w:tcW w:w="1060" w:type="dxa"/>
            <w:vAlign w:val="bottom"/>
          </w:tcPr>
          <w:p>
            <w:pPr>
              <w:ind w:left="140"/>
              <w:spacing w:after="0"/>
              <w:rPr>
                <w:rFonts w:ascii="Arial" w:cs="Arial" w:eastAsia="Arial" w:hAnsi="Arial"/>
                <w:sz w:val="18"/>
                <w:szCs w:val="18"/>
                <w:color w:val="auto"/>
              </w:rPr>
            </w:pPr>
            <w:hyperlink w:anchor="page58">
              <w:r>
                <w:rPr>
                  <w:rFonts w:ascii="Arial" w:cs="Arial" w:eastAsia="Arial" w:hAnsi="Arial"/>
                  <w:sz w:val="18"/>
                  <w:szCs w:val="18"/>
                  <w:color w:val="auto"/>
                </w:rPr>
                <w:t>Item 4.</w:t>
              </w:r>
            </w:hyperlink>
          </w:p>
        </w:tc>
        <w:tc>
          <w:tcPr>
            <w:tcW w:w="9440" w:type="dxa"/>
            <w:vAlign w:val="bottom"/>
            <w:gridSpan w:val="3"/>
          </w:tcPr>
          <w:p>
            <w:pPr>
              <w:ind w:left="260"/>
              <w:spacing w:after="0"/>
              <w:rPr>
                <w:rFonts w:ascii="Arial" w:cs="Arial" w:eastAsia="Arial" w:hAnsi="Arial"/>
                <w:sz w:val="18"/>
                <w:szCs w:val="18"/>
                <w:color w:val="auto"/>
              </w:rPr>
            </w:pPr>
            <w:hyperlink w:anchor="page58">
              <w:r>
                <w:rPr>
                  <w:rFonts w:ascii="Arial" w:cs="Arial" w:eastAsia="Arial" w:hAnsi="Arial"/>
                  <w:sz w:val="18"/>
                  <w:szCs w:val="18"/>
                  <w:color w:val="auto"/>
                </w:rPr>
                <w:t>Mine Safety Disclosures</w:t>
              </w:r>
            </w:hyperlink>
          </w:p>
        </w:tc>
        <w:tc>
          <w:tcPr>
            <w:tcW w:w="720" w:type="dxa"/>
            <w:vAlign w:val="bottom"/>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56</w:t>
              </w:r>
            </w:hyperlink>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140"/>
              <w:spacing w:after="0"/>
              <w:rPr>
                <w:rFonts w:ascii="Arial" w:cs="Arial" w:eastAsia="Arial" w:hAnsi="Arial"/>
                <w:sz w:val="18"/>
                <w:szCs w:val="18"/>
                <w:color w:val="auto"/>
              </w:rPr>
            </w:pPr>
            <w:hyperlink w:anchor="page58">
              <w:r>
                <w:rPr>
                  <w:rFonts w:ascii="Arial" w:cs="Arial" w:eastAsia="Arial" w:hAnsi="Arial"/>
                  <w:sz w:val="18"/>
                  <w:szCs w:val="18"/>
                  <w:color w:val="auto"/>
                </w:rPr>
                <w:t>Item 5.</w:t>
              </w:r>
            </w:hyperlink>
          </w:p>
        </w:tc>
        <w:tc>
          <w:tcPr>
            <w:tcW w:w="9440" w:type="dxa"/>
            <w:vAlign w:val="bottom"/>
            <w:tcBorders>
              <w:bottom w:val="single" w:sz="8" w:color="CCEEFF"/>
            </w:tcBorders>
            <w:gridSpan w:val="3"/>
            <w:shd w:val="clear" w:color="auto" w:fill="CCEEFF"/>
          </w:tcPr>
          <w:p>
            <w:pPr>
              <w:ind w:left="260"/>
              <w:spacing w:after="0"/>
              <w:rPr>
                <w:rFonts w:ascii="Arial" w:cs="Arial" w:eastAsia="Arial" w:hAnsi="Arial"/>
                <w:sz w:val="18"/>
                <w:szCs w:val="18"/>
                <w:color w:val="auto"/>
              </w:rPr>
            </w:pPr>
            <w:hyperlink w:anchor="page58">
              <w:r>
                <w:rPr>
                  <w:rFonts w:ascii="Arial" w:cs="Arial" w:eastAsia="Arial" w:hAnsi="Arial"/>
                  <w:sz w:val="18"/>
                  <w:szCs w:val="18"/>
                  <w:color w:val="auto"/>
                </w:rPr>
                <w:t>Other Information</w:t>
              </w:r>
            </w:hyperlink>
          </w:p>
        </w:tc>
        <w:tc>
          <w:tcPr>
            <w:tcW w:w="7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56</w:t>
              </w:r>
            </w:hyperlink>
          </w:p>
        </w:tc>
      </w:tr>
      <w:tr>
        <w:trPr>
          <w:trHeight w:val="243"/>
        </w:trPr>
        <w:tc>
          <w:tcPr>
            <w:tcW w:w="20" w:type="dxa"/>
            <w:vAlign w:val="bottom"/>
          </w:tcPr>
          <w:p>
            <w:pPr>
              <w:spacing w:after="0"/>
              <w:rPr>
                <w:sz w:val="21"/>
                <w:szCs w:val="21"/>
                <w:color w:val="auto"/>
              </w:rPr>
            </w:pPr>
          </w:p>
        </w:tc>
        <w:tc>
          <w:tcPr>
            <w:tcW w:w="1060" w:type="dxa"/>
            <w:vAlign w:val="bottom"/>
          </w:tcPr>
          <w:p>
            <w:pPr>
              <w:ind w:left="140"/>
              <w:spacing w:after="0"/>
              <w:rPr>
                <w:rFonts w:ascii="Arial" w:cs="Arial" w:eastAsia="Arial" w:hAnsi="Arial"/>
                <w:sz w:val="18"/>
                <w:szCs w:val="18"/>
                <w:color w:val="auto"/>
              </w:rPr>
            </w:pPr>
            <w:hyperlink w:anchor="page59">
              <w:r>
                <w:rPr>
                  <w:rFonts w:ascii="Arial" w:cs="Arial" w:eastAsia="Arial" w:hAnsi="Arial"/>
                  <w:sz w:val="18"/>
                  <w:szCs w:val="18"/>
                  <w:color w:val="auto"/>
                </w:rPr>
                <w:t>Item 6.</w:t>
              </w:r>
            </w:hyperlink>
          </w:p>
        </w:tc>
        <w:tc>
          <w:tcPr>
            <w:tcW w:w="9440" w:type="dxa"/>
            <w:vAlign w:val="bottom"/>
            <w:gridSpan w:val="3"/>
          </w:tcPr>
          <w:p>
            <w:pPr>
              <w:ind w:left="260"/>
              <w:spacing w:after="0"/>
              <w:rPr>
                <w:rFonts w:ascii="Arial" w:cs="Arial" w:eastAsia="Arial" w:hAnsi="Arial"/>
                <w:sz w:val="18"/>
                <w:szCs w:val="18"/>
                <w:color w:val="auto"/>
              </w:rPr>
            </w:pPr>
            <w:hyperlink w:anchor="page59">
              <w:r>
                <w:rPr>
                  <w:rFonts w:ascii="Arial" w:cs="Arial" w:eastAsia="Arial" w:hAnsi="Arial"/>
                  <w:sz w:val="18"/>
                  <w:szCs w:val="18"/>
                  <w:color w:val="auto"/>
                </w:rPr>
                <w:t>Exhibits</w:t>
              </w:r>
            </w:hyperlink>
          </w:p>
        </w:tc>
        <w:tc>
          <w:tcPr>
            <w:tcW w:w="72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58</w:t>
              </w:r>
            </w:hyperlink>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9440" w:type="dxa"/>
            <w:vAlign w:val="bottom"/>
            <w:gridSpan w:val="3"/>
            <w:shd w:val="clear" w:color="auto" w:fill="CCEEFF"/>
          </w:tcPr>
          <w:p>
            <w:pPr>
              <w:ind w:left="260"/>
              <w:spacing w:after="0"/>
              <w:rPr>
                <w:rFonts w:ascii="Arial" w:cs="Arial" w:eastAsia="Arial" w:hAnsi="Arial"/>
                <w:sz w:val="18"/>
                <w:szCs w:val="18"/>
                <w:color w:val="auto"/>
              </w:rPr>
            </w:pPr>
            <w:hyperlink w:anchor="page60">
              <w:r>
                <w:rPr>
                  <w:rFonts w:ascii="Arial" w:cs="Arial" w:eastAsia="Arial" w:hAnsi="Arial"/>
                  <w:sz w:val="18"/>
                  <w:szCs w:val="18"/>
                  <w:color w:val="auto"/>
                </w:rPr>
                <w:t>Signatures</w:t>
              </w:r>
            </w:hyperlink>
          </w:p>
        </w:tc>
        <w:tc>
          <w:tcPr>
            <w:tcW w:w="720" w:type="dxa"/>
            <w:vAlign w:val="bottom"/>
            <w:shd w:val="clear" w:color="auto" w:fill="CCEEFF"/>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59</w:t>
              </w:r>
            </w:hyperlink>
          </w:p>
        </w:tc>
      </w:tr>
      <w:tr>
        <w:trPr>
          <w:trHeight w:val="27"/>
        </w:trPr>
        <w:tc>
          <w:tcPr>
            <w:tcW w:w="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3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-1713865</wp:posOffset>
            </wp:positionV>
            <wp:extent cx="667766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7766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-3659505</wp:posOffset>
            </wp:positionV>
            <wp:extent cx="66776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77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60" w:firstLine="405"/>
        <w:spacing w:after="0" w:line="263" w:lineRule="auto"/>
        <w:rPr>
          <w:sz w:val="20"/>
          <w:szCs w:val="20"/>
          <w:color w:val="auto"/>
        </w:rPr>
      </w:pPr>
      <w:r>
        <w:rPr>
          <w:rFonts w:ascii="Arial" w:cs="Arial" w:eastAsia="Arial" w:hAnsi="Arial"/>
          <w:sz w:val="18"/>
          <w:szCs w:val="18"/>
          <w:color w:val="auto"/>
        </w:rPr>
        <w:t>As used in this Quarterly Report on Form 10-Q, unless the context requires otherwise, references to “Opendoor,” the “Company,” “we,” “us,” and “our,” and similar references refer to Opendoor Technologies Inc. and its wholly owned subsidiaries following the Business Combination (as defined herein) and to Opendoor Labs Inc. prior to the Business Combination.</w:t>
      </w:r>
    </w:p>
    <w:p>
      <w:pPr>
        <w:spacing w:after="0" w:line="184"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As a result of the Business Combination completed on December 18, 2020, Opendoor Labs Inc. share and per share amounts presented in this Quarterly Report on Form 10-Q, for periods prior to the Business Combination, have been retroactively converted by application of the exchange ratio of 1.618. For more information regarding the business combination, please see “</w:t>
      </w:r>
      <w:r>
        <w:rPr>
          <w:rFonts w:ascii="Arial" w:cs="Arial" w:eastAsia="Arial" w:hAnsi="Arial"/>
          <w:sz w:val="18"/>
          <w:szCs w:val="18"/>
          <w:i w:val="1"/>
          <w:iCs w:val="1"/>
          <w:color w:val="auto"/>
        </w:rPr>
        <w:t>Part I – Item 2. 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 – The Business Combination</w:t>
      </w:r>
      <w:r>
        <w:rPr>
          <w:rFonts w:ascii="Arial" w:cs="Arial" w:eastAsia="Arial" w:hAnsi="Arial"/>
          <w:sz w:val="18"/>
          <w:szCs w:val="18"/>
          <w:color w:val="auto"/>
        </w:rPr>
        <w:t>”.</w:t>
      </w: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on Form 10-Q, including statements regarding our future results of operations or financial condition; business strategy and plans; expectations regarding the impact of COVID-19; market opportunity and expansion and objectives of management for future operations, including our statements regarding the benefits and timing of the roll out of new markets, products, or technology; and efforts to remediate our material weaknesses in internal control over financial reporting, are forward-looking statements. When used in this Quarterly Report on Form 10-Q, words such as “anticipate,” “believe,” “contemplate,” “continue,” “could,” “estimate,” “expect,” “forecast”, “future”, “intend,” “may,” “might”, “opportunity”, “plan,” “possible”, “potential,” “predict,” “project,” “should,” “strategy”, “strive”, “target,” “will,” or “would”, including their antonyms or other similar terms or expressions may identify forward-looking statements. The absence of these words does not mean that a statement is not forward-looking.</w:t>
      </w:r>
    </w:p>
    <w:p>
      <w:pPr>
        <w:spacing w:after="0" w:line="221" w:lineRule="exact"/>
        <w:rPr>
          <w:sz w:val="20"/>
          <w:szCs w:val="20"/>
          <w:color w:val="auto"/>
        </w:rPr>
      </w:pPr>
    </w:p>
    <w:p>
      <w:pPr>
        <w:ind w:right="80" w:firstLine="405"/>
        <w:spacing w:after="0" w:line="308" w:lineRule="auto"/>
        <w:rPr>
          <w:sz w:val="20"/>
          <w:szCs w:val="20"/>
          <w:color w:val="auto"/>
        </w:rPr>
      </w:pPr>
      <w:r>
        <w:rPr>
          <w:rFonts w:ascii="Arial" w:cs="Arial" w:eastAsia="Arial" w:hAnsi="Arial"/>
          <w:sz w:val="17"/>
          <w:szCs w:val="17"/>
          <w:color w:val="auto"/>
        </w:rPr>
        <w:t>These forward-looking statements are based on information available as of the date of this Quarterly Report on Form 10-Q and current expectations, forecasts and assumptions, which involve a number of judgments, risks and uncertainties, including without limitation, risks related to:</w:t>
      </w:r>
    </w:p>
    <w:p>
      <w:pPr>
        <w:spacing w:after="0" w:line="92" w:lineRule="exact"/>
        <w:rPr>
          <w:sz w:val="20"/>
          <w:szCs w:val="20"/>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regulatory environment and complexities with compliance related to such environment;</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remediate our material weaknesses;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relating to our business, operations and financial performance, including:</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 over financial reporting;</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grow market share in our existing markets or any new markets we may enter;</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respond to general economic conditions;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health of the U.S. residential real estate industry;</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risks associated with our real estate assets and increased competition in the U.S. residential real estate industry;</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manage our growth effectively;</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achieve and maintain profitability in the future;</w:t>
      </w:r>
    </w:p>
    <w:p>
      <w:pPr>
        <w:spacing w:after="0" w:line="9" w:lineRule="exact"/>
        <w:rPr>
          <w:rFonts w:ascii="Arial" w:cs="Arial" w:eastAsia="Arial" w:hAnsi="Arial"/>
          <w:sz w:val="18"/>
          <w:szCs w:val="18"/>
          <w:color w:val="auto"/>
        </w:rPr>
      </w:pPr>
    </w:p>
    <w:p>
      <w:pPr>
        <w:ind w:left="900" w:right="400" w:hanging="244"/>
        <w:spacing w:after="0" w:line="250" w:lineRule="auto"/>
        <w:tabs>
          <w:tab w:leader="none" w:pos="896"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access sources of capital, including debt financing and securitization funding to finance our real estate inventories and other sources of capital to finance operations and growth;</w:t>
      </w:r>
    </w:p>
    <w:p>
      <w:pPr>
        <w:ind w:left="900" w:hanging="244"/>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and enhance our products and brand, and to attract customers;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manage, develop and refine our technology platform, including our automated pricing and valuation technology;</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success of our strategic relationships with third parties;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other factors detailed under the section entitled “Risk Factors” in this Quarterly Report on Form 10-Q.</w:t>
      </w:r>
    </w:p>
    <w:p>
      <w:pPr>
        <w:spacing w:after="0" w:line="238"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9" w:right="39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As a result of a number of known and unknown risks and uncertainties, including without limitation the important factors described in the “Risk Factors” section of this Quarterly Report on Form 10-Q and on Part I. Item 1A “ Risk Factors” in our Annual Report on Form 10-K for the year ended December 31, 2020 (the “Annual Report”), our actual results or performance may be materially different from those expressed or implied by these forward-looking statements. You should not place undue reliance on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(In thousands, except </w:t>
      </w:r>
      <w:r>
        <w:rPr>
          <w:rFonts w:ascii="Arial" w:cs="Arial" w:eastAsia="Arial" w:hAnsi="Arial"/>
          <w:sz w:val="17"/>
          <w:szCs w:val="17"/>
          <w:color w:val="auto"/>
        </w:rPr>
        <w:t>s</w:t>
      </w:r>
      <w:r>
        <w:rPr>
          <w:rFonts w:ascii="Arial" w:cs="Arial" w:eastAsia="Arial" w:hAnsi="Arial"/>
          <w:sz w:val="16"/>
          <w:szCs w:val="16"/>
          <w:color w:val="auto"/>
        </w:rPr>
        <w:t>hare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080" w:type="dxa"/>
            <w:vAlign w:val="bottom"/>
          </w:tcPr>
          <w:p>
            <w:pPr>
              <w:jc w:val="right"/>
              <w:ind w:right="129"/>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6"/>
        </w:trPr>
        <w:tc>
          <w:tcPr>
            <w:tcW w:w="8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8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8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80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7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1,557,815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1,412,665</w:t>
            </w:r>
          </w:p>
        </w:tc>
        <w:tc>
          <w:tcPr>
            <w:tcW w:w="0" w:type="dxa"/>
            <w:vAlign w:val="bottom"/>
          </w:tcPr>
          <w:p>
            <w:pPr>
              <w:spacing w:after="0"/>
              <w:rPr>
                <w:sz w:val="1"/>
                <w:szCs w:val="1"/>
                <w:color w:val="auto"/>
              </w:rPr>
            </w:pPr>
          </w:p>
        </w:tc>
      </w:tr>
      <w:tr>
        <w:trPr>
          <w:trHeight w:val="190"/>
        </w:trPr>
        <w:tc>
          <w:tcPr>
            <w:tcW w:w="8020" w:type="dxa"/>
            <w:vAlign w:val="bottom"/>
          </w:tcPr>
          <w:p>
            <w:pPr>
              <w:ind w:left="180"/>
              <w:spacing w:after="0"/>
              <w:rPr>
                <w:sz w:val="20"/>
                <w:szCs w:val="20"/>
                <w:color w:val="auto"/>
              </w:rPr>
            </w:pPr>
            <w:r>
              <w:rPr>
                <w:rFonts w:ascii="Arial" w:cs="Arial" w:eastAsia="Arial" w:hAnsi="Arial"/>
                <w:sz w:val="14"/>
                <w:szCs w:val="14"/>
                <w:color w:val="auto"/>
              </w:rPr>
              <w:t>Restricted cash</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131,652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92,863</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Marketable securities</w:t>
            </w: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200,143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47,637</w:t>
            </w:r>
          </w:p>
        </w:tc>
        <w:tc>
          <w:tcPr>
            <w:tcW w:w="0" w:type="dxa"/>
            <w:vAlign w:val="bottom"/>
          </w:tcPr>
          <w:p>
            <w:pPr>
              <w:spacing w:after="0"/>
              <w:rPr>
                <w:sz w:val="1"/>
                <w:szCs w:val="1"/>
                <w:color w:val="auto"/>
              </w:rPr>
            </w:pPr>
          </w:p>
        </w:tc>
      </w:tr>
      <w:tr>
        <w:trPr>
          <w:trHeight w:val="190"/>
        </w:trPr>
        <w:tc>
          <w:tcPr>
            <w:tcW w:w="8020" w:type="dxa"/>
            <w:vAlign w:val="bottom"/>
          </w:tcPr>
          <w:p>
            <w:pPr>
              <w:ind w:left="180"/>
              <w:spacing w:after="0"/>
              <w:rPr>
                <w:sz w:val="20"/>
                <w:szCs w:val="20"/>
                <w:color w:val="auto"/>
              </w:rPr>
            </w:pPr>
            <w:r>
              <w:rPr>
                <w:rFonts w:ascii="Arial" w:cs="Arial" w:eastAsia="Arial" w:hAnsi="Arial"/>
                <w:sz w:val="14"/>
                <w:szCs w:val="14"/>
                <w:color w:val="auto"/>
              </w:rPr>
              <w:t>Mortgage loans held for sale pledged under agreements to repurchase</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25,368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7,529</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Escrow receivable</w:t>
            </w: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32,848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1,494</w:t>
            </w:r>
          </w:p>
        </w:tc>
        <w:tc>
          <w:tcPr>
            <w:tcW w:w="0" w:type="dxa"/>
            <w:vAlign w:val="bottom"/>
          </w:tcPr>
          <w:p>
            <w:pPr>
              <w:spacing w:after="0"/>
              <w:rPr>
                <w:sz w:val="1"/>
                <w:szCs w:val="1"/>
                <w:color w:val="auto"/>
              </w:rPr>
            </w:pPr>
          </w:p>
        </w:tc>
      </w:tr>
      <w:tr>
        <w:trPr>
          <w:trHeight w:val="190"/>
        </w:trPr>
        <w:tc>
          <w:tcPr>
            <w:tcW w:w="8020" w:type="dxa"/>
            <w:vAlign w:val="bottom"/>
          </w:tcPr>
          <w:p>
            <w:pPr>
              <w:ind w:left="180"/>
              <w:spacing w:after="0"/>
              <w:rPr>
                <w:sz w:val="20"/>
                <w:szCs w:val="20"/>
                <w:color w:val="auto"/>
              </w:rPr>
            </w:pPr>
            <w:r>
              <w:rPr>
                <w:rFonts w:ascii="Arial" w:cs="Arial" w:eastAsia="Arial" w:hAnsi="Arial"/>
                <w:sz w:val="14"/>
                <w:szCs w:val="14"/>
                <w:color w:val="auto"/>
              </w:rPr>
              <w:t>Real estate inventory, net</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2,723,648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465,936</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current assets ($811 and $373 carried at fair value)</w:t>
            </w:r>
          </w:p>
        </w:tc>
        <w:tc>
          <w:tcPr>
            <w:tcW w:w="7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67,149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24,987</w:t>
            </w:r>
          </w:p>
        </w:tc>
        <w:tc>
          <w:tcPr>
            <w:tcW w:w="0" w:type="dxa"/>
            <w:vAlign w:val="bottom"/>
          </w:tcPr>
          <w:p>
            <w:pPr>
              <w:spacing w:after="0"/>
              <w:rPr>
                <w:sz w:val="1"/>
                <w:szCs w:val="1"/>
                <w:color w:val="auto"/>
              </w:rPr>
            </w:pPr>
          </w:p>
        </w:tc>
      </w:tr>
      <w:tr>
        <w:trPr>
          <w:trHeight w:val="184"/>
        </w:trPr>
        <w:tc>
          <w:tcPr>
            <w:tcW w:w="8020" w:type="dxa"/>
            <w:vAlign w:val="bottom"/>
          </w:tcPr>
          <w:p>
            <w:pPr>
              <w:ind w:left="360"/>
              <w:spacing w:after="0"/>
              <w:rPr>
                <w:sz w:val="20"/>
                <w:szCs w:val="20"/>
                <w:color w:val="auto"/>
              </w:rPr>
            </w:pPr>
            <w:r>
              <w:rPr>
                <w:rFonts w:ascii="Arial" w:cs="Arial" w:eastAsia="Arial" w:hAnsi="Arial"/>
                <w:sz w:val="14"/>
                <w:szCs w:val="14"/>
                <w:color w:val="auto"/>
              </w:rPr>
              <w:t>Total current assets</w:t>
            </w:r>
          </w:p>
        </w:tc>
        <w:tc>
          <w:tcPr>
            <w:tcW w:w="7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4,738,623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2,053,111</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 Net</w:t>
            </w: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33,962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29,228</w:t>
            </w:r>
          </w:p>
        </w:tc>
        <w:tc>
          <w:tcPr>
            <w:tcW w:w="0" w:type="dxa"/>
            <w:vAlign w:val="bottom"/>
          </w:tcPr>
          <w:p>
            <w:pPr>
              <w:spacing w:after="0"/>
              <w:rPr>
                <w:sz w:val="1"/>
                <w:szCs w:val="1"/>
                <w:color w:val="auto"/>
              </w:rPr>
            </w:pP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color w:val="auto"/>
              </w:rPr>
              <w:t>RIGHT OF USE ASSETS</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45,581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49,517</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30,945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30,945</w:t>
            </w:r>
          </w:p>
        </w:tc>
        <w:tc>
          <w:tcPr>
            <w:tcW w:w="0" w:type="dxa"/>
            <w:vAlign w:val="bottom"/>
          </w:tcPr>
          <w:p>
            <w:pPr>
              <w:spacing w:after="0"/>
              <w:rPr>
                <w:sz w:val="1"/>
                <w:szCs w:val="1"/>
                <w:color w:val="auto"/>
              </w:rPr>
            </w:pP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color w:val="auto"/>
              </w:rPr>
              <w:t>INTANGIBLES – Net</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7,754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8,684</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 ($10,000 and $0 carried at fair value)</w:t>
            </w:r>
          </w:p>
        </w:tc>
        <w:tc>
          <w:tcPr>
            <w:tcW w:w="7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11,396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4,097</w:t>
            </w:r>
          </w:p>
        </w:tc>
        <w:tc>
          <w:tcPr>
            <w:tcW w:w="0" w:type="dxa"/>
            <w:vAlign w:val="bottom"/>
          </w:tcPr>
          <w:p>
            <w:pPr>
              <w:spacing w:after="0"/>
              <w:rPr>
                <w:sz w:val="1"/>
                <w:szCs w:val="1"/>
                <w:color w:val="auto"/>
              </w:rPr>
            </w:pPr>
          </w:p>
        </w:tc>
      </w:tr>
      <w:tr>
        <w:trPr>
          <w:trHeight w:val="102"/>
        </w:trPr>
        <w:tc>
          <w:tcPr>
            <w:tcW w:w="8020" w:type="dxa"/>
            <w:vAlign w:val="bottom"/>
          </w:tcPr>
          <w:p>
            <w:pPr>
              <w:ind w:left="20"/>
              <w:spacing w:after="0" w:line="102" w:lineRule="exact"/>
              <w:rPr>
                <w:sz w:val="20"/>
                <w:szCs w:val="20"/>
                <w:color w:val="auto"/>
              </w:rPr>
            </w:pPr>
            <w:r>
              <w:rPr>
                <w:rFonts w:ascii="Arial" w:cs="Arial" w:eastAsia="Arial" w:hAnsi="Arial"/>
                <w:sz w:val="11"/>
                <w:szCs w:val="11"/>
                <w:color w:val="auto"/>
              </w:rPr>
              <w:t>TOTAL ASSETS</w:t>
            </w:r>
          </w:p>
        </w:tc>
        <w:tc>
          <w:tcPr>
            <w:tcW w:w="720" w:type="dxa"/>
            <w:vAlign w:val="bottom"/>
            <w:vMerge w:val="restart"/>
          </w:tcPr>
          <w:p>
            <w:pPr>
              <w:jc w:val="right"/>
              <w:ind w:right="233"/>
              <w:spacing w:after="0"/>
              <w:rPr>
                <w:sz w:val="20"/>
                <w:szCs w:val="20"/>
                <w:color w:val="auto"/>
              </w:rPr>
            </w:pPr>
            <w:r>
              <w:rPr>
                <w:rFonts w:ascii="Arial" w:cs="Arial" w:eastAsia="Arial" w:hAnsi="Arial"/>
                <w:sz w:val="9"/>
                <w:szCs w:val="9"/>
                <w:color w:val="auto"/>
              </w:rPr>
              <w:t>(1)</w:t>
            </w:r>
          </w:p>
        </w:tc>
        <w:tc>
          <w:tcPr>
            <w:tcW w:w="220" w:type="dxa"/>
            <w:vAlign w:val="bottom"/>
            <w:tcBorders>
              <w:top w:val="single" w:sz="8" w:color="auto"/>
            </w:tcBorders>
          </w:tcPr>
          <w:p>
            <w:pPr>
              <w:jc w:val="right"/>
              <w:ind w:right="52"/>
              <w:spacing w:after="0" w:line="102" w:lineRule="exact"/>
              <w:rPr>
                <w:sz w:val="20"/>
                <w:szCs w:val="20"/>
                <w:color w:val="auto"/>
              </w:rPr>
            </w:pPr>
            <w:r>
              <w:rPr>
                <w:rFonts w:ascii="Arial" w:cs="Arial" w:eastAsia="Arial" w:hAnsi="Arial"/>
                <w:sz w:val="11"/>
                <w:szCs w:val="11"/>
                <w:color w:val="auto"/>
              </w:rPr>
              <w:t>$</w:t>
            </w:r>
          </w:p>
        </w:tc>
        <w:tc>
          <w:tcPr>
            <w:tcW w:w="98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4,868,261</w:t>
            </w:r>
          </w:p>
        </w:tc>
        <w:tc>
          <w:tcPr>
            <w:tcW w:w="100" w:type="dxa"/>
            <w:vAlign w:val="bottom"/>
          </w:tcPr>
          <w:p>
            <w:pPr>
              <w:spacing w:after="0"/>
              <w:rPr>
                <w:sz w:val="8"/>
                <w:szCs w:val="8"/>
                <w:color w:val="auto"/>
              </w:rPr>
            </w:pPr>
          </w:p>
        </w:tc>
        <w:tc>
          <w:tcPr>
            <w:tcW w:w="12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2,175,582</w:t>
            </w:r>
          </w:p>
        </w:tc>
        <w:tc>
          <w:tcPr>
            <w:tcW w:w="0" w:type="dxa"/>
            <w:vAlign w:val="bottom"/>
          </w:tcPr>
          <w:p>
            <w:pPr>
              <w:spacing w:after="0"/>
              <w:rPr>
                <w:sz w:val="1"/>
                <w:szCs w:val="1"/>
                <w:color w:val="auto"/>
              </w:rPr>
            </w:pPr>
          </w:p>
        </w:tc>
      </w:tr>
      <w:tr>
        <w:trPr>
          <w:trHeight w:val="28"/>
        </w:trPr>
        <w:tc>
          <w:tcPr>
            <w:tcW w:w="80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0"/>
        </w:trPr>
        <w:tc>
          <w:tcPr>
            <w:tcW w:w="8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2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LIABILITIES AND SHAREHOLDERS’ EQUITY</w:t>
            </w:r>
          </w:p>
        </w:tc>
        <w:tc>
          <w:tcPr>
            <w:tcW w:w="7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80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Accounts payable and other accrued liabilities</w:t>
            </w: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70,900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25,270</w:t>
            </w:r>
          </w:p>
        </w:tc>
        <w:tc>
          <w:tcPr>
            <w:tcW w:w="0" w:type="dxa"/>
            <w:vAlign w:val="bottom"/>
          </w:tcPr>
          <w:p>
            <w:pPr>
              <w:spacing w:after="0"/>
              <w:rPr>
                <w:sz w:val="1"/>
                <w:szCs w:val="1"/>
                <w:color w:val="auto"/>
              </w:rPr>
            </w:pPr>
          </w:p>
        </w:tc>
      </w:tr>
      <w:tr>
        <w:trPr>
          <w:trHeight w:val="191"/>
        </w:trPr>
        <w:tc>
          <w:tcPr>
            <w:tcW w:w="8020" w:type="dxa"/>
            <w:vAlign w:val="bottom"/>
          </w:tcPr>
          <w:p>
            <w:pPr>
              <w:ind w:left="180"/>
              <w:spacing w:after="0"/>
              <w:rPr>
                <w:sz w:val="20"/>
                <w:szCs w:val="20"/>
                <w:color w:val="auto"/>
              </w:rPr>
            </w:pPr>
            <w:r>
              <w:rPr>
                <w:rFonts w:ascii="Arial" w:cs="Arial" w:eastAsia="Arial" w:hAnsi="Arial"/>
                <w:sz w:val="14"/>
                <w:szCs w:val="14"/>
                <w:color w:val="auto"/>
              </w:rPr>
              <w:t>Current portion of credit facilities and other secured borrowings</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1,690,878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346,322</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Warrant liabilities - current</w:t>
            </w: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38,669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8020" w:type="dxa"/>
            <w:vAlign w:val="bottom"/>
          </w:tcPr>
          <w:p>
            <w:pPr>
              <w:ind w:left="180"/>
              <w:spacing w:after="0"/>
              <w:rPr>
                <w:sz w:val="20"/>
                <w:szCs w:val="20"/>
                <w:color w:val="auto"/>
              </w:rPr>
            </w:pPr>
            <w:r>
              <w:rPr>
                <w:rFonts w:ascii="Arial" w:cs="Arial" w:eastAsia="Arial" w:hAnsi="Arial"/>
                <w:sz w:val="14"/>
                <w:szCs w:val="14"/>
                <w:color w:val="auto"/>
              </w:rPr>
              <w:t>Interest payable</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1,081</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Lease liabilities - current portion</w:t>
            </w:r>
          </w:p>
        </w:tc>
        <w:tc>
          <w:tcPr>
            <w:tcW w:w="7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4,999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20,716</w:t>
            </w:r>
          </w:p>
        </w:tc>
        <w:tc>
          <w:tcPr>
            <w:tcW w:w="0" w:type="dxa"/>
            <w:vAlign w:val="bottom"/>
          </w:tcPr>
          <w:p>
            <w:pPr>
              <w:spacing w:after="0"/>
              <w:rPr>
                <w:sz w:val="1"/>
                <w:szCs w:val="1"/>
                <w:color w:val="auto"/>
              </w:rPr>
            </w:pPr>
          </w:p>
        </w:tc>
      </w:tr>
      <w:tr>
        <w:trPr>
          <w:trHeight w:val="184"/>
        </w:trPr>
        <w:tc>
          <w:tcPr>
            <w:tcW w:w="8020" w:type="dxa"/>
            <w:vAlign w:val="bottom"/>
          </w:tcPr>
          <w:p>
            <w:pPr>
              <w:ind w:left="360"/>
              <w:spacing w:after="0"/>
              <w:rPr>
                <w:sz w:val="20"/>
                <w:szCs w:val="20"/>
                <w:color w:val="auto"/>
              </w:rPr>
            </w:pPr>
            <w:r>
              <w:rPr>
                <w:rFonts w:ascii="Arial" w:cs="Arial" w:eastAsia="Arial" w:hAnsi="Arial"/>
                <w:sz w:val="14"/>
                <w:szCs w:val="14"/>
                <w:color w:val="auto"/>
              </w:rPr>
              <w:t>Total current liabilities</w:t>
            </w:r>
          </w:p>
        </w:tc>
        <w:tc>
          <w:tcPr>
            <w:tcW w:w="7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1,810,051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393,389</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CREDIT FACILITIES – Net of current portion</w:t>
            </w: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595,579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135,467</w:t>
            </w:r>
          </w:p>
        </w:tc>
        <w:tc>
          <w:tcPr>
            <w:tcW w:w="0" w:type="dxa"/>
            <w:vAlign w:val="bottom"/>
          </w:tcPr>
          <w:p>
            <w:pPr>
              <w:spacing w:after="0"/>
              <w:rPr>
                <w:sz w:val="1"/>
                <w:szCs w:val="1"/>
                <w:color w:val="auto"/>
              </w:rPr>
            </w:pP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color w:val="auto"/>
              </w:rPr>
              <w:t>WARRANT LIABILITIES</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47,349</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LEASE LIABILITIES – Net of current portion</w:t>
            </w: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44,593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46,625</w:t>
            </w:r>
          </w:p>
        </w:tc>
        <w:tc>
          <w:tcPr>
            <w:tcW w:w="0" w:type="dxa"/>
            <w:vAlign w:val="bottom"/>
          </w:tcPr>
          <w:p>
            <w:pPr>
              <w:spacing w:after="0"/>
              <w:rPr>
                <w:sz w:val="1"/>
                <w:szCs w:val="1"/>
                <w:color w:val="auto"/>
              </w:rPr>
            </w:pPr>
          </w:p>
        </w:tc>
      </w:tr>
      <w:tr>
        <w:trPr>
          <w:trHeight w:val="191"/>
        </w:trPr>
        <w:tc>
          <w:tcPr>
            <w:tcW w:w="802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5"/>
        </w:trPr>
        <w:tc>
          <w:tcPr>
            <w:tcW w:w="80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80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9"/>
                <w:szCs w:val="9"/>
                <w:color w:val="auto"/>
              </w:rPr>
              <w:t>(2)</w:t>
            </w:r>
          </w:p>
        </w:tc>
        <w:tc>
          <w:tcPr>
            <w:tcW w:w="22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2,450,340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622,924</w:t>
            </w:r>
          </w:p>
        </w:tc>
        <w:tc>
          <w:tcPr>
            <w:tcW w:w="0" w:type="dxa"/>
            <w:vAlign w:val="bottom"/>
          </w:tcPr>
          <w:p>
            <w:pPr>
              <w:spacing w:after="0"/>
              <w:rPr>
                <w:sz w:val="1"/>
                <w:szCs w:val="1"/>
                <w:color w:val="auto"/>
              </w:rPr>
            </w:pPr>
          </w:p>
        </w:tc>
      </w:tr>
      <w:tr>
        <w:trPr>
          <w:trHeight w:val="107"/>
        </w:trPr>
        <w:tc>
          <w:tcPr>
            <w:tcW w:w="8020" w:type="dxa"/>
            <w:vAlign w:val="bottom"/>
            <w:tcBorders>
              <w:bottom w:val="single" w:sz="8" w:color="CCEEFF"/>
            </w:tcBorders>
            <w:vMerge w:val="continue"/>
            <w:shd w:val="clear" w:color="auto" w:fill="CCEEFF"/>
          </w:tcPr>
          <w:p>
            <w:pPr>
              <w:spacing w:after="0"/>
              <w:rPr>
                <w:sz w:val="9"/>
                <w:szCs w:val="9"/>
                <w:color w:val="auto"/>
              </w:rPr>
            </w:pPr>
          </w:p>
        </w:tc>
        <w:tc>
          <w:tcPr>
            <w:tcW w:w="72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98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08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8020" w:type="dxa"/>
            <w:vAlign w:val="bottom"/>
          </w:tcPr>
          <w:p>
            <w:pPr>
              <w:ind w:left="20"/>
              <w:spacing w:after="0"/>
              <w:rPr>
                <w:sz w:val="20"/>
                <w:szCs w:val="20"/>
                <w:color w:val="auto"/>
              </w:rPr>
            </w:pPr>
            <w:r>
              <w:rPr>
                <w:rFonts w:ascii="Arial" w:cs="Arial" w:eastAsia="Arial" w:hAnsi="Arial"/>
                <w:sz w:val="14"/>
                <w:szCs w:val="14"/>
                <w:color w:val="auto"/>
              </w:rPr>
              <w:t>COMMITMENTS AND CONTINGENCIES (See Note 17)</w:t>
            </w:r>
          </w:p>
        </w:tc>
        <w:tc>
          <w:tcPr>
            <w:tcW w:w="7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SHAREHOLDERS’ EQUITY:</w:t>
            </w: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8020" w:type="dxa"/>
            <w:vAlign w:val="bottom"/>
          </w:tcPr>
          <w:p>
            <w:pPr>
              <w:ind w:left="180"/>
              <w:spacing w:after="0"/>
              <w:rPr>
                <w:sz w:val="20"/>
                <w:szCs w:val="20"/>
                <w:color w:val="auto"/>
              </w:rPr>
            </w:pPr>
            <w:r>
              <w:rPr>
                <w:rFonts w:ascii="Arial" w:cs="Arial" w:eastAsia="Arial" w:hAnsi="Arial"/>
                <w:sz w:val="14"/>
                <w:szCs w:val="14"/>
                <w:color w:val="auto"/>
                <w:w w:val="95"/>
              </w:rPr>
              <w:t>Common stock, $0.0001 par value; 3,000,000,000 shares authorized; 593,838,919 and 540,714,692 shares issued and outstanding,</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020" w:type="dxa"/>
            <w:vAlign w:val="bottom"/>
          </w:tcPr>
          <w:p>
            <w:pPr>
              <w:ind w:left="360"/>
              <w:spacing w:after="0"/>
              <w:rPr>
                <w:sz w:val="20"/>
                <w:szCs w:val="20"/>
                <w:color w:val="auto"/>
              </w:rPr>
            </w:pPr>
            <w:r>
              <w:rPr>
                <w:rFonts w:ascii="Arial" w:cs="Arial" w:eastAsia="Arial" w:hAnsi="Arial"/>
                <w:sz w:val="14"/>
                <w:szCs w:val="14"/>
                <w:color w:val="auto"/>
              </w:rPr>
              <w:t>respectively</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3,875,552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2,596,012</w:t>
            </w:r>
          </w:p>
        </w:tc>
        <w:tc>
          <w:tcPr>
            <w:tcW w:w="0" w:type="dxa"/>
            <w:vAlign w:val="bottom"/>
          </w:tcPr>
          <w:p>
            <w:pPr>
              <w:spacing w:after="0"/>
              <w:rPr>
                <w:sz w:val="1"/>
                <w:szCs w:val="1"/>
                <w:color w:val="auto"/>
              </w:rPr>
            </w:pPr>
          </w:p>
        </w:tc>
      </w:tr>
      <w:tr>
        <w:trPr>
          <w:trHeight w:val="191"/>
        </w:trPr>
        <w:tc>
          <w:tcPr>
            <w:tcW w:w="8020" w:type="dxa"/>
            <w:vAlign w:val="bottom"/>
          </w:tcPr>
          <w:p>
            <w:pPr>
              <w:ind w:left="180"/>
              <w:spacing w:after="0"/>
              <w:rPr>
                <w:sz w:val="20"/>
                <w:szCs w:val="20"/>
                <w:color w:val="auto"/>
              </w:rPr>
            </w:pPr>
            <w:r>
              <w:rPr>
                <w:rFonts w:ascii="Arial" w:cs="Arial" w:eastAsia="Arial" w:hAnsi="Arial"/>
                <w:sz w:val="14"/>
                <w:szCs w:val="14"/>
                <w:color w:val="auto"/>
              </w:rPr>
              <w:t>Accumulated deficit</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(1,457,690)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(1,043,449)</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income</w:t>
            </w:r>
          </w:p>
        </w:tc>
        <w:tc>
          <w:tcPr>
            <w:tcW w:w="7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4"/>
        </w:trPr>
        <w:tc>
          <w:tcPr>
            <w:tcW w:w="8020" w:type="dxa"/>
            <w:vAlign w:val="bottom"/>
          </w:tcPr>
          <w:p>
            <w:pPr>
              <w:ind w:left="360"/>
              <w:spacing w:after="0"/>
              <w:rPr>
                <w:sz w:val="20"/>
                <w:szCs w:val="20"/>
                <w:color w:val="auto"/>
              </w:rPr>
            </w:pPr>
            <w:r>
              <w:rPr>
                <w:rFonts w:ascii="Arial" w:cs="Arial" w:eastAsia="Arial" w:hAnsi="Arial"/>
                <w:sz w:val="14"/>
                <w:szCs w:val="14"/>
                <w:color w:val="auto"/>
              </w:rPr>
              <w:t>Total shareholders’ equity</w:t>
            </w:r>
          </w:p>
        </w:tc>
        <w:tc>
          <w:tcPr>
            <w:tcW w:w="7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2,417,921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1,552,658</w:t>
            </w:r>
          </w:p>
        </w:tc>
        <w:tc>
          <w:tcPr>
            <w:tcW w:w="0" w:type="dxa"/>
            <w:vAlign w:val="bottom"/>
          </w:tcPr>
          <w:p>
            <w:pPr>
              <w:spacing w:after="0"/>
              <w:rPr>
                <w:sz w:val="1"/>
                <w:szCs w:val="1"/>
                <w:color w:val="auto"/>
              </w:rPr>
            </w:pPr>
          </w:p>
        </w:tc>
      </w:tr>
      <w:tr>
        <w:trPr>
          <w:trHeight w:val="25"/>
        </w:trPr>
        <w:tc>
          <w:tcPr>
            <w:tcW w:w="80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LIABILITIES AND SHAREHOLDERS’ EQUITY</w:t>
            </w:r>
          </w:p>
        </w:tc>
        <w:tc>
          <w:tcPr>
            <w:tcW w:w="7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4,868,261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2,175,582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04" w:lineRule="exact"/>
        <w:rPr>
          <w:sz w:val="20"/>
          <w:szCs w:val="20"/>
          <w:color w:val="auto"/>
        </w:rPr>
      </w:pPr>
    </w:p>
    <w:p>
      <w:pPr>
        <w:ind w:left="340" w:right="140" w:hanging="332"/>
        <w:spacing w:after="0" w:line="238" w:lineRule="auto"/>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The Company’s consolidated assets at June 30, 2021 and December 31, 2020 include the following assets of certain variable interest entities (“VIEs”) that can only be used to settle the liabilities of those VIEs: Cash and cash equivalents, $1,002 and $15,849; Restricted cash, $122,379 and $81,408; Real estate inventory, net, $2,605,155 and $460,680; Escrow receivable, $32,686 and $1,364; Other current assets, $27,761 and $5,365; and Total assets of $2,788,983 and $564,666, respectively.</w:t>
      </w:r>
    </w:p>
    <w:p>
      <w:pPr>
        <w:spacing w:after="0" w:line="39" w:lineRule="exact"/>
        <w:rPr>
          <w:rFonts w:ascii="Arial" w:cs="Arial" w:eastAsia="Arial" w:hAnsi="Arial"/>
          <w:sz w:val="23"/>
          <w:szCs w:val="23"/>
          <w:color w:val="auto"/>
          <w:vertAlign w:val="superscript"/>
        </w:rPr>
      </w:pPr>
    </w:p>
    <w:p>
      <w:pPr>
        <w:ind w:left="340" w:right="160" w:hanging="332"/>
        <w:spacing w:after="0" w:line="251" w:lineRule="auto"/>
        <w:tabs>
          <w:tab w:leader="none" w:pos="32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The Company’s consolidated liabilities at June 30, 2021 and December 31, 2020 include the following liabilities for which the VIE creditors do not have recourse to Opendoor: Accounts payable and other accrued liabilities, $23,912 and $2,335; Interest payable, $4,541 and $1,059; Current portion</w:t>
      </w:r>
    </w:p>
    <w:p>
      <w:pPr>
        <w:spacing w:after="0" w:line="1" w:lineRule="exact"/>
        <w:rPr>
          <w:sz w:val="20"/>
          <w:szCs w:val="20"/>
          <w:color w:val="auto"/>
        </w:rPr>
      </w:pPr>
    </w:p>
    <w:p>
      <w:pPr>
        <w:ind w:left="340" w:right="140"/>
        <w:spacing w:after="0" w:line="250" w:lineRule="auto"/>
        <w:rPr>
          <w:sz w:val="20"/>
          <w:szCs w:val="20"/>
          <w:color w:val="auto"/>
        </w:rPr>
      </w:pPr>
      <w:r>
        <w:rPr>
          <w:rFonts w:ascii="Arial" w:cs="Arial" w:eastAsia="Arial" w:hAnsi="Arial"/>
          <w:sz w:val="18"/>
          <w:szCs w:val="18"/>
          <w:color w:val="auto"/>
        </w:rPr>
        <w:t>of credit facilities and other secured borrowings, $1,666,522 and $339,173; Credit facilities, net of current portion, $599,000 and $135,467; and Total liabilities, $2,293,975 and $478,034, respectively.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ind w:right="451"/>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6"/>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1,185,386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739,827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1,932,660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1,995,622</w:t>
            </w:r>
          </w:p>
        </w:tc>
        <w:tc>
          <w:tcPr>
            <w:tcW w:w="0" w:type="dxa"/>
            <w:vAlign w:val="bottom"/>
          </w:tcPr>
          <w:p>
            <w:pPr>
              <w:spacing w:after="0"/>
              <w:rPr>
                <w:sz w:val="1"/>
                <w:szCs w:val="1"/>
                <w:color w:val="auto"/>
              </w:rPr>
            </w:pP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1,026,615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685,253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1,676,757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1,850,001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158,771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54,574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255,903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145,621</w:t>
            </w:r>
          </w:p>
        </w:tc>
        <w:tc>
          <w:tcPr>
            <w:tcW w:w="0" w:type="dxa"/>
            <w:vAlign w:val="bottom"/>
          </w:tcPr>
          <w:p>
            <w:pPr>
              <w:spacing w:after="0"/>
              <w:rPr>
                <w:sz w:val="1"/>
                <w:szCs w:val="1"/>
                <w:color w:val="auto"/>
              </w:rPr>
            </w:pP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marketing and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165,591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128,954</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190,611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29,323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412,695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58,906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and development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24,388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75,065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32,625</w:t>
            </w:r>
          </w:p>
        </w:tc>
        <w:tc>
          <w:tcPr>
            <w:tcW w:w="0" w:type="dxa"/>
            <w:vAlign w:val="bottom"/>
          </w:tcPr>
          <w:p>
            <w:pPr>
              <w:spacing w:after="0"/>
              <w:rPr>
                <w:sz w:val="1"/>
                <w:szCs w:val="1"/>
                <w:color w:val="auto"/>
              </w:rPr>
            </w:pPr>
          </w:p>
        </w:tc>
      </w:tr>
      <w:tr>
        <w:trPr>
          <w:trHeight w:val="237"/>
        </w:trPr>
        <w:tc>
          <w:tcPr>
            <w:tcW w:w="550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311,524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93,426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653,351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220,485</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(397,448)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(74,864)</w:t>
            </w:r>
          </w:p>
        </w:tc>
        <w:tc>
          <w:tcPr>
            <w:tcW w:w="0" w:type="dxa"/>
            <w:vAlign w:val="bottom"/>
          </w:tcPr>
          <w:p>
            <w:pPr>
              <w:spacing w:after="0"/>
              <w:rPr>
                <w:sz w:val="1"/>
                <w:szCs w:val="1"/>
                <w:color w:val="auto"/>
              </w:rPr>
            </w:pP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DERIVATIVE AND WARRANT FAIR VALUE ADJUSTMENT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8,680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(26,825)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(45,017)</w:t>
            </w:r>
          </w:p>
        </w:tc>
        <w:tc>
          <w:tcPr>
            <w:tcW w:w="0" w:type="dxa"/>
            <w:vAlign w:val="bottom"/>
          </w:tcPr>
          <w:p>
            <w:pPr>
              <w:spacing w:after="0"/>
              <w:rPr>
                <w:sz w:val="1"/>
                <w:szCs w:val="1"/>
                <w:color w:val="auto"/>
              </w:rPr>
            </w:pP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OTHER INCOME –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(413,957)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(117,916)</w:t>
            </w:r>
          </w:p>
        </w:tc>
        <w:tc>
          <w:tcPr>
            <w:tcW w:w="0" w:type="dxa"/>
            <w:vAlign w:val="bottom"/>
          </w:tcPr>
          <w:p>
            <w:pPr>
              <w:spacing w:after="0"/>
              <w:rPr>
                <w:sz w:val="1"/>
                <w:szCs w:val="1"/>
                <w:color w:val="auto"/>
              </w:rPr>
            </w:pP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(143,805)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(55,919)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(414,241)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(118,115)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 attributable to common shareholders: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5500" w:type="dxa"/>
            <w:vAlign w:val="bottom"/>
          </w:tcPr>
          <w:p>
            <w:pPr>
              <w:ind w:left="52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52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588,374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84,588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576,941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84,308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588,374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84,588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576,941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84,308</w:t>
            </w: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86"/>
        </w:trPr>
        <w:tc>
          <w:tcPr>
            <w:tcW w:w="5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16"/>
                <w:szCs w:val="16"/>
                <w:color w:val="auto"/>
              </w:rPr>
            </w:pPr>
          </w:p>
        </w:tc>
      </w:tr>
      <w:tr>
        <w:trPr>
          <w:trHeight w:val="26"/>
        </w:trPr>
        <w:tc>
          <w:tcPr>
            <w:tcW w:w="5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4"/>
        </w:trPr>
        <w:tc>
          <w:tcPr>
            <w:tcW w:w="5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ind w:right="455"/>
              <w:spacing w:after="0"/>
              <w:rPr>
                <w:sz w:val="20"/>
                <w:szCs w:val="20"/>
                <w:color w:val="auto"/>
              </w:rPr>
            </w:pPr>
            <w:r>
              <w:rPr>
                <w:rFonts w:ascii="Arial" w:cs="Arial" w:eastAsia="Arial" w:hAnsi="Arial"/>
                <w:sz w:val="14"/>
                <w:szCs w:val="14"/>
                <w:b w:val="1"/>
                <w:bCs w:val="1"/>
                <w:color w:val="auto"/>
                <w:w w:val="89"/>
              </w:rPr>
              <w:t>2020</w:t>
            </w:r>
          </w:p>
        </w:tc>
      </w:tr>
      <w:tr>
        <w:trPr>
          <w:trHeight w:val="26"/>
        </w:trPr>
        <w:tc>
          <w:tcPr>
            <w:tcW w:w="5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(414,241)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(118,115)</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 gain on marketable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64"/>
        </w:trPr>
        <w:tc>
          <w:tcPr>
            <w:tcW w:w="548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(143,811)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(55,336)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(414,282)</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(117,831)</w:t>
            </w:r>
          </w:p>
        </w:tc>
      </w:tr>
      <w:tr>
        <w:trPr>
          <w:trHeight w:val="20"/>
        </w:trPr>
        <w:tc>
          <w:tcPr>
            <w:tcW w:w="5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TEMPORARY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AND SHAREHOLDERS’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number of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3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ind w:left="160"/>
              <w:spacing w:after="0"/>
              <w:rPr>
                <w:sz w:val="20"/>
                <w:szCs w:val="20"/>
                <w:color w:val="auto"/>
              </w:rPr>
            </w:pPr>
            <w:r>
              <w:rPr>
                <w:rFonts w:ascii="Arial" w:cs="Arial" w:eastAsia="Arial" w:hAnsi="Arial"/>
                <w:sz w:val="11"/>
                <w:szCs w:val="11"/>
                <w:b w:val="1"/>
                <w:bCs w:val="1"/>
                <w:color w:val="auto"/>
              </w:rPr>
              <w:t>Temporary Equity</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ind w:left="180"/>
              <w:spacing w:after="0"/>
              <w:rPr>
                <w:sz w:val="20"/>
                <w:szCs w:val="20"/>
                <w:color w:val="auto"/>
              </w:rPr>
            </w:pPr>
            <w:r>
              <w:rPr>
                <w:rFonts w:ascii="Arial" w:cs="Arial" w:eastAsia="Arial" w:hAnsi="Arial"/>
                <w:sz w:val="11"/>
                <w:szCs w:val="11"/>
                <w:b w:val="1"/>
                <w:bCs w:val="1"/>
                <w:color w:val="auto"/>
              </w:rPr>
              <w:t>Shareholders’ Equity (Deficit)</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800" w:type="dxa"/>
            <w:vAlign w:val="bottom"/>
            <w:gridSpan w:val="3"/>
          </w:tcPr>
          <w:p>
            <w:pPr>
              <w:ind w:left="320"/>
              <w:spacing w:after="0"/>
              <w:rPr>
                <w:sz w:val="20"/>
                <w:szCs w:val="20"/>
                <w:color w:val="auto"/>
              </w:rPr>
            </w:pPr>
            <w:r>
              <w:rPr>
                <w:rFonts w:ascii="Arial" w:cs="Arial" w:eastAsia="Arial" w:hAnsi="Arial"/>
                <w:sz w:val="11"/>
                <w:szCs w:val="11"/>
                <w:b w:val="1"/>
                <w:bCs w:val="1"/>
                <w:color w:val="auto"/>
              </w:rPr>
              <w:t>Series A</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ind w:left="340"/>
              <w:spacing w:after="0"/>
              <w:rPr>
                <w:sz w:val="20"/>
                <w:szCs w:val="20"/>
                <w:color w:val="auto"/>
              </w:rPr>
            </w:pPr>
            <w:r>
              <w:rPr>
                <w:rFonts w:ascii="Arial" w:cs="Arial" w:eastAsia="Arial" w:hAnsi="Arial"/>
                <w:sz w:val="11"/>
                <w:szCs w:val="11"/>
                <w:b w:val="1"/>
                <w:bCs w:val="1"/>
                <w:color w:val="auto"/>
              </w:rPr>
              <w:t>Series B</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ind w:left="320"/>
              <w:spacing w:after="0"/>
              <w:rPr>
                <w:sz w:val="20"/>
                <w:szCs w:val="20"/>
                <w:color w:val="auto"/>
              </w:rPr>
            </w:pPr>
            <w:r>
              <w:rPr>
                <w:rFonts w:ascii="Arial" w:cs="Arial" w:eastAsia="Arial" w:hAnsi="Arial"/>
                <w:sz w:val="11"/>
                <w:szCs w:val="11"/>
                <w:b w:val="1"/>
                <w:bCs w:val="1"/>
                <w:color w:val="auto"/>
              </w:rPr>
              <w:t>Series C</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ind w:left="340"/>
              <w:spacing w:after="0"/>
              <w:rPr>
                <w:sz w:val="20"/>
                <w:szCs w:val="20"/>
                <w:color w:val="auto"/>
              </w:rPr>
            </w:pPr>
            <w:r>
              <w:rPr>
                <w:rFonts w:ascii="Arial" w:cs="Arial" w:eastAsia="Arial" w:hAnsi="Arial"/>
                <w:sz w:val="11"/>
                <w:szCs w:val="11"/>
                <w:b w:val="1"/>
                <w:bCs w:val="1"/>
                <w:color w:val="auto"/>
              </w:rPr>
              <w:t>Series 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ind w:left="380"/>
              <w:spacing w:after="0"/>
              <w:rPr>
                <w:sz w:val="20"/>
                <w:szCs w:val="20"/>
                <w:color w:val="auto"/>
              </w:rPr>
            </w:pPr>
            <w:r>
              <w:rPr>
                <w:rFonts w:ascii="Arial" w:cs="Arial" w:eastAsia="Arial" w:hAnsi="Arial"/>
                <w:sz w:val="11"/>
                <w:szCs w:val="11"/>
                <w:b w:val="1"/>
                <w:bCs w:val="1"/>
                <w:color w:val="auto"/>
              </w:rPr>
              <w:t>Series E</w:t>
            </w:r>
          </w:p>
        </w:tc>
        <w:tc>
          <w:tcPr>
            <w:tcW w:w="1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11"/>
                <w:szCs w:val="11"/>
                <w:color w:val="auto"/>
              </w:rPr>
            </w:pPr>
          </w:p>
        </w:tc>
        <w:tc>
          <w:tcPr>
            <w:tcW w:w="58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00" w:type="dxa"/>
            <w:vAlign w:val="bottom"/>
            <w:gridSpan w:val="3"/>
            <w:vMerge w:val="restart"/>
          </w:tcPr>
          <w:p>
            <w:pPr>
              <w:jc w:val="center"/>
              <w:ind w:left="166"/>
              <w:spacing w:after="0" w:line="122" w:lineRule="exact"/>
              <w:rPr>
                <w:sz w:val="20"/>
                <w:szCs w:val="20"/>
                <w:color w:val="auto"/>
              </w:rPr>
            </w:pPr>
            <w:r>
              <w:rPr>
                <w:rFonts w:ascii="Arial" w:cs="Arial" w:eastAsia="Arial" w:hAnsi="Arial"/>
                <w:sz w:val="11"/>
                <w:szCs w:val="11"/>
                <w:b w:val="1"/>
                <w:bCs w:val="1"/>
                <w:color w:val="auto"/>
                <w:w w:val="89"/>
              </w:rPr>
              <w:t>Convertible</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3"/>
            <w:vMerge w:val="restart"/>
          </w:tcPr>
          <w:p>
            <w:pPr>
              <w:jc w:val="center"/>
              <w:ind w:left="166"/>
              <w:spacing w:after="0" w:line="122" w:lineRule="exact"/>
              <w:rPr>
                <w:sz w:val="20"/>
                <w:szCs w:val="20"/>
                <w:color w:val="auto"/>
              </w:rPr>
            </w:pPr>
            <w:r>
              <w:rPr>
                <w:rFonts w:ascii="Arial" w:cs="Arial" w:eastAsia="Arial" w:hAnsi="Arial"/>
                <w:sz w:val="11"/>
                <w:szCs w:val="11"/>
                <w:b w:val="1"/>
                <w:bCs w:val="1"/>
                <w:color w:val="auto"/>
                <w:w w:val="89"/>
              </w:rPr>
              <w:t>Convertible</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3"/>
            <w:vMerge w:val="restart"/>
          </w:tcPr>
          <w:p>
            <w:pPr>
              <w:ind w:left="24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3"/>
            <w:vMerge w:val="restart"/>
          </w:tcPr>
          <w:p>
            <w:pPr>
              <w:jc w:val="center"/>
              <w:ind w:left="106"/>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3"/>
            <w:vMerge w:val="restart"/>
          </w:tcPr>
          <w:p>
            <w:pPr>
              <w:jc w:val="center"/>
              <w:ind w:left="126"/>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8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vMerge w:val="restart"/>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Additional</w:t>
            </w: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restart"/>
          </w:tcPr>
          <w:p>
            <w:pPr>
              <w:jc w:val="center"/>
              <w:ind w:right="140"/>
              <w:spacing w:after="0" w:line="122" w:lineRule="exact"/>
              <w:rPr>
                <w:sz w:val="20"/>
                <w:szCs w:val="20"/>
                <w:color w:val="auto"/>
              </w:rPr>
            </w:pPr>
            <w:r>
              <w:rPr>
                <w:rFonts w:ascii="Arial" w:cs="Arial" w:eastAsia="Arial" w:hAnsi="Arial"/>
                <w:sz w:val="11"/>
                <w:szCs w:val="11"/>
                <w:b w:val="1"/>
                <w:bCs w:val="1"/>
                <w:color w:val="auto"/>
                <w:w w:val="95"/>
              </w:rPr>
              <w:t>Other</w:t>
            </w:r>
          </w:p>
        </w:tc>
        <w:tc>
          <w:tcPr>
            <w:tcW w:w="700" w:type="dxa"/>
            <w:vAlign w:val="bottom"/>
            <w:gridSpan w:val="2"/>
            <w:vMerge w:val="restart"/>
          </w:tcPr>
          <w:p>
            <w:pPr>
              <w:jc w:val="center"/>
              <w:spacing w:after="0" w:line="122" w:lineRule="exact"/>
              <w:rPr>
                <w:sz w:val="20"/>
                <w:szCs w:val="20"/>
                <w:color w:val="auto"/>
              </w:rPr>
            </w:pPr>
            <w:r>
              <w:rPr>
                <w:rFonts w:ascii="Arial" w:cs="Arial" w:eastAsia="Arial" w:hAnsi="Arial"/>
                <w:sz w:val="11"/>
                <w:szCs w:val="11"/>
                <w:b w:val="1"/>
                <w:bCs w:val="1"/>
                <w:color w:val="auto"/>
                <w:w w:val="89"/>
              </w:rPr>
              <w:t>Shareholders’</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1080" w:type="dxa"/>
            <w:vAlign w:val="bottom"/>
            <w:gridSpan w:val="5"/>
            <w:vMerge w:val="restart"/>
          </w:tcPr>
          <w:p>
            <w:pPr>
              <w:jc w:val="center"/>
              <w:ind w:right="80"/>
              <w:spacing w:after="0"/>
              <w:rPr>
                <w:sz w:val="20"/>
                <w:szCs w:val="20"/>
                <w:color w:val="auto"/>
              </w:rPr>
            </w:pPr>
            <w:r>
              <w:rPr>
                <w:rFonts w:ascii="Arial" w:cs="Arial" w:eastAsia="Arial" w:hAnsi="Arial"/>
                <w:sz w:val="11"/>
                <w:szCs w:val="11"/>
                <w:b w:val="1"/>
                <w:bCs w:val="1"/>
                <w:color w:val="auto"/>
                <w:w w:val="87"/>
              </w:rPr>
              <w:t>Preferred Stock</w:t>
            </w:r>
          </w:p>
        </w:tc>
        <w:tc>
          <w:tcPr>
            <w:tcW w:w="1120" w:type="dxa"/>
            <w:vAlign w:val="bottom"/>
            <w:gridSpan w:val="5"/>
            <w:vMerge w:val="restart"/>
          </w:tcPr>
          <w:p>
            <w:pPr>
              <w:jc w:val="center"/>
              <w:ind w:right="80"/>
              <w:spacing w:after="0"/>
              <w:rPr>
                <w:sz w:val="20"/>
                <w:szCs w:val="20"/>
                <w:color w:val="auto"/>
              </w:rPr>
            </w:pPr>
            <w:r>
              <w:rPr>
                <w:rFonts w:ascii="Arial" w:cs="Arial" w:eastAsia="Arial" w:hAnsi="Arial"/>
                <w:sz w:val="11"/>
                <w:szCs w:val="11"/>
                <w:b w:val="1"/>
                <w:bCs w:val="1"/>
                <w:color w:val="auto"/>
                <w:w w:val="87"/>
              </w:rPr>
              <w:t>Preferred Stock</w:t>
            </w:r>
          </w:p>
        </w:tc>
        <w:tc>
          <w:tcPr>
            <w:tcW w:w="1120" w:type="dxa"/>
            <w:vAlign w:val="bottom"/>
            <w:gridSpan w:val="5"/>
            <w:vMerge w:val="restart"/>
          </w:tcPr>
          <w:p>
            <w:pPr>
              <w:ind w:left="160"/>
              <w:spacing w:after="0"/>
              <w:rPr>
                <w:sz w:val="20"/>
                <w:szCs w:val="20"/>
                <w:color w:val="auto"/>
              </w:rPr>
            </w:pPr>
            <w:r>
              <w:rPr>
                <w:rFonts w:ascii="Arial" w:cs="Arial" w:eastAsia="Arial" w:hAnsi="Arial"/>
                <w:sz w:val="11"/>
                <w:szCs w:val="11"/>
                <w:b w:val="1"/>
                <w:bCs w:val="1"/>
                <w:color w:val="auto"/>
              </w:rPr>
              <w:t>Preferred Stock</w:t>
            </w:r>
          </w:p>
        </w:tc>
        <w:tc>
          <w:tcPr>
            <w:tcW w:w="900" w:type="dxa"/>
            <w:vAlign w:val="bottom"/>
            <w:gridSpan w:val="3"/>
            <w:vMerge w:val="restart"/>
          </w:tcPr>
          <w:p>
            <w:pPr>
              <w:jc w:val="center"/>
              <w:ind w:left="106"/>
              <w:spacing w:after="0"/>
              <w:rPr>
                <w:sz w:val="20"/>
                <w:szCs w:val="20"/>
                <w:color w:val="auto"/>
              </w:rPr>
            </w:pPr>
            <w:r>
              <w:rPr>
                <w:rFonts w:ascii="Arial" w:cs="Arial" w:eastAsia="Arial" w:hAnsi="Arial"/>
                <w:sz w:val="11"/>
                <w:szCs w:val="11"/>
                <w:b w:val="1"/>
                <w:bCs w:val="1"/>
                <w:color w:val="auto"/>
                <w:w w:val="90"/>
              </w:rPr>
              <w:t>Preferred Stock</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3"/>
            <w:vMerge w:val="restart"/>
          </w:tcPr>
          <w:p>
            <w:pPr>
              <w:jc w:val="center"/>
              <w:ind w:left="126"/>
              <w:spacing w:after="0"/>
              <w:rPr>
                <w:sz w:val="20"/>
                <w:szCs w:val="20"/>
                <w:color w:val="auto"/>
              </w:rPr>
            </w:pPr>
            <w:r>
              <w:rPr>
                <w:rFonts w:ascii="Arial" w:cs="Arial" w:eastAsia="Arial" w:hAnsi="Arial"/>
                <w:sz w:val="11"/>
                <w:szCs w:val="11"/>
                <w:b w:val="1"/>
                <w:bCs w:val="1"/>
                <w:color w:val="auto"/>
                <w:w w:val="90"/>
              </w:rPr>
              <w:t>Preferred Stock</w:t>
            </w:r>
          </w:p>
        </w:tc>
        <w:tc>
          <w:tcPr>
            <w:tcW w:w="18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gridSpan w:val="3"/>
            <w:vMerge w:val="restart"/>
          </w:tcPr>
          <w:p>
            <w:pPr>
              <w:ind w:left="220"/>
              <w:spacing w:after="0"/>
              <w:rPr>
                <w:sz w:val="20"/>
                <w:szCs w:val="20"/>
                <w:color w:val="auto"/>
              </w:rPr>
            </w:pPr>
            <w:r>
              <w:rPr>
                <w:rFonts w:ascii="Arial" w:cs="Arial" w:eastAsia="Arial" w:hAnsi="Arial"/>
                <w:sz w:val="11"/>
                <w:szCs w:val="11"/>
                <w:b w:val="1"/>
                <w:bCs w:val="1"/>
                <w:color w:val="auto"/>
                <w:w w:val="89"/>
              </w:rPr>
              <w:t>Common Stock</w:t>
            </w: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1300" w:type="dxa"/>
            <w:vAlign w:val="bottom"/>
          </w:tcPr>
          <w:p>
            <w:pPr>
              <w:spacing w:after="0"/>
              <w:rPr>
                <w:sz w:val="6"/>
                <w:szCs w:val="6"/>
                <w:color w:val="auto"/>
              </w:rPr>
            </w:pPr>
          </w:p>
        </w:tc>
        <w:tc>
          <w:tcPr>
            <w:tcW w:w="1080" w:type="dxa"/>
            <w:vAlign w:val="bottom"/>
            <w:gridSpan w:val="5"/>
            <w:vMerge w:val="continue"/>
          </w:tcPr>
          <w:p>
            <w:pPr>
              <w:spacing w:after="0"/>
              <w:rPr>
                <w:sz w:val="6"/>
                <w:szCs w:val="6"/>
                <w:color w:val="auto"/>
              </w:rPr>
            </w:pPr>
          </w:p>
        </w:tc>
        <w:tc>
          <w:tcPr>
            <w:tcW w:w="1120" w:type="dxa"/>
            <w:vAlign w:val="bottom"/>
            <w:gridSpan w:val="5"/>
            <w:vMerge w:val="continue"/>
          </w:tcPr>
          <w:p>
            <w:pPr>
              <w:spacing w:after="0"/>
              <w:rPr>
                <w:sz w:val="6"/>
                <w:szCs w:val="6"/>
                <w:color w:val="auto"/>
              </w:rPr>
            </w:pPr>
          </w:p>
        </w:tc>
        <w:tc>
          <w:tcPr>
            <w:tcW w:w="1120" w:type="dxa"/>
            <w:vAlign w:val="bottom"/>
            <w:gridSpan w:val="5"/>
            <w:vMerge w:val="continue"/>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vMerge w:val="restart"/>
          </w:tcPr>
          <w:p>
            <w:pPr>
              <w:jc w:val="center"/>
              <w:ind w:right="80"/>
              <w:spacing w:after="0" w:line="89" w:lineRule="exact"/>
              <w:rPr>
                <w:sz w:val="20"/>
                <w:szCs w:val="20"/>
                <w:color w:val="auto"/>
              </w:rPr>
            </w:pPr>
            <w:r>
              <w:rPr>
                <w:rFonts w:ascii="Arial" w:cs="Arial" w:eastAsia="Arial" w:hAnsi="Arial"/>
                <w:sz w:val="10"/>
                <w:szCs w:val="10"/>
                <w:b w:val="1"/>
                <w:bCs w:val="1"/>
                <w:color w:val="auto"/>
                <w:w w:val="95"/>
              </w:rPr>
              <w:t>Paid-in</w:t>
            </w:r>
          </w:p>
        </w:tc>
        <w:tc>
          <w:tcPr>
            <w:tcW w:w="720" w:type="dxa"/>
            <w:vAlign w:val="bottom"/>
            <w:gridSpan w:val="2"/>
            <w:vMerge w:val="restart"/>
          </w:tcPr>
          <w:p>
            <w:pPr>
              <w:jc w:val="center"/>
              <w:ind w:right="80"/>
              <w:spacing w:after="0" w:line="89" w:lineRule="exact"/>
              <w:rPr>
                <w:sz w:val="20"/>
                <w:szCs w:val="20"/>
                <w:color w:val="auto"/>
              </w:rPr>
            </w:pPr>
            <w:r>
              <w:rPr>
                <w:rFonts w:ascii="Arial" w:cs="Arial" w:eastAsia="Arial" w:hAnsi="Arial"/>
                <w:sz w:val="10"/>
                <w:szCs w:val="10"/>
                <w:b w:val="1"/>
                <w:bCs w:val="1"/>
                <w:color w:val="auto"/>
                <w:w w:val="95"/>
              </w:rPr>
              <w:t>Accumulated</w:t>
            </w:r>
          </w:p>
        </w:tc>
        <w:tc>
          <w:tcPr>
            <w:tcW w:w="860" w:type="dxa"/>
            <w:vAlign w:val="bottom"/>
            <w:gridSpan w:val="3"/>
            <w:vMerge w:val="restart"/>
          </w:tcPr>
          <w:p>
            <w:pPr>
              <w:jc w:val="center"/>
              <w:ind w:right="60"/>
              <w:spacing w:after="0" w:line="89" w:lineRule="exact"/>
              <w:rPr>
                <w:sz w:val="20"/>
                <w:szCs w:val="20"/>
                <w:color w:val="auto"/>
              </w:rPr>
            </w:pPr>
            <w:r>
              <w:rPr>
                <w:rFonts w:ascii="Arial" w:cs="Arial" w:eastAsia="Arial" w:hAnsi="Arial"/>
                <w:sz w:val="10"/>
                <w:szCs w:val="10"/>
                <w:b w:val="1"/>
                <w:bCs w:val="1"/>
                <w:color w:val="auto"/>
                <w:w w:val="95"/>
              </w:rPr>
              <w:t>Comprehensive</w:t>
            </w:r>
          </w:p>
        </w:tc>
        <w:tc>
          <w:tcPr>
            <w:tcW w:w="120" w:type="dxa"/>
            <w:vAlign w:val="bottom"/>
          </w:tcPr>
          <w:p>
            <w:pPr>
              <w:spacing w:after="0"/>
              <w:rPr>
                <w:sz w:val="6"/>
                <w:szCs w:val="6"/>
                <w:color w:val="auto"/>
              </w:rPr>
            </w:pPr>
          </w:p>
        </w:tc>
        <w:tc>
          <w:tcPr>
            <w:tcW w:w="580" w:type="dxa"/>
            <w:vAlign w:val="bottom"/>
            <w:vMerge w:val="restart"/>
          </w:tcPr>
          <w:p>
            <w:pPr>
              <w:jc w:val="center"/>
              <w:ind w:right="66"/>
              <w:spacing w:after="0" w:line="89" w:lineRule="exact"/>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58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50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58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54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56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w w:val="96"/>
              </w:rPr>
              <w:t>Amount</w:t>
            </w:r>
          </w:p>
        </w:tc>
        <w:tc>
          <w:tcPr>
            <w:tcW w:w="58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56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w w:val="96"/>
              </w:rPr>
              <w:t>Amount</w:t>
            </w:r>
          </w:p>
        </w:tc>
        <w:tc>
          <w:tcPr>
            <w:tcW w:w="62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620" w:type="dxa"/>
            <w:vAlign w:val="bottom"/>
            <w:tcBorders>
              <w:right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2"/>
                <w:szCs w:val="12"/>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52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8"/>
              </w:rPr>
              <w:t>Capital</w:t>
            </w:r>
          </w:p>
        </w:tc>
        <w:tc>
          <w:tcPr>
            <w:tcW w:w="7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5"/>
              </w:rPr>
              <w:t>Deficit</w:t>
            </w:r>
          </w:p>
        </w:tc>
        <w:tc>
          <w:tcPr>
            <w:tcW w:w="8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8"/>
              </w:rPr>
              <w:t>Income (Loss)</w:t>
            </w:r>
          </w:p>
        </w:tc>
        <w:tc>
          <w:tcPr>
            <w:tcW w:w="120" w:type="dxa"/>
            <w:vAlign w:val="bottom"/>
          </w:tcPr>
          <w:p>
            <w:pPr>
              <w:spacing w:after="0"/>
              <w:rPr>
                <w:sz w:val="12"/>
                <w:szCs w:val="12"/>
                <w:color w:val="auto"/>
              </w:rPr>
            </w:pPr>
          </w:p>
        </w:tc>
        <w:tc>
          <w:tcPr>
            <w:tcW w:w="580" w:type="dxa"/>
            <w:vAlign w:val="bottom"/>
          </w:tcPr>
          <w:p>
            <w:pPr>
              <w:jc w:val="center"/>
              <w:ind w:right="66"/>
              <w:spacing w:after="0"/>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22"/>
        </w:trPr>
        <w:tc>
          <w:tcPr>
            <w:tcW w:w="13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1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5"/>
              </w:rPr>
              <w:t>BALANCE-March 31, 2021</w:t>
            </w:r>
          </w:p>
        </w:tc>
        <w:tc>
          <w:tcPr>
            <w:tcW w:w="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72"/>
              </w:rPr>
              <w:t>—</w:t>
            </w: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88"/>
              </w:rPr>
              <w:t>585,691,729</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81"/>
              </w:rPr>
              <w:t>58</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3,697,382</w:t>
            </w: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(1,313,885)</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2,383,561</w:t>
            </w:r>
          </w:p>
        </w:tc>
        <w:tc>
          <w:tcPr>
            <w:tcW w:w="0" w:type="dxa"/>
            <w:vAlign w:val="bottom"/>
          </w:tcPr>
          <w:p>
            <w:pPr>
              <w:spacing w:after="0"/>
              <w:rPr>
                <w:sz w:val="1"/>
                <w:szCs w:val="1"/>
                <w:color w:val="auto"/>
              </w:rPr>
            </w:pPr>
          </w:p>
        </w:tc>
      </w:tr>
      <w:tr>
        <w:trPr>
          <w:trHeight w:val="139"/>
        </w:trPr>
        <w:tc>
          <w:tcPr>
            <w:tcW w:w="1300" w:type="dxa"/>
            <w:vAlign w:val="bottom"/>
          </w:tcPr>
          <w:p>
            <w:pPr>
              <w:ind w:left="20"/>
              <w:spacing w:after="0"/>
              <w:rPr>
                <w:sz w:val="20"/>
                <w:szCs w:val="20"/>
                <w:color w:val="auto"/>
              </w:rPr>
            </w:pPr>
            <w:r>
              <w:rPr>
                <w:rFonts w:ascii="Arial" w:cs="Arial" w:eastAsia="Arial" w:hAnsi="Arial"/>
                <w:sz w:val="11"/>
                <w:szCs w:val="11"/>
                <w:color w:val="auto"/>
                <w:w w:val="88"/>
              </w:rPr>
              <w:t>Issuance of common stock in</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300" w:type="dxa"/>
            <w:vAlign w:val="bottom"/>
          </w:tcPr>
          <w:p>
            <w:pPr>
              <w:ind w:left="180"/>
              <w:spacing w:after="0" w:line="122" w:lineRule="exact"/>
              <w:rPr>
                <w:sz w:val="20"/>
                <w:szCs w:val="20"/>
                <w:color w:val="auto"/>
              </w:rPr>
            </w:pPr>
            <w:r>
              <w:rPr>
                <w:rFonts w:ascii="Arial" w:cs="Arial" w:eastAsia="Arial" w:hAnsi="Arial"/>
                <w:sz w:val="11"/>
                <w:szCs w:val="11"/>
                <w:color w:val="auto"/>
              </w:rPr>
              <w:t>connection with the</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300" w:type="dxa"/>
            <w:vAlign w:val="bottom"/>
          </w:tcPr>
          <w:p>
            <w:pPr>
              <w:ind w:left="180"/>
              <w:spacing w:after="0"/>
              <w:rPr>
                <w:sz w:val="20"/>
                <w:szCs w:val="20"/>
                <w:color w:val="auto"/>
              </w:rPr>
            </w:pPr>
            <w:r>
              <w:rPr>
                <w:rFonts w:ascii="Arial" w:cs="Arial" w:eastAsia="Arial" w:hAnsi="Arial"/>
                <w:sz w:val="11"/>
                <w:szCs w:val="11"/>
                <w:color w:val="auto"/>
                <w:w w:val="96"/>
              </w:rPr>
              <w:t>February 2021 Offering</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8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28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5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1"/>
                <w:szCs w:val="11"/>
                <w:color w:val="auto"/>
                <w:w w:val="72"/>
              </w:rPr>
              <w:t>—</w:t>
            </w: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28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(28)</w:t>
            </w:r>
          </w:p>
        </w:tc>
        <w:tc>
          <w:tcPr>
            <w:tcW w:w="80" w:type="dxa"/>
            <w:vAlign w:val="bottom"/>
          </w:tcPr>
          <w:p>
            <w:pPr>
              <w:spacing w:after="0"/>
              <w:rPr>
                <w:sz w:val="11"/>
                <w:szCs w:val="11"/>
                <w:color w:val="auto"/>
              </w:rPr>
            </w:pPr>
          </w:p>
        </w:tc>
        <w:tc>
          <w:tcPr>
            <w:tcW w:w="72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Vesting of restricted stock</w:t>
            </w:r>
          </w:p>
        </w:tc>
        <w:tc>
          <w:tcPr>
            <w:tcW w:w="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72"/>
              </w:rPr>
              <w:t>—</w:t>
            </w: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329,042</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w:t>
            </w: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39"/>
        </w:trPr>
        <w:tc>
          <w:tcPr>
            <w:tcW w:w="1300" w:type="dxa"/>
            <w:vAlign w:val="bottom"/>
          </w:tcPr>
          <w:p>
            <w:pPr>
              <w:ind w:left="20"/>
              <w:spacing w:after="0"/>
              <w:rPr>
                <w:sz w:val="20"/>
                <w:szCs w:val="20"/>
                <w:color w:val="auto"/>
              </w:rPr>
            </w:pPr>
            <w:r>
              <w:rPr>
                <w:rFonts w:ascii="Arial" w:cs="Arial" w:eastAsia="Arial" w:hAnsi="Arial"/>
                <w:sz w:val="11"/>
                <w:szCs w:val="11"/>
                <w:color w:val="auto"/>
              </w:rPr>
              <w:t>Vesting of restricted stock</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300" w:type="dxa"/>
            <w:vAlign w:val="bottom"/>
          </w:tcPr>
          <w:p>
            <w:pPr>
              <w:ind w:left="180"/>
              <w:spacing w:after="0"/>
              <w:rPr>
                <w:sz w:val="20"/>
                <w:szCs w:val="20"/>
                <w:color w:val="auto"/>
              </w:rPr>
            </w:pPr>
            <w:r>
              <w:rPr>
                <w:rFonts w:ascii="Arial" w:cs="Arial" w:eastAsia="Arial" w:hAnsi="Arial"/>
                <w:sz w:val="11"/>
                <w:szCs w:val="11"/>
                <w:color w:val="auto"/>
              </w:rPr>
              <w:t>units</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8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28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5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1"/>
                <w:szCs w:val="11"/>
                <w:color w:val="auto"/>
                <w:w w:val="72"/>
              </w:rPr>
              <w:t>—</w:t>
            </w: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28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3,163,113</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3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2"/>
              </w:rPr>
              <w:t>Common stock issued upon</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exercise of warrants</w:t>
            </w:r>
          </w:p>
        </w:tc>
        <w:tc>
          <w:tcPr>
            <w:tcW w:w="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72"/>
              </w:rPr>
              <w:t>—</w:t>
            </w: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504,477</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5,801</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5,801</w:t>
            </w:r>
          </w:p>
        </w:tc>
        <w:tc>
          <w:tcPr>
            <w:tcW w:w="0" w:type="dxa"/>
            <w:vAlign w:val="bottom"/>
          </w:tcPr>
          <w:p>
            <w:pPr>
              <w:spacing w:after="0"/>
              <w:rPr>
                <w:sz w:val="1"/>
                <w:szCs w:val="1"/>
                <w:color w:val="auto"/>
              </w:rPr>
            </w:pPr>
          </w:p>
        </w:tc>
      </w:tr>
      <w:tr>
        <w:trPr>
          <w:trHeight w:val="153"/>
        </w:trPr>
        <w:tc>
          <w:tcPr>
            <w:tcW w:w="1300" w:type="dxa"/>
            <w:vAlign w:val="bottom"/>
          </w:tcPr>
          <w:p>
            <w:pPr>
              <w:ind w:left="20"/>
              <w:spacing w:after="0"/>
              <w:rPr>
                <w:sz w:val="20"/>
                <w:szCs w:val="20"/>
                <w:color w:val="auto"/>
              </w:rPr>
            </w:pPr>
            <w:r>
              <w:rPr>
                <w:rFonts w:ascii="Arial" w:cs="Arial" w:eastAsia="Arial" w:hAnsi="Arial"/>
                <w:sz w:val="11"/>
                <w:szCs w:val="11"/>
                <w:color w:val="auto"/>
              </w:rPr>
              <w:t>Exercise of stock options</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8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28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5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1"/>
                <w:szCs w:val="11"/>
                <w:color w:val="auto"/>
                <w:w w:val="72"/>
              </w:rPr>
              <w:t>—</w:t>
            </w: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28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4,150,558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6,470</w:t>
            </w:r>
          </w:p>
        </w:tc>
        <w:tc>
          <w:tcPr>
            <w:tcW w:w="80" w:type="dxa"/>
            <w:vAlign w:val="bottom"/>
          </w:tcPr>
          <w:p>
            <w:pPr>
              <w:spacing w:after="0"/>
              <w:rPr>
                <w:sz w:val="13"/>
                <w:szCs w:val="13"/>
                <w:color w:val="auto"/>
              </w:rPr>
            </w:pPr>
          </w:p>
        </w:tc>
        <w:tc>
          <w:tcPr>
            <w:tcW w:w="72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6,471</w:t>
            </w: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4"/>
              </w:rPr>
              <w:t>Stock-based compensation</w:t>
            </w:r>
          </w:p>
        </w:tc>
        <w:tc>
          <w:tcPr>
            <w:tcW w:w="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72"/>
              </w:rPr>
              <w:t>—</w:t>
            </w: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165,898</w:t>
            </w: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165,898</w:t>
            </w:r>
          </w:p>
        </w:tc>
        <w:tc>
          <w:tcPr>
            <w:tcW w:w="0" w:type="dxa"/>
            <w:vAlign w:val="bottom"/>
          </w:tcPr>
          <w:p>
            <w:pPr>
              <w:spacing w:after="0"/>
              <w:rPr>
                <w:sz w:val="1"/>
                <w:szCs w:val="1"/>
                <w:color w:val="auto"/>
              </w:rPr>
            </w:pPr>
          </w:p>
        </w:tc>
      </w:tr>
      <w:tr>
        <w:trPr>
          <w:trHeight w:val="153"/>
        </w:trPr>
        <w:tc>
          <w:tcPr>
            <w:tcW w:w="1300" w:type="dxa"/>
            <w:vAlign w:val="bottom"/>
          </w:tcPr>
          <w:p>
            <w:pPr>
              <w:ind w:left="20"/>
              <w:spacing w:after="0"/>
              <w:rPr>
                <w:sz w:val="20"/>
                <w:szCs w:val="20"/>
                <w:color w:val="auto"/>
              </w:rPr>
            </w:pPr>
            <w:r>
              <w:rPr>
                <w:rFonts w:ascii="Arial" w:cs="Arial" w:eastAsia="Arial" w:hAnsi="Arial"/>
                <w:sz w:val="11"/>
                <w:szCs w:val="11"/>
                <w:color w:val="auto"/>
                <w:w w:val="98"/>
              </w:rPr>
              <w:t>Other comprehensive loss</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8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28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5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1"/>
                <w:szCs w:val="11"/>
                <w:color w:val="auto"/>
                <w:w w:val="72"/>
              </w:rPr>
              <w:t>—</w:t>
            </w: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28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72"/>
              </w:rPr>
              <w:t>—</w:t>
            </w: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(143,805)</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(143,805)</w:t>
            </w:r>
          </w:p>
        </w:tc>
        <w:tc>
          <w:tcPr>
            <w:tcW w:w="0" w:type="dxa"/>
            <w:vAlign w:val="bottom"/>
          </w:tcPr>
          <w:p>
            <w:pPr>
              <w:spacing w:after="0"/>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1"/>
                <w:szCs w:val="11"/>
                <w:color w:val="auto"/>
                <w:w w:val="99"/>
              </w:rPr>
              <w:t>BALANCE–June 30, 2021</w:t>
            </w:r>
          </w:p>
        </w:tc>
        <w:tc>
          <w:tcPr>
            <w:tcW w:w="4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1"/>
                <w:szCs w:val="11"/>
                <w:color w:val="auto"/>
              </w:rPr>
              <w:t>$</w:t>
            </w: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2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72"/>
              </w:rPr>
              <w:t>—</w:t>
            </w: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88"/>
              </w:rPr>
              <w:t>593,838,919</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81"/>
              </w:rPr>
              <w:t>59</w:t>
            </w:r>
          </w:p>
        </w:tc>
        <w:tc>
          <w:tcPr>
            <w:tcW w:w="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89"/>
              </w:rPr>
              <w:t>$ 3,875,552</w:t>
            </w:r>
          </w:p>
        </w:tc>
        <w:tc>
          <w:tcPr>
            <w:tcW w:w="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1"/>
              </w:rPr>
              <w:t>$ (1,457,690)</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2,417,921</w:t>
            </w:r>
          </w:p>
        </w:tc>
        <w:tc>
          <w:tcPr>
            <w:tcW w:w="0" w:type="dxa"/>
            <w:vAlign w:val="bottom"/>
          </w:tcPr>
          <w:p>
            <w:pPr>
              <w:spacing w:after="0"/>
              <w:rPr>
                <w:sz w:val="1"/>
                <w:szCs w:val="1"/>
                <w:color w:val="auto"/>
              </w:rPr>
            </w:pPr>
          </w:p>
        </w:tc>
      </w:tr>
      <w:tr>
        <w:trPr>
          <w:trHeight w:val="129"/>
        </w:trPr>
        <w:tc>
          <w:tcPr>
            <w:tcW w:w="1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5"/>
          </w:tcPr>
          <w:p>
            <w:pPr>
              <w:ind w:left="160"/>
              <w:spacing w:after="0"/>
              <w:rPr>
                <w:sz w:val="20"/>
                <w:szCs w:val="20"/>
                <w:color w:val="auto"/>
              </w:rPr>
            </w:pPr>
            <w:r>
              <w:rPr>
                <w:rFonts w:ascii="Arial" w:cs="Arial" w:eastAsia="Arial" w:hAnsi="Arial"/>
                <w:sz w:val="11"/>
                <w:szCs w:val="11"/>
                <w:b w:val="1"/>
                <w:bCs w:val="1"/>
                <w:color w:val="auto"/>
              </w:rPr>
              <w:t>Temporary Equity</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gridSpan w:val="7"/>
          </w:tcPr>
          <w:p>
            <w:pPr>
              <w:ind w:left="180"/>
              <w:spacing w:after="0"/>
              <w:rPr>
                <w:sz w:val="20"/>
                <w:szCs w:val="20"/>
                <w:color w:val="auto"/>
              </w:rPr>
            </w:pPr>
            <w:r>
              <w:rPr>
                <w:rFonts w:ascii="Arial" w:cs="Arial" w:eastAsia="Arial" w:hAnsi="Arial"/>
                <w:sz w:val="11"/>
                <w:szCs w:val="11"/>
                <w:b w:val="1"/>
                <w:bCs w:val="1"/>
                <w:color w:val="auto"/>
              </w:rPr>
              <w:t>Shareholders’ Equity (Deficit)</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800" w:type="dxa"/>
            <w:vAlign w:val="bottom"/>
            <w:gridSpan w:val="3"/>
          </w:tcPr>
          <w:p>
            <w:pPr>
              <w:ind w:left="320"/>
              <w:spacing w:after="0"/>
              <w:rPr>
                <w:sz w:val="20"/>
                <w:szCs w:val="20"/>
                <w:color w:val="auto"/>
              </w:rPr>
            </w:pPr>
            <w:r>
              <w:rPr>
                <w:rFonts w:ascii="Arial" w:cs="Arial" w:eastAsia="Arial" w:hAnsi="Arial"/>
                <w:sz w:val="11"/>
                <w:szCs w:val="11"/>
                <w:b w:val="1"/>
                <w:bCs w:val="1"/>
                <w:color w:val="auto"/>
              </w:rPr>
              <w:t>Series A</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ind w:left="340"/>
              <w:spacing w:after="0"/>
              <w:rPr>
                <w:sz w:val="20"/>
                <w:szCs w:val="20"/>
                <w:color w:val="auto"/>
              </w:rPr>
            </w:pPr>
            <w:r>
              <w:rPr>
                <w:rFonts w:ascii="Arial" w:cs="Arial" w:eastAsia="Arial" w:hAnsi="Arial"/>
                <w:sz w:val="11"/>
                <w:szCs w:val="11"/>
                <w:b w:val="1"/>
                <w:bCs w:val="1"/>
                <w:color w:val="auto"/>
              </w:rPr>
              <w:t>Series B</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ind w:left="320"/>
              <w:spacing w:after="0"/>
              <w:rPr>
                <w:sz w:val="20"/>
                <w:szCs w:val="20"/>
                <w:color w:val="auto"/>
              </w:rPr>
            </w:pPr>
            <w:r>
              <w:rPr>
                <w:rFonts w:ascii="Arial" w:cs="Arial" w:eastAsia="Arial" w:hAnsi="Arial"/>
                <w:sz w:val="11"/>
                <w:szCs w:val="11"/>
                <w:b w:val="1"/>
                <w:bCs w:val="1"/>
                <w:color w:val="auto"/>
              </w:rPr>
              <w:t>Series C</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ind w:left="340"/>
              <w:spacing w:after="0"/>
              <w:rPr>
                <w:sz w:val="20"/>
                <w:szCs w:val="20"/>
                <w:color w:val="auto"/>
              </w:rPr>
            </w:pPr>
            <w:r>
              <w:rPr>
                <w:rFonts w:ascii="Arial" w:cs="Arial" w:eastAsia="Arial" w:hAnsi="Arial"/>
                <w:sz w:val="11"/>
                <w:szCs w:val="11"/>
                <w:b w:val="1"/>
                <w:bCs w:val="1"/>
                <w:color w:val="auto"/>
              </w:rPr>
              <w:t>Series 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ind w:left="380"/>
              <w:spacing w:after="0"/>
              <w:rPr>
                <w:sz w:val="20"/>
                <w:szCs w:val="20"/>
                <w:color w:val="auto"/>
              </w:rPr>
            </w:pPr>
            <w:r>
              <w:rPr>
                <w:rFonts w:ascii="Arial" w:cs="Arial" w:eastAsia="Arial" w:hAnsi="Arial"/>
                <w:sz w:val="11"/>
                <w:szCs w:val="11"/>
                <w:b w:val="1"/>
                <w:bCs w:val="1"/>
                <w:color w:val="auto"/>
              </w:rPr>
              <w:t>Series E</w:t>
            </w:r>
          </w:p>
        </w:tc>
        <w:tc>
          <w:tcPr>
            <w:tcW w:w="1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11"/>
                <w:szCs w:val="11"/>
                <w:color w:val="auto"/>
              </w:rPr>
            </w:pPr>
          </w:p>
        </w:tc>
        <w:tc>
          <w:tcPr>
            <w:tcW w:w="58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00" w:type="dxa"/>
            <w:vAlign w:val="bottom"/>
            <w:gridSpan w:val="3"/>
            <w:vMerge w:val="restart"/>
          </w:tcPr>
          <w:p>
            <w:pPr>
              <w:jc w:val="center"/>
              <w:ind w:left="166"/>
              <w:spacing w:after="0" w:line="122" w:lineRule="exact"/>
              <w:rPr>
                <w:sz w:val="20"/>
                <w:szCs w:val="20"/>
                <w:color w:val="auto"/>
              </w:rPr>
            </w:pPr>
            <w:r>
              <w:rPr>
                <w:rFonts w:ascii="Arial" w:cs="Arial" w:eastAsia="Arial" w:hAnsi="Arial"/>
                <w:sz w:val="11"/>
                <w:szCs w:val="11"/>
                <w:b w:val="1"/>
                <w:bCs w:val="1"/>
                <w:color w:val="auto"/>
                <w:w w:val="89"/>
              </w:rPr>
              <w:t>Convertible</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3"/>
            <w:vMerge w:val="restart"/>
          </w:tcPr>
          <w:p>
            <w:pPr>
              <w:jc w:val="center"/>
              <w:ind w:left="166"/>
              <w:spacing w:after="0" w:line="122" w:lineRule="exact"/>
              <w:rPr>
                <w:sz w:val="20"/>
                <w:szCs w:val="20"/>
                <w:color w:val="auto"/>
              </w:rPr>
            </w:pPr>
            <w:r>
              <w:rPr>
                <w:rFonts w:ascii="Arial" w:cs="Arial" w:eastAsia="Arial" w:hAnsi="Arial"/>
                <w:sz w:val="11"/>
                <w:szCs w:val="11"/>
                <w:b w:val="1"/>
                <w:bCs w:val="1"/>
                <w:color w:val="auto"/>
                <w:w w:val="89"/>
              </w:rPr>
              <w:t>Convertible</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3"/>
            <w:vMerge w:val="restart"/>
          </w:tcPr>
          <w:p>
            <w:pPr>
              <w:ind w:left="24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3"/>
            <w:vMerge w:val="restart"/>
          </w:tcPr>
          <w:p>
            <w:pPr>
              <w:jc w:val="center"/>
              <w:ind w:left="106"/>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3"/>
            <w:vMerge w:val="restart"/>
          </w:tcPr>
          <w:p>
            <w:pPr>
              <w:jc w:val="center"/>
              <w:ind w:left="126"/>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8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vMerge w:val="restart"/>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Additional</w:t>
            </w: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restart"/>
          </w:tcPr>
          <w:p>
            <w:pPr>
              <w:jc w:val="center"/>
              <w:ind w:right="140"/>
              <w:spacing w:after="0" w:line="122" w:lineRule="exact"/>
              <w:rPr>
                <w:sz w:val="20"/>
                <w:szCs w:val="20"/>
                <w:color w:val="auto"/>
              </w:rPr>
            </w:pPr>
            <w:r>
              <w:rPr>
                <w:rFonts w:ascii="Arial" w:cs="Arial" w:eastAsia="Arial" w:hAnsi="Arial"/>
                <w:sz w:val="11"/>
                <w:szCs w:val="11"/>
                <w:b w:val="1"/>
                <w:bCs w:val="1"/>
                <w:color w:val="auto"/>
                <w:w w:val="95"/>
              </w:rPr>
              <w:t>Other</w:t>
            </w:r>
          </w:p>
        </w:tc>
        <w:tc>
          <w:tcPr>
            <w:tcW w:w="700" w:type="dxa"/>
            <w:vAlign w:val="bottom"/>
            <w:gridSpan w:val="2"/>
            <w:vMerge w:val="restart"/>
          </w:tcPr>
          <w:p>
            <w:pPr>
              <w:jc w:val="center"/>
              <w:spacing w:after="0" w:line="122" w:lineRule="exact"/>
              <w:rPr>
                <w:sz w:val="20"/>
                <w:szCs w:val="20"/>
                <w:color w:val="auto"/>
              </w:rPr>
            </w:pPr>
            <w:r>
              <w:rPr>
                <w:rFonts w:ascii="Arial" w:cs="Arial" w:eastAsia="Arial" w:hAnsi="Arial"/>
                <w:sz w:val="11"/>
                <w:szCs w:val="11"/>
                <w:b w:val="1"/>
                <w:bCs w:val="1"/>
                <w:color w:val="auto"/>
                <w:w w:val="89"/>
              </w:rPr>
              <w:t>Shareholders’</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1080" w:type="dxa"/>
            <w:vAlign w:val="bottom"/>
            <w:gridSpan w:val="5"/>
            <w:vMerge w:val="restart"/>
          </w:tcPr>
          <w:p>
            <w:pPr>
              <w:jc w:val="center"/>
              <w:ind w:right="80"/>
              <w:spacing w:after="0"/>
              <w:rPr>
                <w:sz w:val="20"/>
                <w:szCs w:val="20"/>
                <w:color w:val="auto"/>
              </w:rPr>
            </w:pPr>
            <w:r>
              <w:rPr>
                <w:rFonts w:ascii="Arial" w:cs="Arial" w:eastAsia="Arial" w:hAnsi="Arial"/>
                <w:sz w:val="11"/>
                <w:szCs w:val="11"/>
                <w:b w:val="1"/>
                <w:bCs w:val="1"/>
                <w:color w:val="auto"/>
                <w:w w:val="87"/>
              </w:rPr>
              <w:t>Preferred Stock</w:t>
            </w:r>
          </w:p>
        </w:tc>
        <w:tc>
          <w:tcPr>
            <w:tcW w:w="1120" w:type="dxa"/>
            <w:vAlign w:val="bottom"/>
            <w:gridSpan w:val="5"/>
            <w:vMerge w:val="restart"/>
          </w:tcPr>
          <w:p>
            <w:pPr>
              <w:jc w:val="center"/>
              <w:ind w:right="80"/>
              <w:spacing w:after="0"/>
              <w:rPr>
                <w:sz w:val="20"/>
                <w:szCs w:val="20"/>
                <w:color w:val="auto"/>
              </w:rPr>
            </w:pPr>
            <w:r>
              <w:rPr>
                <w:rFonts w:ascii="Arial" w:cs="Arial" w:eastAsia="Arial" w:hAnsi="Arial"/>
                <w:sz w:val="11"/>
                <w:szCs w:val="11"/>
                <w:b w:val="1"/>
                <w:bCs w:val="1"/>
                <w:color w:val="auto"/>
                <w:w w:val="87"/>
              </w:rPr>
              <w:t>Preferred Stock</w:t>
            </w:r>
          </w:p>
        </w:tc>
        <w:tc>
          <w:tcPr>
            <w:tcW w:w="1120" w:type="dxa"/>
            <w:vAlign w:val="bottom"/>
            <w:gridSpan w:val="5"/>
            <w:vMerge w:val="restart"/>
          </w:tcPr>
          <w:p>
            <w:pPr>
              <w:ind w:left="160"/>
              <w:spacing w:after="0"/>
              <w:rPr>
                <w:sz w:val="20"/>
                <w:szCs w:val="20"/>
                <w:color w:val="auto"/>
              </w:rPr>
            </w:pPr>
            <w:r>
              <w:rPr>
                <w:rFonts w:ascii="Arial" w:cs="Arial" w:eastAsia="Arial" w:hAnsi="Arial"/>
                <w:sz w:val="11"/>
                <w:szCs w:val="11"/>
                <w:b w:val="1"/>
                <w:bCs w:val="1"/>
                <w:color w:val="auto"/>
              </w:rPr>
              <w:t>Preferred Stock</w:t>
            </w:r>
          </w:p>
        </w:tc>
        <w:tc>
          <w:tcPr>
            <w:tcW w:w="900" w:type="dxa"/>
            <w:vAlign w:val="bottom"/>
            <w:gridSpan w:val="3"/>
            <w:vMerge w:val="restart"/>
          </w:tcPr>
          <w:p>
            <w:pPr>
              <w:jc w:val="center"/>
              <w:ind w:left="106"/>
              <w:spacing w:after="0"/>
              <w:rPr>
                <w:sz w:val="20"/>
                <w:szCs w:val="20"/>
                <w:color w:val="auto"/>
              </w:rPr>
            </w:pPr>
            <w:r>
              <w:rPr>
                <w:rFonts w:ascii="Arial" w:cs="Arial" w:eastAsia="Arial" w:hAnsi="Arial"/>
                <w:sz w:val="11"/>
                <w:szCs w:val="11"/>
                <w:b w:val="1"/>
                <w:bCs w:val="1"/>
                <w:color w:val="auto"/>
                <w:w w:val="90"/>
              </w:rPr>
              <w:t>Preferred Stock</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3"/>
            <w:vMerge w:val="restart"/>
          </w:tcPr>
          <w:p>
            <w:pPr>
              <w:jc w:val="center"/>
              <w:ind w:left="126"/>
              <w:spacing w:after="0"/>
              <w:rPr>
                <w:sz w:val="20"/>
                <w:szCs w:val="20"/>
                <w:color w:val="auto"/>
              </w:rPr>
            </w:pPr>
            <w:r>
              <w:rPr>
                <w:rFonts w:ascii="Arial" w:cs="Arial" w:eastAsia="Arial" w:hAnsi="Arial"/>
                <w:sz w:val="11"/>
                <w:szCs w:val="11"/>
                <w:b w:val="1"/>
                <w:bCs w:val="1"/>
                <w:color w:val="auto"/>
                <w:w w:val="90"/>
              </w:rPr>
              <w:t>Preferred Stock</w:t>
            </w:r>
          </w:p>
        </w:tc>
        <w:tc>
          <w:tcPr>
            <w:tcW w:w="18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gridSpan w:val="3"/>
            <w:vMerge w:val="restart"/>
          </w:tcPr>
          <w:p>
            <w:pPr>
              <w:ind w:left="220"/>
              <w:spacing w:after="0"/>
              <w:rPr>
                <w:sz w:val="20"/>
                <w:szCs w:val="20"/>
                <w:color w:val="auto"/>
              </w:rPr>
            </w:pPr>
            <w:r>
              <w:rPr>
                <w:rFonts w:ascii="Arial" w:cs="Arial" w:eastAsia="Arial" w:hAnsi="Arial"/>
                <w:sz w:val="11"/>
                <w:szCs w:val="11"/>
                <w:b w:val="1"/>
                <w:bCs w:val="1"/>
                <w:color w:val="auto"/>
                <w:w w:val="89"/>
              </w:rPr>
              <w:t>Common Stock</w:t>
            </w: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1300" w:type="dxa"/>
            <w:vAlign w:val="bottom"/>
          </w:tcPr>
          <w:p>
            <w:pPr>
              <w:spacing w:after="0"/>
              <w:rPr>
                <w:sz w:val="6"/>
                <w:szCs w:val="6"/>
                <w:color w:val="auto"/>
              </w:rPr>
            </w:pPr>
          </w:p>
        </w:tc>
        <w:tc>
          <w:tcPr>
            <w:tcW w:w="1080" w:type="dxa"/>
            <w:vAlign w:val="bottom"/>
            <w:gridSpan w:val="5"/>
            <w:vMerge w:val="continue"/>
          </w:tcPr>
          <w:p>
            <w:pPr>
              <w:spacing w:after="0"/>
              <w:rPr>
                <w:sz w:val="6"/>
                <w:szCs w:val="6"/>
                <w:color w:val="auto"/>
              </w:rPr>
            </w:pPr>
          </w:p>
        </w:tc>
        <w:tc>
          <w:tcPr>
            <w:tcW w:w="1120" w:type="dxa"/>
            <w:vAlign w:val="bottom"/>
            <w:gridSpan w:val="5"/>
            <w:vMerge w:val="continue"/>
          </w:tcPr>
          <w:p>
            <w:pPr>
              <w:spacing w:after="0"/>
              <w:rPr>
                <w:sz w:val="6"/>
                <w:szCs w:val="6"/>
                <w:color w:val="auto"/>
              </w:rPr>
            </w:pPr>
          </w:p>
        </w:tc>
        <w:tc>
          <w:tcPr>
            <w:tcW w:w="1120" w:type="dxa"/>
            <w:vAlign w:val="bottom"/>
            <w:gridSpan w:val="5"/>
            <w:vMerge w:val="continue"/>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vMerge w:val="restart"/>
          </w:tcPr>
          <w:p>
            <w:pPr>
              <w:jc w:val="center"/>
              <w:ind w:right="80"/>
              <w:spacing w:after="0" w:line="89" w:lineRule="exact"/>
              <w:rPr>
                <w:sz w:val="20"/>
                <w:szCs w:val="20"/>
                <w:color w:val="auto"/>
              </w:rPr>
            </w:pPr>
            <w:r>
              <w:rPr>
                <w:rFonts w:ascii="Arial" w:cs="Arial" w:eastAsia="Arial" w:hAnsi="Arial"/>
                <w:sz w:val="10"/>
                <w:szCs w:val="10"/>
                <w:b w:val="1"/>
                <w:bCs w:val="1"/>
                <w:color w:val="auto"/>
                <w:w w:val="95"/>
              </w:rPr>
              <w:t>Paid-in</w:t>
            </w:r>
          </w:p>
        </w:tc>
        <w:tc>
          <w:tcPr>
            <w:tcW w:w="720" w:type="dxa"/>
            <w:vAlign w:val="bottom"/>
            <w:gridSpan w:val="2"/>
            <w:vMerge w:val="restart"/>
          </w:tcPr>
          <w:p>
            <w:pPr>
              <w:jc w:val="center"/>
              <w:ind w:right="80"/>
              <w:spacing w:after="0" w:line="89" w:lineRule="exact"/>
              <w:rPr>
                <w:sz w:val="20"/>
                <w:szCs w:val="20"/>
                <w:color w:val="auto"/>
              </w:rPr>
            </w:pPr>
            <w:r>
              <w:rPr>
                <w:rFonts w:ascii="Arial" w:cs="Arial" w:eastAsia="Arial" w:hAnsi="Arial"/>
                <w:sz w:val="10"/>
                <w:szCs w:val="10"/>
                <w:b w:val="1"/>
                <w:bCs w:val="1"/>
                <w:color w:val="auto"/>
                <w:w w:val="95"/>
              </w:rPr>
              <w:t>Accumulated</w:t>
            </w:r>
          </w:p>
        </w:tc>
        <w:tc>
          <w:tcPr>
            <w:tcW w:w="860" w:type="dxa"/>
            <w:vAlign w:val="bottom"/>
            <w:gridSpan w:val="3"/>
            <w:vMerge w:val="restart"/>
          </w:tcPr>
          <w:p>
            <w:pPr>
              <w:jc w:val="center"/>
              <w:ind w:right="60"/>
              <w:spacing w:after="0" w:line="89" w:lineRule="exact"/>
              <w:rPr>
                <w:sz w:val="20"/>
                <w:szCs w:val="20"/>
                <w:color w:val="auto"/>
              </w:rPr>
            </w:pPr>
            <w:r>
              <w:rPr>
                <w:rFonts w:ascii="Arial" w:cs="Arial" w:eastAsia="Arial" w:hAnsi="Arial"/>
                <w:sz w:val="10"/>
                <w:szCs w:val="10"/>
                <w:b w:val="1"/>
                <w:bCs w:val="1"/>
                <w:color w:val="auto"/>
                <w:w w:val="95"/>
              </w:rPr>
              <w:t>Comprehensive</w:t>
            </w:r>
          </w:p>
        </w:tc>
        <w:tc>
          <w:tcPr>
            <w:tcW w:w="120" w:type="dxa"/>
            <w:vAlign w:val="bottom"/>
          </w:tcPr>
          <w:p>
            <w:pPr>
              <w:spacing w:after="0"/>
              <w:rPr>
                <w:sz w:val="6"/>
                <w:szCs w:val="6"/>
                <w:color w:val="auto"/>
              </w:rPr>
            </w:pPr>
          </w:p>
        </w:tc>
        <w:tc>
          <w:tcPr>
            <w:tcW w:w="580" w:type="dxa"/>
            <w:vAlign w:val="bottom"/>
            <w:vMerge w:val="restart"/>
          </w:tcPr>
          <w:p>
            <w:pPr>
              <w:jc w:val="center"/>
              <w:ind w:right="66"/>
              <w:spacing w:after="0" w:line="89" w:lineRule="exact"/>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58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50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58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54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56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w w:val="96"/>
              </w:rPr>
              <w:t>Amount</w:t>
            </w:r>
          </w:p>
        </w:tc>
        <w:tc>
          <w:tcPr>
            <w:tcW w:w="58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56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w w:val="96"/>
              </w:rPr>
              <w:t>Amount</w:t>
            </w:r>
          </w:p>
        </w:tc>
        <w:tc>
          <w:tcPr>
            <w:tcW w:w="62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620" w:type="dxa"/>
            <w:vAlign w:val="bottom"/>
            <w:tcBorders>
              <w:right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2"/>
                <w:szCs w:val="12"/>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52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8"/>
              </w:rPr>
              <w:t>Capital</w:t>
            </w:r>
          </w:p>
        </w:tc>
        <w:tc>
          <w:tcPr>
            <w:tcW w:w="7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5"/>
              </w:rPr>
              <w:t>Deficit</w:t>
            </w:r>
          </w:p>
        </w:tc>
        <w:tc>
          <w:tcPr>
            <w:tcW w:w="8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8"/>
              </w:rPr>
              <w:t>Income (Loss)</w:t>
            </w:r>
          </w:p>
        </w:tc>
        <w:tc>
          <w:tcPr>
            <w:tcW w:w="120" w:type="dxa"/>
            <w:vAlign w:val="bottom"/>
          </w:tcPr>
          <w:p>
            <w:pPr>
              <w:spacing w:after="0"/>
              <w:rPr>
                <w:sz w:val="12"/>
                <w:szCs w:val="12"/>
                <w:color w:val="auto"/>
              </w:rPr>
            </w:pPr>
          </w:p>
        </w:tc>
        <w:tc>
          <w:tcPr>
            <w:tcW w:w="580" w:type="dxa"/>
            <w:vAlign w:val="bottom"/>
          </w:tcPr>
          <w:p>
            <w:pPr>
              <w:jc w:val="center"/>
              <w:ind w:right="66"/>
              <w:spacing w:after="0"/>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22"/>
        </w:trPr>
        <w:tc>
          <w:tcPr>
            <w:tcW w:w="13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13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BALANCE-December 31,</w:t>
            </w: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2020</w:t>
            </w:r>
          </w:p>
        </w:tc>
        <w:tc>
          <w:tcPr>
            <w:tcW w:w="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72"/>
              </w:rPr>
              <w:t>—</w:t>
            </w: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88"/>
              </w:rPr>
              <w:t>540,714,692</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81"/>
              </w:rPr>
              <w:t>54</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2,596,012</w:t>
            </w: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(1,043,449)</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1,552,658</w:t>
            </w:r>
          </w:p>
        </w:tc>
        <w:tc>
          <w:tcPr>
            <w:tcW w:w="0" w:type="dxa"/>
            <w:vAlign w:val="bottom"/>
          </w:tcPr>
          <w:p>
            <w:pPr>
              <w:spacing w:after="0"/>
              <w:rPr>
                <w:sz w:val="1"/>
                <w:szCs w:val="1"/>
                <w:color w:val="auto"/>
              </w:rPr>
            </w:pPr>
          </w:p>
        </w:tc>
      </w:tr>
      <w:tr>
        <w:trPr>
          <w:trHeight w:val="139"/>
        </w:trPr>
        <w:tc>
          <w:tcPr>
            <w:tcW w:w="1300" w:type="dxa"/>
            <w:vAlign w:val="bottom"/>
          </w:tcPr>
          <w:p>
            <w:pPr>
              <w:ind w:left="20"/>
              <w:spacing w:after="0"/>
              <w:rPr>
                <w:sz w:val="20"/>
                <w:szCs w:val="20"/>
                <w:color w:val="auto"/>
              </w:rPr>
            </w:pPr>
            <w:r>
              <w:rPr>
                <w:rFonts w:ascii="Arial" w:cs="Arial" w:eastAsia="Arial" w:hAnsi="Arial"/>
                <w:sz w:val="11"/>
                <w:szCs w:val="11"/>
                <w:color w:val="auto"/>
                <w:w w:val="88"/>
              </w:rPr>
              <w:t>Issuance of common stock in</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300" w:type="dxa"/>
            <w:vAlign w:val="bottom"/>
          </w:tcPr>
          <w:p>
            <w:pPr>
              <w:ind w:left="180"/>
              <w:spacing w:after="0" w:line="122" w:lineRule="exact"/>
              <w:rPr>
                <w:sz w:val="20"/>
                <w:szCs w:val="20"/>
                <w:color w:val="auto"/>
              </w:rPr>
            </w:pPr>
            <w:r>
              <w:rPr>
                <w:rFonts w:ascii="Arial" w:cs="Arial" w:eastAsia="Arial" w:hAnsi="Arial"/>
                <w:sz w:val="11"/>
                <w:szCs w:val="11"/>
                <w:color w:val="auto"/>
              </w:rPr>
              <w:t>connection with the</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300" w:type="dxa"/>
            <w:vAlign w:val="bottom"/>
          </w:tcPr>
          <w:p>
            <w:pPr>
              <w:ind w:left="180"/>
              <w:spacing w:after="0"/>
              <w:rPr>
                <w:sz w:val="20"/>
                <w:szCs w:val="20"/>
                <w:color w:val="auto"/>
              </w:rPr>
            </w:pPr>
            <w:r>
              <w:rPr>
                <w:rFonts w:ascii="Arial" w:cs="Arial" w:eastAsia="Arial" w:hAnsi="Arial"/>
                <w:sz w:val="11"/>
                <w:szCs w:val="11"/>
                <w:color w:val="auto"/>
                <w:w w:val="96"/>
              </w:rPr>
              <w:t>February 2021 Offering</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8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28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5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1"/>
                <w:szCs w:val="11"/>
                <w:color w:val="auto"/>
                <w:w w:val="72"/>
              </w:rPr>
              <w:t>—</w:t>
            </w: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28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w w:val="98"/>
              </w:rPr>
              <w:t>32,817,421</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857,191</w:t>
            </w:r>
          </w:p>
        </w:tc>
        <w:tc>
          <w:tcPr>
            <w:tcW w:w="80" w:type="dxa"/>
            <w:vAlign w:val="bottom"/>
          </w:tcPr>
          <w:p>
            <w:pPr>
              <w:spacing w:after="0"/>
              <w:rPr>
                <w:sz w:val="11"/>
                <w:szCs w:val="11"/>
                <w:color w:val="auto"/>
              </w:rPr>
            </w:pPr>
          </w:p>
        </w:tc>
        <w:tc>
          <w:tcPr>
            <w:tcW w:w="72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857,194</w:t>
            </w: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Vesting of restricted stock</w:t>
            </w:r>
          </w:p>
        </w:tc>
        <w:tc>
          <w:tcPr>
            <w:tcW w:w="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72"/>
              </w:rPr>
              <w:t>—</w:t>
            </w: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660,269</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45</w:t>
            </w: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45</w:t>
            </w:r>
          </w:p>
        </w:tc>
        <w:tc>
          <w:tcPr>
            <w:tcW w:w="0" w:type="dxa"/>
            <w:vAlign w:val="bottom"/>
          </w:tcPr>
          <w:p>
            <w:pPr>
              <w:spacing w:after="0"/>
              <w:rPr>
                <w:sz w:val="1"/>
                <w:szCs w:val="1"/>
                <w:color w:val="auto"/>
              </w:rPr>
            </w:pPr>
          </w:p>
        </w:tc>
      </w:tr>
      <w:tr>
        <w:trPr>
          <w:trHeight w:val="139"/>
        </w:trPr>
        <w:tc>
          <w:tcPr>
            <w:tcW w:w="1300" w:type="dxa"/>
            <w:vAlign w:val="bottom"/>
          </w:tcPr>
          <w:p>
            <w:pPr>
              <w:ind w:left="20"/>
              <w:spacing w:after="0"/>
              <w:rPr>
                <w:sz w:val="20"/>
                <w:szCs w:val="20"/>
                <w:color w:val="auto"/>
              </w:rPr>
            </w:pPr>
            <w:r>
              <w:rPr>
                <w:rFonts w:ascii="Arial" w:cs="Arial" w:eastAsia="Arial" w:hAnsi="Arial"/>
                <w:sz w:val="11"/>
                <w:szCs w:val="11"/>
                <w:color w:val="auto"/>
              </w:rPr>
              <w:t>Vesting of restricted stock</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300" w:type="dxa"/>
            <w:vAlign w:val="bottom"/>
          </w:tcPr>
          <w:p>
            <w:pPr>
              <w:ind w:left="180"/>
              <w:spacing w:after="0"/>
              <w:rPr>
                <w:sz w:val="20"/>
                <w:szCs w:val="20"/>
                <w:color w:val="auto"/>
              </w:rPr>
            </w:pPr>
            <w:r>
              <w:rPr>
                <w:rFonts w:ascii="Arial" w:cs="Arial" w:eastAsia="Arial" w:hAnsi="Arial"/>
                <w:sz w:val="11"/>
                <w:szCs w:val="11"/>
                <w:color w:val="auto"/>
              </w:rPr>
              <w:t>units</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8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28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5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1"/>
                <w:szCs w:val="11"/>
                <w:color w:val="auto"/>
                <w:w w:val="72"/>
              </w:rPr>
              <w:t>—</w:t>
            </w: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28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w w:val="98"/>
              </w:rPr>
              <w:t>14,899,985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3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2"/>
              </w:rPr>
              <w:t>Common stock issued upon</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exercise of warrants</w:t>
            </w:r>
          </w:p>
        </w:tc>
        <w:tc>
          <w:tcPr>
            <w:tcW w:w="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72"/>
              </w:rPr>
              <w:t>—</w:t>
            </w: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504,477</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5,801</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5,801</w:t>
            </w:r>
          </w:p>
        </w:tc>
        <w:tc>
          <w:tcPr>
            <w:tcW w:w="0" w:type="dxa"/>
            <w:vAlign w:val="bottom"/>
          </w:tcPr>
          <w:p>
            <w:pPr>
              <w:spacing w:after="0"/>
              <w:rPr>
                <w:sz w:val="1"/>
                <w:szCs w:val="1"/>
                <w:color w:val="auto"/>
              </w:rPr>
            </w:pPr>
          </w:p>
        </w:tc>
      </w:tr>
      <w:tr>
        <w:trPr>
          <w:trHeight w:val="153"/>
        </w:trPr>
        <w:tc>
          <w:tcPr>
            <w:tcW w:w="1300" w:type="dxa"/>
            <w:vAlign w:val="bottom"/>
          </w:tcPr>
          <w:p>
            <w:pPr>
              <w:ind w:left="20"/>
              <w:spacing w:after="0"/>
              <w:rPr>
                <w:sz w:val="20"/>
                <w:szCs w:val="20"/>
                <w:color w:val="auto"/>
              </w:rPr>
            </w:pPr>
            <w:r>
              <w:rPr>
                <w:rFonts w:ascii="Arial" w:cs="Arial" w:eastAsia="Arial" w:hAnsi="Arial"/>
                <w:sz w:val="11"/>
                <w:szCs w:val="11"/>
                <w:color w:val="auto"/>
              </w:rPr>
              <w:t>Exercise of stock options</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8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28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5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1"/>
                <w:szCs w:val="11"/>
                <w:color w:val="auto"/>
                <w:w w:val="72"/>
              </w:rPr>
              <w:t>—</w:t>
            </w: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28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4,242,075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6,736</w:t>
            </w:r>
          </w:p>
        </w:tc>
        <w:tc>
          <w:tcPr>
            <w:tcW w:w="80" w:type="dxa"/>
            <w:vAlign w:val="bottom"/>
          </w:tcPr>
          <w:p>
            <w:pPr>
              <w:spacing w:after="0"/>
              <w:rPr>
                <w:sz w:val="13"/>
                <w:szCs w:val="13"/>
                <w:color w:val="auto"/>
              </w:rPr>
            </w:pPr>
          </w:p>
        </w:tc>
        <w:tc>
          <w:tcPr>
            <w:tcW w:w="72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6,737</w:t>
            </w: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4"/>
              </w:rPr>
              <w:t>Stock-based compensation</w:t>
            </w:r>
          </w:p>
        </w:tc>
        <w:tc>
          <w:tcPr>
            <w:tcW w:w="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72"/>
              </w:rPr>
              <w:t>—</w:t>
            </w: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409,767</w:t>
            </w: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409,767</w:t>
            </w:r>
          </w:p>
        </w:tc>
        <w:tc>
          <w:tcPr>
            <w:tcW w:w="0" w:type="dxa"/>
            <w:vAlign w:val="bottom"/>
          </w:tcPr>
          <w:p>
            <w:pPr>
              <w:spacing w:after="0"/>
              <w:rPr>
                <w:sz w:val="1"/>
                <w:szCs w:val="1"/>
                <w:color w:val="auto"/>
              </w:rPr>
            </w:pPr>
          </w:p>
        </w:tc>
      </w:tr>
      <w:tr>
        <w:trPr>
          <w:trHeight w:val="154"/>
        </w:trPr>
        <w:tc>
          <w:tcPr>
            <w:tcW w:w="1300" w:type="dxa"/>
            <w:vAlign w:val="bottom"/>
          </w:tcPr>
          <w:p>
            <w:pPr>
              <w:ind w:left="20"/>
              <w:spacing w:after="0"/>
              <w:rPr>
                <w:sz w:val="20"/>
                <w:szCs w:val="20"/>
                <w:color w:val="auto"/>
              </w:rPr>
            </w:pPr>
            <w:r>
              <w:rPr>
                <w:rFonts w:ascii="Arial" w:cs="Arial" w:eastAsia="Arial" w:hAnsi="Arial"/>
                <w:sz w:val="11"/>
                <w:szCs w:val="11"/>
                <w:color w:val="auto"/>
                <w:w w:val="98"/>
              </w:rPr>
              <w:t>Other comprehensive loss</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8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28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5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1"/>
                <w:szCs w:val="11"/>
                <w:color w:val="auto"/>
                <w:w w:val="72"/>
              </w:rPr>
              <w:t>—</w:t>
            </w: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28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(41)</w:t>
            </w: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72"/>
              </w:rPr>
              <w:t>—</w:t>
            </w: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(414,241)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(414,241)</w:t>
            </w:r>
          </w:p>
        </w:tc>
        <w:tc>
          <w:tcPr>
            <w:tcW w:w="0" w:type="dxa"/>
            <w:vAlign w:val="bottom"/>
          </w:tcPr>
          <w:p>
            <w:pPr>
              <w:spacing w:after="0"/>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1"/>
                <w:szCs w:val="11"/>
                <w:color w:val="auto"/>
                <w:w w:val="99"/>
              </w:rPr>
              <w:t>BALANCE–June 30, 2021</w:t>
            </w:r>
          </w:p>
        </w:tc>
        <w:tc>
          <w:tcPr>
            <w:tcW w:w="4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1"/>
                <w:szCs w:val="11"/>
                <w:color w:val="auto"/>
              </w:rPr>
              <w:t>$</w:t>
            </w: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2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72"/>
              </w:rPr>
              <w:t>—</w:t>
            </w: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88"/>
              </w:rPr>
              <w:t>593,838,919</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81"/>
              </w:rPr>
              <w:t>59</w:t>
            </w:r>
          </w:p>
        </w:tc>
        <w:tc>
          <w:tcPr>
            <w:tcW w:w="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89"/>
              </w:rPr>
              <w:t>$ 3,875,552</w:t>
            </w:r>
          </w:p>
        </w:tc>
        <w:tc>
          <w:tcPr>
            <w:tcW w:w="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1"/>
              </w:rPr>
              <w:t>$ (1,457,690)</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2,417,921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80" w:type="dxa"/>
            <w:vAlign w:val="bottom"/>
            <w:gridSpan w:val="12"/>
          </w:tcPr>
          <w:p>
            <w:pPr>
              <w:ind w:left="40"/>
              <w:spacing w:after="0"/>
              <w:rPr>
                <w:sz w:val="20"/>
                <w:szCs w:val="20"/>
                <w:color w:val="auto"/>
              </w:rPr>
            </w:pPr>
            <w:r>
              <w:rPr>
                <w:rFonts w:ascii="Arial" w:cs="Arial" w:eastAsia="Arial" w:hAnsi="Arial"/>
                <w:sz w:val="18"/>
                <w:szCs w:val="18"/>
                <w:b w:val="1"/>
                <w:bCs w:val="1"/>
                <w:color w:val="auto"/>
              </w:rPr>
              <w:t>OPENDOOR TECHNOLOGIES INC.</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60" w:type="dxa"/>
            <w:vAlign w:val="bottom"/>
            <w:gridSpan w:val="26"/>
          </w:tcPr>
          <w:p>
            <w:pPr>
              <w:jc w:val="center"/>
              <w:ind w:left="84"/>
              <w:spacing w:after="0"/>
              <w:rPr>
                <w:sz w:val="20"/>
                <w:szCs w:val="20"/>
                <w:color w:val="auto"/>
              </w:rPr>
            </w:pPr>
            <w:r>
              <w:rPr>
                <w:rFonts w:ascii="Arial" w:cs="Arial" w:eastAsia="Arial" w:hAnsi="Arial"/>
                <w:sz w:val="18"/>
                <w:szCs w:val="18"/>
                <w:b w:val="1"/>
                <w:bCs w:val="1"/>
                <w:color w:val="auto"/>
                <w:w w:val="99"/>
              </w:rPr>
              <w:t>CONDENSED CONSOLIDATED STATEMENTS OF CHANGES IN TEMPORARY</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80" w:type="dxa"/>
            <w:vAlign w:val="bottom"/>
            <w:gridSpan w:val="17"/>
          </w:tcPr>
          <w:p>
            <w:pPr>
              <w:jc w:val="center"/>
              <w:ind w:right="26"/>
              <w:spacing w:after="0"/>
              <w:rPr>
                <w:sz w:val="20"/>
                <w:szCs w:val="20"/>
                <w:color w:val="auto"/>
              </w:rPr>
            </w:pPr>
            <w:r>
              <w:rPr>
                <w:rFonts w:ascii="Arial" w:cs="Arial" w:eastAsia="Arial" w:hAnsi="Arial"/>
                <w:sz w:val="18"/>
                <w:szCs w:val="18"/>
                <w:b w:val="1"/>
                <w:bCs w:val="1"/>
                <w:color w:val="auto"/>
              </w:rPr>
              <w:t>EQUITY AND SHAREHOLDERS’ EQUITY (DEFICIT)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0" w:type="dxa"/>
            <w:vAlign w:val="bottom"/>
            <w:gridSpan w:val="12"/>
          </w:tcPr>
          <w:p>
            <w:pPr>
              <w:jc w:val="center"/>
              <w:ind w:left="144"/>
              <w:spacing w:after="0"/>
              <w:rPr>
                <w:sz w:val="20"/>
                <w:szCs w:val="20"/>
                <w:color w:val="auto"/>
              </w:rPr>
            </w:pPr>
            <w:r>
              <w:rPr>
                <w:rFonts w:ascii="Arial" w:cs="Arial" w:eastAsia="Arial" w:hAnsi="Arial"/>
                <w:sz w:val="16"/>
                <w:szCs w:val="16"/>
                <w:color w:val="auto"/>
                <w:w w:val="90"/>
              </w:rPr>
              <w:t>(In thousands, except number of shares)</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4"/>
          </w:tcPr>
          <w:p>
            <w:pPr>
              <w:jc w:val="center"/>
              <w:ind w:right="220"/>
              <w:spacing w:after="0"/>
              <w:rPr>
                <w:sz w:val="20"/>
                <w:szCs w:val="20"/>
                <w:color w:val="auto"/>
              </w:rPr>
            </w:pPr>
            <w:r>
              <w:rPr>
                <w:rFonts w:ascii="Arial" w:cs="Arial" w:eastAsia="Arial" w:hAnsi="Arial"/>
                <w:sz w:val="16"/>
                <w:szCs w:val="16"/>
                <w:color w:val="auto"/>
                <w:w w:val="93"/>
              </w:rPr>
              <w:t>(Unaudited)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4"/>
            <w:vMerge w:val="restart"/>
          </w:tcPr>
          <w:p>
            <w:pPr>
              <w:ind w:left="260"/>
              <w:spacing w:after="0"/>
              <w:rPr>
                <w:sz w:val="20"/>
                <w:szCs w:val="20"/>
                <w:color w:val="auto"/>
              </w:rPr>
            </w:pPr>
            <w:r>
              <w:rPr>
                <w:rFonts w:ascii="Arial" w:cs="Arial" w:eastAsia="Arial" w:hAnsi="Arial"/>
                <w:sz w:val="11"/>
                <w:szCs w:val="11"/>
                <w:b w:val="1"/>
                <w:bCs w:val="1"/>
                <w:color w:val="auto"/>
                <w:w w:val="91"/>
              </w:rPr>
              <w:t>Temporary Equity</w:t>
            </w: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6"/>
            <w:vMerge w:val="restart"/>
          </w:tcPr>
          <w:p>
            <w:pPr>
              <w:ind w:left="60"/>
              <w:spacing w:after="0"/>
              <w:rPr>
                <w:sz w:val="20"/>
                <w:szCs w:val="20"/>
                <w:color w:val="auto"/>
              </w:rPr>
            </w:pPr>
            <w:r>
              <w:rPr>
                <w:rFonts w:ascii="Arial" w:cs="Arial" w:eastAsia="Arial" w:hAnsi="Arial"/>
                <w:sz w:val="11"/>
                <w:szCs w:val="11"/>
                <w:b w:val="1"/>
                <w:bCs w:val="1"/>
                <w:color w:val="auto"/>
                <w:w w:val="92"/>
              </w:rPr>
              <w:t>Shareholders’ Equity (Deficit)</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4"/>
            <w:vMerge w:val="continue"/>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6"/>
            <w:vMerge w:val="continue"/>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960" w:type="dxa"/>
            <w:vAlign w:val="bottom"/>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4"/>
          </w:tcPr>
          <w:p>
            <w:pPr>
              <w:spacing w:after="0" w:line="20" w:lineRule="exact"/>
              <w:rPr>
                <w:sz w:val="1"/>
                <w:szCs w:val="1"/>
                <w:color w:val="auto"/>
              </w:rPr>
            </w:pPr>
          </w:p>
        </w:tc>
        <w:tc>
          <w:tcPr>
            <w:tcW w:w="1140" w:type="dxa"/>
            <w:vAlign w:val="bottom"/>
            <w:tcBorders>
              <w:bottom w:val="single" w:sz="8" w:color="auto"/>
            </w:tcBorders>
            <w:gridSpan w:val="4"/>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4"/>
          </w:tcPr>
          <w:p>
            <w:pPr>
              <w:spacing w:after="0" w:line="20" w:lineRule="exact"/>
              <w:rPr>
                <w:sz w:val="1"/>
                <w:szCs w:val="1"/>
                <w:color w:val="auto"/>
              </w:rPr>
            </w:pPr>
          </w:p>
        </w:tc>
        <w:tc>
          <w:tcPr>
            <w:tcW w:w="1380" w:type="dxa"/>
            <w:vAlign w:val="bottom"/>
            <w:tcBorders>
              <w:bottom w:val="single" w:sz="8" w:color="auto"/>
              <w:right w:val="single" w:sz="8" w:color="auto"/>
            </w:tcBorders>
            <w:gridSpan w:val="4"/>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760" w:type="dxa"/>
            <w:vAlign w:val="bottom"/>
            <w:gridSpan w:val="3"/>
          </w:tcPr>
          <w:p>
            <w:pPr>
              <w:jc w:val="center"/>
              <w:ind w:left="266"/>
              <w:spacing w:after="0"/>
              <w:rPr>
                <w:sz w:val="20"/>
                <w:szCs w:val="20"/>
                <w:color w:val="auto"/>
              </w:rPr>
            </w:pPr>
            <w:r>
              <w:rPr>
                <w:rFonts w:ascii="Arial" w:cs="Arial" w:eastAsia="Arial" w:hAnsi="Arial"/>
                <w:sz w:val="11"/>
                <w:szCs w:val="11"/>
                <w:b w:val="1"/>
                <w:bCs w:val="1"/>
                <w:color w:val="auto"/>
                <w:w w:val="81"/>
              </w:rPr>
              <w:t>Series A</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1"/>
              </w:rPr>
              <w:t>Series B</w:t>
            </w:r>
          </w:p>
        </w:tc>
        <w:tc>
          <w:tcPr>
            <w:tcW w:w="1140" w:type="dxa"/>
            <w:vAlign w:val="bottom"/>
            <w:gridSpan w:val="4"/>
          </w:tcPr>
          <w:p>
            <w:pPr>
              <w:jc w:val="center"/>
              <w:ind w:right="40"/>
              <w:spacing w:after="0"/>
              <w:rPr>
                <w:sz w:val="20"/>
                <w:szCs w:val="20"/>
                <w:color w:val="auto"/>
              </w:rPr>
            </w:pPr>
            <w:r>
              <w:rPr>
                <w:rFonts w:ascii="Arial" w:cs="Arial" w:eastAsia="Arial" w:hAnsi="Arial"/>
                <w:sz w:val="11"/>
                <w:szCs w:val="11"/>
                <w:b w:val="1"/>
                <w:bCs w:val="1"/>
                <w:color w:val="auto"/>
                <w:w w:val="86"/>
              </w:rPr>
              <w:t>Series C</w:t>
            </w:r>
          </w:p>
        </w:tc>
        <w:tc>
          <w:tcPr>
            <w:tcW w:w="40" w:type="dxa"/>
            <w:vAlign w:val="bottom"/>
          </w:tcPr>
          <w:p>
            <w:pPr>
              <w:spacing w:after="0"/>
              <w:rPr>
                <w:sz w:val="11"/>
                <w:szCs w:val="11"/>
                <w:color w:val="auto"/>
              </w:rPr>
            </w:pPr>
          </w:p>
        </w:tc>
        <w:tc>
          <w:tcPr>
            <w:tcW w:w="122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6"/>
              </w:rPr>
              <w:t>Series D</w:t>
            </w:r>
          </w:p>
        </w:tc>
        <w:tc>
          <w:tcPr>
            <w:tcW w:w="138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1"/>
                <w:szCs w:val="11"/>
                <w:b w:val="1"/>
                <w:bCs w:val="1"/>
                <w:color w:val="auto"/>
                <w:w w:val="82"/>
              </w:rPr>
              <w:t>Series E</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9"/>
              </w:rPr>
              <w:t>Accumulated</w:t>
            </w:r>
          </w:p>
        </w:tc>
        <w:tc>
          <w:tcPr>
            <w:tcW w:w="100" w:type="dxa"/>
            <w:vAlign w:val="bottom"/>
          </w:tcPr>
          <w:p>
            <w:pPr>
              <w:spacing w:after="0"/>
              <w:rPr>
                <w:sz w:val="11"/>
                <w:szCs w:val="11"/>
                <w:color w:val="auto"/>
              </w:rPr>
            </w:pPr>
          </w:p>
        </w:tc>
        <w:tc>
          <w:tcPr>
            <w:tcW w:w="580" w:type="dxa"/>
            <w:vAlign w:val="bottom"/>
            <w:vMerge w:val="restart"/>
          </w:tcPr>
          <w:p>
            <w:pPr>
              <w:jc w:val="center"/>
              <w:ind w:right="47"/>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68"/>
        </w:trPr>
        <w:tc>
          <w:tcPr>
            <w:tcW w:w="960" w:type="dxa"/>
            <w:vAlign w:val="bottom"/>
          </w:tcPr>
          <w:p>
            <w:pPr>
              <w:spacing w:after="0"/>
              <w:rPr>
                <w:sz w:val="5"/>
                <w:szCs w:val="5"/>
                <w:color w:val="auto"/>
              </w:rPr>
            </w:pPr>
          </w:p>
        </w:tc>
        <w:tc>
          <w:tcPr>
            <w:tcW w:w="1160" w:type="dxa"/>
            <w:vAlign w:val="bottom"/>
            <w:gridSpan w:val="5"/>
            <w:vMerge w:val="restart"/>
          </w:tcPr>
          <w:p>
            <w:pPr>
              <w:jc w:val="center"/>
              <w:ind w:right="8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160" w:type="dxa"/>
            <w:vAlign w:val="bottom"/>
            <w:gridSpan w:val="4"/>
            <w:vMerge w:val="restart"/>
          </w:tcPr>
          <w:p>
            <w:pPr>
              <w:jc w:val="center"/>
              <w:ind w:right="8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140" w:type="dxa"/>
            <w:vAlign w:val="bottom"/>
            <w:gridSpan w:val="4"/>
            <w:vMerge w:val="restart"/>
          </w:tcPr>
          <w:p>
            <w:pPr>
              <w:jc w:val="center"/>
              <w:ind w:right="4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40" w:type="dxa"/>
            <w:vAlign w:val="bottom"/>
          </w:tcPr>
          <w:p>
            <w:pPr>
              <w:spacing w:after="0"/>
              <w:rPr>
                <w:sz w:val="5"/>
                <w:szCs w:val="5"/>
                <w:color w:val="auto"/>
              </w:rPr>
            </w:pPr>
          </w:p>
        </w:tc>
        <w:tc>
          <w:tcPr>
            <w:tcW w:w="1220" w:type="dxa"/>
            <w:vAlign w:val="bottom"/>
            <w:gridSpan w:val="4"/>
            <w:vMerge w:val="restart"/>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380" w:type="dxa"/>
            <w:vAlign w:val="bottom"/>
            <w:tcBorders>
              <w:right w:val="single" w:sz="8" w:color="auto"/>
            </w:tcBorders>
            <w:gridSpan w:val="4"/>
            <w:vMerge w:val="restart"/>
          </w:tcPr>
          <w:p>
            <w:pPr>
              <w:jc w:val="center"/>
              <w:ind w:right="10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960" w:type="dxa"/>
            <w:vAlign w:val="bottom"/>
          </w:tcPr>
          <w:p>
            <w:pPr>
              <w:spacing w:after="0"/>
              <w:rPr>
                <w:sz w:val="4"/>
                <w:szCs w:val="4"/>
                <w:color w:val="auto"/>
              </w:rPr>
            </w:pPr>
          </w:p>
        </w:tc>
        <w:tc>
          <w:tcPr>
            <w:tcW w:w="1160" w:type="dxa"/>
            <w:vAlign w:val="bottom"/>
            <w:gridSpan w:val="5"/>
            <w:vMerge w:val="continue"/>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114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1380" w:type="dxa"/>
            <w:vAlign w:val="bottom"/>
            <w:tcBorders>
              <w:right w:val="single" w:sz="8" w:color="auto"/>
            </w:tcBorders>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3"/>
            <w:vMerge w:val="restart"/>
          </w:tcPr>
          <w:p>
            <w:pPr>
              <w:ind w:left="40"/>
              <w:spacing w:after="0" w:line="122" w:lineRule="exact"/>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gridSpan w:val="2"/>
            <w:vMerge w:val="restart"/>
          </w:tcPr>
          <w:p>
            <w:pPr>
              <w:jc w:val="center"/>
              <w:ind w:right="320"/>
              <w:spacing w:after="0" w:line="122" w:lineRule="exact"/>
              <w:rPr>
                <w:sz w:val="20"/>
                <w:szCs w:val="20"/>
                <w:color w:val="auto"/>
              </w:rPr>
            </w:pPr>
            <w:r>
              <w:rPr>
                <w:rFonts w:ascii="Arial" w:cs="Arial" w:eastAsia="Arial" w:hAnsi="Arial"/>
                <w:sz w:val="11"/>
                <w:szCs w:val="11"/>
                <w:b w:val="1"/>
                <w:bCs w:val="1"/>
                <w:color w:val="auto"/>
                <w:w w:val="95"/>
              </w:rPr>
              <w:t>Other</w:t>
            </w:r>
          </w:p>
        </w:tc>
        <w:tc>
          <w:tcPr>
            <w:tcW w:w="68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w w:val="87"/>
              </w:rPr>
              <w:t>Shareholders’</w:t>
            </w:r>
          </w:p>
        </w:tc>
        <w:tc>
          <w:tcPr>
            <w:tcW w:w="0" w:type="dxa"/>
            <w:vAlign w:val="bottom"/>
          </w:tcPr>
          <w:p>
            <w:pPr>
              <w:spacing w:after="0"/>
              <w:rPr>
                <w:sz w:val="1"/>
                <w:szCs w:val="1"/>
                <w:color w:val="auto"/>
              </w:rPr>
            </w:pPr>
          </w:p>
        </w:tc>
      </w:tr>
      <w:tr>
        <w:trPr>
          <w:trHeight w:val="68"/>
        </w:trPr>
        <w:tc>
          <w:tcPr>
            <w:tcW w:w="960" w:type="dxa"/>
            <w:vAlign w:val="bottom"/>
          </w:tcPr>
          <w:p>
            <w:pPr>
              <w:spacing w:after="0"/>
              <w:rPr>
                <w:sz w:val="5"/>
                <w:szCs w:val="5"/>
                <w:color w:val="auto"/>
              </w:rPr>
            </w:pPr>
          </w:p>
        </w:tc>
        <w:tc>
          <w:tcPr>
            <w:tcW w:w="1160" w:type="dxa"/>
            <w:vAlign w:val="bottom"/>
            <w:gridSpan w:val="5"/>
            <w:vMerge w:val="restart"/>
          </w:tcPr>
          <w:p>
            <w:pPr>
              <w:jc w:val="center"/>
              <w:ind w:right="80"/>
              <w:spacing w:after="0"/>
              <w:rPr>
                <w:sz w:val="20"/>
                <w:szCs w:val="20"/>
                <w:color w:val="auto"/>
              </w:rPr>
            </w:pPr>
            <w:r>
              <w:rPr>
                <w:rFonts w:ascii="Arial" w:cs="Arial" w:eastAsia="Arial" w:hAnsi="Arial"/>
                <w:sz w:val="11"/>
                <w:szCs w:val="11"/>
                <w:b w:val="1"/>
                <w:bCs w:val="1"/>
                <w:color w:val="auto"/>
                <w:w w:val="87"/>
              </w:rPr>
              <w:t>Preferred Stock</w:t>
            </w:r>
          </w:p>
        </w:tc>
        <w:tc>
          <w:tcPr>
            <w:tcW w:w="1160" w:type="dxa"/>
            <w:vAlign w:val="bottom"/>
            <w:gridSpan w:val="4"/>
            <w:vMerge w:val="restart"/>
          </w:tcPr>
          <w:p>
            <w:pPr>
              <w:jc w:val="center"/>
              <w:ind w:right="80"/>
              <w:spacing w:after="0"/>
              <w:rPr>
                <w:sz w:val="20"/>
                <w:szCs w:val="20"/>
                <w:color w:val="auto"/>
              </w:rPr>
            </w:pPr>
            <w:r>
              <w:rPr>
                <w:rFonts w:ascii="Arial" w:cs="Arial" w:eastAsia="Arial" w:hAnsi="Arial"/>
                <w:sz w:val="11"/>
                <w:szCs w:val="11"/>
                <w:b w:val="1"/>
                <w:bCs w:val="1"/>
                <w:color w:val="auto"/>
                <w:w w:val="87"/>
              </w:rPr>
              <w:t>Preferred Stock</w:t>
            </w:r>
          </w:p>
        </w:tc>
        <w:tc>
          <w:tcPr>
            <w:tcW w:w="1140" w:type="dxa"/>
            <w:vAlign w:val="bottom"/>
            <w:gridSpan w:val="4"/>
            <w:vMerge w:val="restart"/>
          </w:tcPr>
          <w:p>
            <w:pPr>
              <w:jc w:val="center"/>
              <w:ind w:right="20"/>
              <w:spacing w:after="0"/>
              <w:rPr>
                <w:sz w:val="20"/>
                <w:szCs w:val="20"/>
                <w:color w:val="auto"/>
              </w:rPr>
            </w:pPr>
            <w:r>
              <w:rPr>
                <w:rFonts w:ascii="Arial" w:cs="Arial" w:eastAsia="Arial" w:hAnsi="Arial"/>
                <w:sz w:val="11"/>
                <w:szCs w:val="11"/>
                <w:b w:val="1"/>
                <w:bCs w:val="1"/>
                <w:color w:val="auto"/>
                <w:w w:val="87"/>
              </w:rPr>
              <w:t>Preferred Stock</w:t>
            </w:r>
          </w:p>
        </w:tc>
        <w:tc>
          <w:tcPr>
            <w:tcW w:w="40" w:type="dxa"/>
            <w:vAlign w:val="bottom"/>
          </w:tcPr>
          <w:p>
            <w:pPr>
              <w:spacing w:after="0"/>
              <w:rPr>
                <w:sz w:val="5"/>
                <w:szCs w:val="5"/>
                <w:color w:val="auto"/>
              </w:rPr>
            </w:pPr>
          </w:p>
        </w:tc>
        <w:tc>
          <w:tcPr>
            <w:tcW w:w="1220" w:type="dxa"/>
            <w:vAlign w:val="bottom"/>
            <w:gridSpan w:val="4"/>
            <w:vMerge w:val="restart"/>
          </w:tcPr>
          <w:p>
            <w:pPr>
              <w:jc w:val="center"/>
              <w:ind w:right="80"/>
              <w:spacing w:after="0"/>
              <w:rPr>
                <w:sz w:val="20"/>
                <w:szCs w:val="20"/>
                <w:color w:val="auto"/>
              </w:rPr>
            </w:pPr>
            <w:r>
              <w:rPr>
                <w:rFonts w:ascii="Arial" w:cs="Arial" w:eastAsia="Arial" w:hAnsi="Arial"/>
                <w:sz w:val="11"/>
                <w:szCs w:val="11"/>
                <w:b w:val="1"/>
                <w:bCs w:val="1"/>
                <w:color w:val="auto"/>
                <w:w w:val="90"/>
              </w:rPr>
              <w:t>Preferred Stock</w:t>
            </w:r>
          </w:p>
        </w:tc>
        <w:tc>
          <w:tcPr>
            <w:tcW w:w="1380" w:type="dxa"/>
            <w:vAlign w:val="bottom"/>
            <w:tcBorders>
              <w:right w:val="single" w:sz="8" w:color="auto"/>
            </w:tcBorders>
            <w:gridSpan w:val="4"/>
            <w:vMerge w:val="restart"/>
          </w:tcPr>
          <w:p>
            <w:pPr>
              <w:jc w:val="center"/>
              <w:ind w:right="100"/>
              <w:spacing w:after="0"/>
              <w:rPr>
                <w:sz w:val="20"/>
                <w:szCs w:val="20"/>
                <w:color w:val="auto"/>
              </w:rPr>
            </w:pPr>
            <w:r>
              <w:rPr>
                <w:rFonts w:ascii="Arial" w:cs="Arial" w:eastAsia="Arial" w:hAnsi="Arial"/>
                <w:sz w:val="11"/>
                <w:szCs w:val="11"/>
                <w:b w:val="1"/>
                <w:bCs w:val="1"/>
                <w:color w:val="auto"/>
                <w:w w:val="87"/>
              </w:rPr>
              <w:t>Preferred Stock</w:t>
            </w:r>
          </w:p>
        </w:tc>
        <w:tc>
          <w:tcPr>
            <w:tcW w:w="60" w:type="dxa"/>
            <w:vAlign w:val="bottom"/>
          </w:tcPr>
          <w:p>
            <w:pPr>
              <w:spacing w:after="0"/>
              <w:rPr>
                <w:sz w:val="5"/>
                <w:szCs w:val="5"/>
                <w:color w:val="auto"/>
              </w:rPr>
            </w:pPr>
          </w:p>
        </w:tc>
        <w:tc>
          <w:tcPr>
            <w:tcW w:w="94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w w:val="89"/>
              </w:rPr>
              <w:t>Common Stock</w:t>
            </w: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960" w:type="dxa"/>
            <w:vAlign w:val="bottom"/>
          </w:tcPr>
          <w:p>
            <w:pPr>
              <w:spacing w:after="0"/>
              <w:rPr>
                <w:sz w:val="6"/>
                <w:szCs w:val="6"/>
                <w:color w:val="auto"/>
              </w:rPr>
            </w:pPr>
          </w:p>
        </w:tc>
        <w:tc>
          <w:tcPr>
            <w:tcW w:w="1160" w:type="dxa"/>
            <w:vAlign w:val="bottom"/>
            <w:gridSpan w:val="5"/>
            <w:vMerge w:val="continue"/>
          </w:tcPr>
          <w:p>
            <w:pPr>
              <w:spacing w:after="0"/>
              <w:rPr>
                <w:sz w:val="6"/>
                <w:szCs w:val="6"/>
                <w:color w:val="auto"/>
              </w:rPr>
            </w:pPr>
          </w:p>
        </w:tc>
        <w:tc>
          <w:tcPr>
            <w:tcW w:w="1160" w:type="dxa"/>
            <w:vAlign w:val="bottom"/>
            <w:gridSpan w:val="4"/>
            <w:vMerge w:val="continue"/>
          </w:tcPr>
          <w:p>
            <w:pPr>
              <w:spacing w:after="0"/>
              <w:rPr>
                <w:sz w:val="6"/>
                <w:szCs w:val="6"/>
                <w:color w:val="auto"/>
              </w:rPr>
            </w:pPr>
          </w:p>
        </w:tc>
        <w:tc>
          <w:tcPr>
            <w:tcW w:w="114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gridSpan w:val="4"/>
            <w:vMerge w:val="continue"/>
          </w:tcPr>
          <w:p>
            <w:pPr>
              <w:spacing w:after="0"/>
              <w:rPr>
                <w:sz w:val="6"/>
                <w:szCs w:val="6"/>
                <w:color w:val="auto"/>
              </w:rPr>
            </w:pPr>
          </w:p>
        </w:tc>
        <w:tc>
          <w:tcPr>
            <w:tcW w:w="1380" w:type="dxa"/>
            <w:vAlign w:val="bottom"/>
            <w:tcBorders>
              <w:right w:val="single" w:sz="8" w:color="auto"/>
            </w:tcBorders>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gridSpan w:val="2"/>
            <w:vMerge w:val="restart"/>
          </w:tcPr>
          <w:p>
            <w:pPr>
              <w:ind w:left="20"/>
              <w:spacing w:after="0" w:line="89" w:lineRule="exact"/>
              <w:rPr>
                <w:sz w:val="20"/>
                <w:szCs w:val="20"/>
                <w:color w:val="auto"/>
              </w:rPr>
            </w:pPr>
            <w:r>
              <w:rPr>
                <w:rFonts w:ascii="Arial" w:cs="Arial" w:eastAsia="Arial" w:hAnsi="Arial"/>
                <w:sz w:val="10"/>
                <w:szCs w:val="10"/>
                <w:b w:val="1"/>
                <w:bCs w:val="1"/>
                <w:color w:val="auto"/>
              </w:rPr>
              <w:t>Paid-in</w:t>
            </w:r>
          </w:p>
        </w:tc>
        <w:tc>
          <w:tcPr>
            <w:tcW w:w="720" w:type="dxa"/>
            <w:vAlign w:val="bottom"/>
            <w:gridSpan w:val="3"/>
            <w:vMerge w:val="restart"/>
          </w:tcPr>
          <w:p>
            <w:pPr>
              <w:ind w:left="20"/>
              <w:spacing w:after="0" w:line="89" w:lineRule="exact"/>
              <w:rPr>
                <w:sz w:val="20"/>
                <w:szCs w:val="20"/>
                <w:color w:val="auto"/>
              </w:rPr>
            </w:pPr>
            <w:r>
              <w:rPr>
                <w:rFonts w:ascii="Arial" w:cs="Arial" w:eastAsia="Arial" w:hAnsi="Arial"/>
                <w:sz w:val="10"/>
                <w:szCs w:val="10"/>
                <w:b w:val="1"/>
                <w:bCs w:val="1"/>
                <w:color w:val="auto"/>
              </w:rPr>
              <w:t>Accumulated</w:t>
            </w:r>
          </w:p>
        </w:tc>
        <w:tc>
          <w:tcPr>
            <w:tcW w:w="860" w:type="dxa"/>
            <w:vAlign w:val="bottom"/>
            <w:gridSpan w:val="3"/>
            <w:vMerge w:val="restart"/>
          </w:tcPr>
          <w:p>
            <w:pPr>
              <w:jc w:val="center"/>
              <w:ind w:right="100"/>
              <w:spacing w:after="0" w:line="89" w:lineRule="exact"/>
              <w:rPr>
                <w:sz w:val="20"/>
                <w:szCs w:val="20"/>
                <w:color w:val="auto"/>
              </w:rPr>
            </w:pPr>
            <w:r>
              <w:rPr>
                <w:rFonts w:ascii="Arial" w:cs="Arial" w:eastAsia="Arial" w:hAnsi="Arial"/>
                <w:sz w:val="10"/>
                <w:szCs w:val="10"/>
                <w:b w:val="1"/>
                <w:bCs w:val="1"/>
                <w:color w:val="auto"/>
                <w:w w:val="95"/>
              </w:rPr>
              <w:t>Comprehensive</w:t>
            </w:r>
          </w:p>
        </w:tc>
        <w:tc>
          <w:tcPr>
            <w:tcW w:w="100" w:type="dxa"/>
            <w:vAlign w:val="bottom"/>
          </w:tcPr>
          <w:p>
            <w:pPr>
              <w:spacing w:after="0"/>
              <w:rPr>
                <w:sz w:val="6"/>
                <w:szCs w:val="6"/>
                <w:color w:val="auto"/>
              </w:rPr>
            </w:pPr>
          </w:p>
        </w:tc>
        <w:tc>
          <w:tcPr>
            <w:tcW w:w="580" w:type="dxa"/>
            <w:vAlign w:val="bottom"/>
            <w:vMerge w:val="restart"/>
          </w:tcPr>
          <w:p>
            <w:pPr>
              <w:jc w:val="center"/>
              <w:ind w:right="47"/>
              <w:spacing w:after="0" w:line="89" w:lineRule="exact"/>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22"/>
        </w:trPr>
        <w:tc>
          <w:tcPr>
            <w:tcW w:w="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960" w:type="dxa"/>
            <w:vAlign w:val="bottom"/>
          </w:tcPr>
          <w:p>
            <w:pPr>
              <w:spacing w:after="0"/>
              <w:rPr>
                <w:sz w:val="12"/>
                <w:szCs w:val="12"/>
                <w:color w:val="auto"/>
              </w:rPr>
            </w:pPr>
          </w:p>
        </w:tc>
        <w:tc>
          <w:tcPr>
            <w:tcW w:w="64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52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2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54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64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50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2"/>
                <w:szCs w:val="12"/>
                <w:color w:val="auto"/>
              </w:rPr>
            </w:pPr>
          </w:p>
        </w:tc>
        <w:tc>
          <w:tcPr>
            <w:tcW w:w="64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680" w:type="dxa"/>
            <w:vAlign w:val="bottom"/>
            <w:tcBorders>
              <w:right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2"/>
                <w:szCs w:val="12"/>
                <w:color w:val="auto"/>
              </w:rPr>
            </w:pPr>
          </w:p>
        </w:tc>
        <w:tc>
          <w:tcPr>
            <w:tcW w:w="68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52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1"/>
                <w:szCs w:val="11"/>
                <w:b w:val="1"/>
                <w:bCs w:val="1"/>
                <w:color w:val="auto"/>
              </w:rPr>
              <w:t>Deficit</w:t>
            </w:r>
          </w:p>
        </w:tc>
        <w:tc>
          <w:tcPr>
            <w:tcW w:w="8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8"/>
              </w:rPr>
              <w:t>Income (Loss)</w:t>
            </w:r>
          </w:p>
        </w:tc>
        <w:tc>
          <w:tcPr>
            <w:tcW w:w="100" w:type="dxa"/>
            <w:vAlign w:val="bottom"/>
          </w:tcPr>
          <w:p>
            <w:pPr>
              <w:spacing w:after="0"/>
              <w:rPr>
                <w:sz w:val="12"/>
                <w:szCs w:val="12"/>
                <w:color w:val="auto"/>
              </w:rPr>
            </w:pPr>
          </w:p>
        </w:tc>
        <w:tc>
          <w:tcPr>
            <w:tcW w:w="580" w:type="dxa"/>
            <w:vAlign w:val="bottom"/>
          </w:tcPr>
          <w:p>
            <w:pPr>
              <w:jc w:val="center"/>
              <w:ind w:right="67"/>
              <w:spacing w:after="0"/>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22"/>
        </w:trPr>
        <w:tc>
          <w:tcPr>
            <w:tcW w:w="9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9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BALANCE-March</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31, 2020</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0"/>
              </w:rPr>
              <w:t>40,089,513</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87"/>
              </w:rPr>
              <w:t>9,763</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7"/>
              </w:rPr>
              <w:t>23,840,816</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3"/>
              </w:rPr>
              <w:t>$ 20,049</w:t>
            </w: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0"/>
              </w:rPr>
              <w:t>29,070,700</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w w:val="88"/>
              </w:rPr>
              <w:t>$ 80,519</w:t>
            </w:r>
          </w:p>
        </w:tc>
        <w:tc>
          <w:tcPr>
            <w:tcW w:w="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w w:val="94"/>
              </w:rPr>
              <w:t>63,470,884</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w w:val="85"/>
              </w:rPr>
              <w:t>$ 257,951</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88"/>
              </w:rPr>
              <w:t>157,952,523</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85"/>
              </w:rPr>
              <w:t>$ 1,013,220</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4"/>
              </w:rPr>
              <w:t>84,427,317</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60,794</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(852,679)</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(281)</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(792,166)</w:t>
            </w:r>
          </w:p>
        </w:tc>
        <w:tc>
          <w:tcPr>
            <w:tcW w:w="0" w:type="dxa"/>
            <w:vAlign w:val="bottom"/>
          </w:tcPr>
          <w:p>
            <w:pPr>
              <w:spacing w:after="0"/>
              <w:rPr>
                <w:sz w:val="1"/>
                <w:szCs w:val="1"/>
                <w:color w:val="auto"/>
              </w:rPr>
            </w:pPr>
          </w:p>
        </w:tc>
      </w:tr>
      <w:tr>
        <w:trPr>
          <w:trHeight w:val="139"/>
        </w:trPr>
        <w:tc>
          <w:tcPr>
            <w:tcW w:w="960" w:type="dxa"/>
            <w:vAlign w:val="bottom"/>
          </w:tcPr>
          <w:p>
            <w:pPr>
              <w:ind w:left="20"/>
              <w:spacing w:after="0"/>
              <w:rPr>
                <w:sz w:val="20"/>
                <w:szCs w:val="20"/>
                <w:color w:val="auto"/>
              </w:rPr>
            </w:pPr>
            <w:r>
              <w:rPr>
                <w:rFonts w:ascii="Arial" w:cs="Arial" w:eastAsia="Arial" w:hAnsi="Arial"/>
                <w:sz w:val="11"/>
                <w:szCs w:val="11"/>
                <w:color w:val="auto"/>
                <w:w w:val="94"/>
              </w:rPr>
              <w:t>Vesting of restricted</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960" w:type="dxa"/>
            <w:vAlign w:val="bottom"/>
          </w:tcPr>
          <w:p>
            <w:pPr>
              <w:ind w:left="180"/>
              <w:spacing w:after="0"/>
              <w:rPr>
                <w:sz w:val="20"/>
                <w:szCs w:val="20"/>
                <w:color w:val="auto"/>
              </w:rPr>
            </w:pPr>
            <w:r>
              <w:rPr>
                <w:rFonts w:ascii="Arial" w:cs="Arial" w:eastAsia="Arial" w:hAnsi="Arial"/>
                <w:sz w:val="11"/>
                <w:szCs w:val="11"/>
                <w:color w:val="auto"/>
              </w:rPr>
              <w:t>stock</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345,209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ind w:right="7"/>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22"/>
        </w:trPr>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Exercise of stock</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options</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210,535</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275</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275</w:t>
            </w:r>
          </w:p>
        </w:tc>
        <w:tc>
          <w:tcPr>
            <w:tcW w:w="0" w:type="dxa"/>
            <w:vAlign w:val="bottom"/>
          </w:tcPr>
          <w:p>
            <w:pPr>
              <w:spacing w:after="0"/>
              <w:rPr>
                <w:sz w:val="1"/>
                <w:szCs w:val="1"/>
                <w:color w:val="auto"/>
              </w:rPr>
            </w:pPr>
          </w:p>
        </w:tc>
      </w:tr>
      <w:tr>
        <w:trPr>
          <w:trHeight w:val="139"/>
        </w:trPr>
        <w:tc>
          <w:tcPr>
            <w:tcW w:w="960" w:type="dxa"/>
            <w:vAlign w:val="bottom"/>
          </w:tcPr>
          <w:p>
            <w:pPr>
              <w:ind w:left="20"/>
              <w:spacing w:after="0"/>
              <w:rPr>
                <w:sz w:val="20"/>
                <w:szCs w:val="20"/>
                <w:color w:val="auto"/>
              </w:rPr>
            </w:pPr>
            <w:r>
              <w:rPr>
                <w:rFonts w:ascii="Arial" w:cs="Arial" w:eastAsia="Arial" w:hAnsi="Arial"/>
                <w:sz w:val="11"/>
                <w:szCs w:val="11"/>
                <w:color w:val="auto"/>
              </w:rPr>
              <w:t>Stock-based</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960" w:type="dxa"/>
            <w:vAlign w:val="bottom"/>
          </w:tcPr>
          <w:p>
            <w:pPr>
              <w:ind w:left="180"/>
              <w:spacing w:after="0"/>
              <w:rPr>
                <w:sz w:val="20"/>
                <w:szCs w:val="20"/>
                <w:color w:val="auto"/>
              </w:rPr>
            </w:pPr>
            <w:r>
              <w:rPr>
                <w:rFonts w:ascii="Arial" w:cs="Arial" w:eastAsia="Arial" w:hAnsi="Arial"/>
                <w:sz w:val="11"/>
                <w:szCs w:val="11"/>
                <w:color w:val="auto"/>
              </w:rPr>
              <w:t>compensation</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2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3,670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ind w:right="7"/>
              <w:spacing w:after="0"/>
              <w:rPr>
                <w:sz w:val="20"/>
                <w:szCs w:val="20"/>
                <w:color w:val="auto"/>
              </w:rPr>
            </w:pPr>
            <w:r>
              <w:rPr>
                <w:rFonts w:ascii="Arial" w:cs="Arial" w:eastAsia="Arial" w:hAnsi="Arial"/>
                <w:sz w:val="11"/>
                <w:szCs w:val="11"/>
                <w:color w:val="auto"/>
              </w:rPr>
              <w:t>3,670</w:t>
            </w:r>
          </w:p>
        </w:tc>
        <w:tc>
          <w:tcPr>
            <w:tcW w:w="0" w:type="dxa"/>
            <w:vAlign w:val="bottom"/>
          </w:tcPr>
          <w:p>
            <w:pPr>
              <w:spacing w:after="0"/>
              <w:rPr>
                <w:sz w:val="1"/>
                <w:szCs w:val="1"/>
                <w:color w:val="auto"/>
              </w:rPr>
            </w:pPr>
          </w:p>
        </w:tc>
      </w:tr>
      <w:tr>
        <w:trPr>
          <w:trHeight w:val="22"/>
        </w:trPr>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96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comprehensive</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gain</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583</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583</w:t>
            </w:r>
          </w:p>
        </w:tc>
        <w:tc>
          <w:tcPr>
            <w:tcW w:w="0" w:type="dxa"/>
            <w:vAlign w:val="bottom"/>
          </w:tcPr>
          <w:p>
            <w:pPr>
              <w:spacing w:after="0"/>
              <w:rPr>
                <w:sz w:val="1"/>
                <w:szCs w:val="1"/>
                <w:color w:val="auto"/>
              </w:rPr>
            </w:pPr>
          </w:p>
        </w:tc>
      </w:tr>
      <w:tr>
        <w:trPr>
          <w:trHeight w:val="153"/>
        </w:trPr>
        <w:tc>
          <w:tcPr>
            <w:tcW w:w="960" w:type="dxa"/>
            <w:vAlign w:val="bottom"/>
          </w:tcPr>
          <w:p>
            <w:pPr>
              <w:ind w:left="20"/>
              <w:spacing w:after="0"/>
              <w:rPr>
                <w:sz w:val="20"/>
                <w:szCs w:val="20"/>
                <w:color w:val="auto"/>
              </w:rPr>
            </w:pPr>
            <w:r>
              <w:rPr>
                <w:rFonts w:ascii="Arial" w:cs="Arial" w:eastAsia="Arial" w:hAnsi="Arial"/>
                <w:sz w:val="11"/>
                <w:szCs w:val="11"/>
                <w:color w:val="auto"/>
              </w:rPr>
              <w:t>Net loss</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2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(55,919)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(55,919)</w:t>
            </w:r>
          </w:p>
        </w:tc>
        <w:tc>
          <w:tcPr>
            <w:tcW w:w="0" w:type="dxa"/>
            <w:vAlign w:val="bottom"/>
          </w:tcPr>
          <w:p>
            <w:pPr>
              <w:spacing w:after="0"/>
              <w:rPr>
                <w:sz w:val="1"/>
                <w:szCs w:val="1"/>
                <w:color w:val="auto"/>
              </w:rPr>
            </w:pPr>
          </w:p>
        </w:tc>
      </w:tr>
      <w:tr>
        <w:trPr>
          <w:trHeight w:val="22"/>
        </w:trPr>
        <w:tc>
          <w:tcPr>
            <w:tcW w:w="9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9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BALANCE–June</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0"/>
              </w:rPr>
              <w:t>40,089,513</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87"/>
              </w:rPr>
              <w:t>9,763</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7"/>
              </w:rPr>
              <w:t>23,840,816</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3"/>
              </w:rPr>
              <w:t>$ 20,049</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0"/>
              </w:rPr>
              <w:t>29,070,700</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w w:val="88"/>
              </w:rPr>
              <w:t>$ 80,519</w:t>
            </w:r>
          </w:p>
        </w:tc>
        <w:tc>
          <w:tcPr>
            <w:tcW w:w="40" w:type="dxa"/>
            <w:vAlign w:val="bottom"/>
            <w:shd w:val="clear" w:color="auto" w:fill="CCEEFF"/>
          </w:tcPr>
          <w:p>
            <w:pPr>
              <w:spacing w:after="0"/>
              <w:rPr>
                <w:sz w:val="10"/>
                <w:szCs w:val="10"/>
                <w:color w:val="auto"/>
              </w:rPr>
            </w:pPr>
          </w:p>
        </w:tc>
        <w:tc>
          <w:tcPr>
            <w:tcW w:w="40" w:type="dxa"/>
            <w:vAlign w:val="bottom"/>
            <w:vMerge w:val="restart"/>
            <w:shd w:val="clear" w:color="auto" w:fill="CCEEFF"/>
          </w:tcPr>
          <w:p>
            <w:pPr>
              <w:spacing w:after="0"/>
              <w:rPr>
                <w:sz w:val="10"/>
                <w:szCs w:val="10"/>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87"/>
              </w:rPr>
              <w:t>63,470,884</w:t>
            </w: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w w:val="85"/>
              </w:rPr>
              <w:t>$ 257,951</w:t>
            </w: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88"/>
              </w:rPr>
              <w:t>157,952,523</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85"/>
              </w:rPr>
              <w:t>$ 1,013,220</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94"/>
              </w:rPr>
              <w:t>84,983,061</w:t>
            </w:r>
          </w:p>
        </w:tc>
        <w:tc>
          <w:tcPr>
            <w:tcW w:w="8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4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64,777</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(908,598)</w:t>
            </w:r>
          </w:p>
        </w:tc>
        <w:tc>
          <w:tcPr>
            <w:tcW w:w="8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87"/>
              <w:spacing w:after="0"/>
              <w:rPr>
                <w:sz w:val="20"/>
                <w:szCs w:val="20"/>
                <w:color w:val="auto"/>
              </w:rPr>
            </w:pPr>
            <w:r>
              <w:rPr>
                <w:rFonts w:ascii="Arial" w:cs="Arial" w:eastAsia="Arial" w:hAnsi="Arial"/>
                <w:sz w:val="11"/>
                <w:szCs w:val="11"/>
                <w:color w:val="auto"/>
                <w:w w:val="97"/>
              </w:rPr>
              <w:t>$</w:t>
            </w: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302</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(843,519)</w:t>
            </w:r>
          </w:p>
        </w:tc>
        <w:tc>
          <w:tcPr>
            <w:tcW w:w="0" w:type="dxa"/>
            <w:vAlign w:val="bottom"/>
          </w:tcPr>
          <w:p>
            <w:pPr>
              <w:spacing w:after="0"/>
              <w:rPr>
                <w:sz w:val="1"/>
                <w:szCs w:val="1"/>
                <w:color w:val="auto"/>
              </w:rPr>
            </w:pPr>
          </w:p>
        </w:tc>
      </w:tr>
      <w:tr>
        <w:trPr>
          <w:trHeight w:val="151"/>
        </w:trPr>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30, 2020</w:t>
            </w: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3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vMerge w:val="continue"/>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vMerge w:val="continue"/>
            <w:shd w:val="clear" w:color="auto" w:fill="CCEEFF"/>
          </w:tcPr>
          <w:p>
            <w:pPr>
              <w:spacing w:after="0"/>
              <w:rPr>
                <w:sz w:val="13"/>
                <w:szCs w:val="13"/>
                <w:color w:val="auto"/>
              </w:rPr>
            </w:pP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4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vMerge w:val="continue"/>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58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4"/>
            <w:vMerge w:val="restart"/>
          </w:tcPr>
          <w:p>
            <w:pPr>
              <w:ind w:left="260"/>
              <w:spacing w:after="0"/>
              <w:rPr>
                <w:sz w:val="20"/>
                <w:szCs w:val="20"/>
                <w:color w:val="auto"/>
              </w:rPr>
            </w:pPr>
            <w:r>
              <w:rPr>
                <w:rFonts w:ascii="Arial" w:cs="Arial" w:eastAsia="Arial" w:hAnsi="Arial"/>
                <w:sz w:val="11"/>
                <w:szCs w:val="11"/>
                <w:b w:val="1"/>
                <w:bCs w:val="1"/>
                <w:color w:val="auto"/>
                <w:w w:val="91"/>
              </w:rPr>
              <w:t>Temporary Equity</w:t>
            </w: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6"/>
            <w:vMerge w:val="restart"/>
          </w:tcPr>
          <w:p>
            <w:pPr>
              <w:ind w:left="60"/>
              <w:spacing w:after="0"/>
              <w:rPr>
                <w:sz w:val="20"/>
                <w:szCs w:val="20"/>
                <w:color w:val="auto"/>
              </w:rPr>
            </w:pPr>
            <w:r>
              <w:rPr>
                <w:rFonts w:ascii="Arial" w:cs="Arial" w:eastAsia="Arial" w:hAnsi="Arial"/>
                <w:sz w:val="11"/>
                <w:szCs w:val="11"/>
                <w:b w:val="1"/>
                <w:bCs w:val="1"/>
                <w:color w:val="auto"/>
                <w:w w:val="92"/>
              </w:rPr>
              <w:t>Shareholders’ Equity (Deficit)</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4"/>
            <w:vMerge w:val="continue"/>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6"/>
            <w:vMerge w:val="continue"/>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960" w:type="dxa"/>
            <w:vAlign w:val="bottom"/>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4"/>
          </w:tcPr>
          <w:p>
            <w:pPr>
              <w:spacing w:after="0" w:line="20" w:lineRule="exact"/>
              <w:rPr>
                <w:sz w:val="1"/>
                <w:szCs w:val="1"/>
                <w:color w:val="auto"/>
              </w:rPr>
            </w:pPr>
          </w:p>
        </w:tc>
        <w:tc>
          <w:tcPr>
            <w:tcW w:w="1140" w:type="dxa"/>
            <w:vAlign w:val="bottom"/>
            <w:tcBorders>
              <w:bottom w:val="single" w:sz="8" w:color="auto"/>
            </w:tcBorders>
            <w:gridSpan w:val="4"/>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4"/>
          </w:tcPr>
          <w:p>
            <w:pPr>
              <w:spacing w:after="0" w:line="20" w:lineRule="exact"/>
              <w:rPr>
                <w:sz w:val="1"/>
                <w:szCs w:val="1"/>
                <w:color w:val="auto"/>
              </w:rPr>
            </w:pPr>
          </w:p>
        </w:tc>
        <w:tc>
          <w:tcPr>
            <w:tcW w:w="1380" w:type="dxa"/>
            <w:vAlign w:val="bottom"/>
            <w:tcBorders>
              <w:bottom w:val="single" w:sz="8" w:color="auto"/>
              <w:right w:val="single" w:sz="8" w:color="auto"/>
            </w:tcBorders>
            <w:gridSpan w:val="4"/>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760" w:type="dxa"/>
            <w:vAlign w:val="bottom"/>
            <w:gridSpan w:val="3"/>
          </w:tcPr>
          <w:p>
            <w:pPr>
              <w:jc w:val="center"/>
              <w:ind w:left="266"/>
              <w:spacing w:after="0"/>
              <w:rPr>
                <w:sz w:val="20"/>
                <w:szCs w:val="20"/>
                <w:color w:val="auto"/>
              </w:rPr>
            </w:pPr>
            <w:r>
              <w:rPr>
                <w:rFonts w:ascii="Arial" w:cs="Arial" w:eastAsia="Arial" w:hAnsi="Arial"/>
                <w:sz w:val="11"/>
                <w:szCs w:val="11"/>
                <w:b w:val="1"/>
                <w:bCs w:val="1"/>
                <w:color w:val="auto"/>
                <w:w w:val="81"/>
              </w:rPr>
              <w:t>Series A</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1"/>
              </w:rPr>
              <w:t>Series B</w:t>
            </w:r>
          </w:p>
        </w:tc>
        <w:tc>
          <w:tcPr>
            <w:tcW w:w="1140" w:type="dxa"/>
            <w:vAlign w:val="bottom"/>
            <w:gridSpan w:val="4"/>
          </w:tcPr>
          <w:p>
            <w:pPr>
              <w:jc w:val="center"/>
              <w:ind w:right="40"/>
              <w:spacing w:after="0"/>
              <w:rPr>
                <w:sz w:val="20"/>
                <w:szCs w:val="20"/>
                <w:color w:val="auto"/>
              </w:rPr>
            </w:pPr>
            <w:r>
              <w:rPr>
                <w:rFonts w:ascii="Arial" w:cs="Arial" w:eastAsia="Arial" w:hAnsi="Arial"/>
                <w:sz w:val="11"/>
                <w:szCs w:val="11"/>
                <w:b w:val="1"/>
                <w:bCs w:val="1"/>
                <w:color w:val="auto"/>
                <w:w w:val="86"/>
              </w:rPr>
              <w:t>Series C</w:t>
            </w:r>
          </w:p>
        </w:tc>
        <w:tc>
          <w:tcPr>
            <w:tcW w:w="40" w:type="dxa"/>
            <w:vAlign w:val="bottom"/>
          </w:tcPr>
          <w:p>
            <w:pPr>
              <w:spacing w:after="0"/>
              <w:rPr>
                <w:sz w:val="11"/>
                <w:szCs w:val="11"/>
                <w:color w:val="auto"/>
              </w:rPr>
            </w:pPr>
          </w:p>
        </w:tc>
        <w:tc>
          <w:tcPr>
            <w:tcW w:w="122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6"/>
              </w:rPr>
              <w:t>Series D</w:t>
            </w:r>
          </w:p>
        </w:tc>
        <w:tc>
          <w:tcPr>
            <w:tcW w:w="138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1"/>
                <w:szCs w:val="11"/>
                <w:b w:val="1"/>
                <w:bCs w:val="1"/>
                <w:color w:val="auto"/>
                <w:w w:val="82"/>
              </w:rPr>
              <w:t>Series E</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9"/>
              </w:rPr>
              <w:t>Accumulated</w:t>
            </w:r>
          </w:p>
        </w:tc>
        <w:tc>
          <w:tcPr>
            <w:tcW w:w="100" w:type="dxa"/>
            <w:vAlign w:val="bottom"/>
          </w:tcPr>
          <w:p>
            <w:pPr>
              <w:spacing w:after="0"/>
              <w:rPr>
                <w:sz w:val="11"/>
                <w:szCs w:val="11"/>
                <w:color w:val="auto"/>
              </w:rPr>
            </w:pPr>
          </w:p>
        </w:tc>
        <w:tc>
          <w:tcPr>
            <w:tcW w:w="580" w:type="dxa"/>
            <w:vAlign w:val="bottom"/>
            <w:vMerge w:val="restart"/>
          </w:tcPr>
          <w:p>
            <w:pPr>
              <w:jc w:val="center"/>
              <w:ind w:right="47"/>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68"/>
        </w:trPr>
        <w:tc>
          <w:tcPr>
            <w:tcW w:w="960" w:type="dxa"/>
            <w:vAlign w:val="bottom"/>
          </w:tcPr>
          <w:p>
            <w:pPr>
              <w:spacing w:after="0"/>
              <w:rPr>
                <w:sz w:val="5"/>
                <w:szCs w:val="5"/>
                <w:color w:val="auto"/>
              </w:rPr>
            </w:pPr>
          </w:p>
        </w:tc>
        <w:tc>
          <w:tcPr>
            <w:tcW w:w="1160" w:type="dxa"/>
            <w:vAlign w:val="bottom"/>
            <w:gridSpan w:val="5"/>
            <w:vMerge w:val="restart"/>
          </w:tcPr>
          <w:p>
            <w:pPr>
              <w:jc w:val="center"/>
              <w:ind w:right="8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160" w:type="dxa"/>
            <w:vAlign w:val="bottom"/>
            <w:gridSpan w:val="4"/>
            <w:vMerge w:val="restart"/>
          </w:tcPr>
          <w:p>
            <w:pPr>
              <w:jc w:val="center"/>
              <w:ind w:right="8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140" w:type="dxa"/>
            <w:vAlign w:val="bottom"/>
            <w:gridSpan w:val="4"/>
            <w:vMerge w:val="restart"/>
          </w:tcPr>
          <w:p>
            <w:pPr>
              <w:jc w:val="center"/>
              <w:ind w:right="4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40" w:type="dxa"/>
            <w:vAlign w:val="bottom"/>
          </w:tcPr>
          <w:p>
            <w:pPr>
              <w:spacing w:after="0"/>
              <w:rPr>
                <w:sz w:val="5"/>
                <w:szCs w:val="5"/>
                <w:color w:val="auto"/>
              </w:rPr>
            </w:pPr>
          </w:p>
        </w:tc>
        <w:tc>
          <w:tcPr>
            <w:tcW w:w="1220" w:type="dxa"/>
            <w:vAlign w:val="bottom"/>
            <w:gridSpan w:val="4"/>
            <w:vMerge w:val="restart"/>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380" w:type="dxa"/>
            <w:vAlign w:val="bottom"/>
            <w:tcBorders>
              <w:right w:val="single" w:sz="8" w:color="auto"/>
            </w:tcBorders>
            <w:gridSpan w:val="4"/>
            <w:vMerge w:val="restart"/>
          </w:tcPr>
          <w:p>
            <w:pPr>
              <w:jc w:val="center"/>
              <w:ind w:right="10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960" w:type="dxa"/>
            <w:vAlign w:val="bottom"/>
          </w:tcPr>
          <w:p>
            <w:pPr>
              <w:spacing w:after="0"/>
              <w:rPr>
                <w:sz w:val="4"/>
                <w:szCs w:val="4"/>
                <w:color w:val="auto"/>
              </w:rPr>
            </w:pPr>
          </w:p>
        </w:tc>
        <w:tc>
          <w:tcPr>
            <w:tcW w:w="1160" w:type="dxa"/>
            <w:vAlign w:val="bottom"/>
            <w:gridSpan w:val="5"/>
            <w:vMerge w:val="continue"/>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114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1380" w:type="dxa"/>
            <w:vAlign w:val="bottom"/>
            <w:tcBorders>
              <w:right w:val="single" w:sz="8" w:color="auto"/>
            </w:tcBorders>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3"/>
            <w:vMerge w:val="restart"/>
          </w:tcPr>
          <w:p>
            <w:pPr>
              <w:ind w:left="40"/>
              <w:spacing w:after="0" w:line="122" w:lineRule="exact"/>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gridSpan w:val="2"/>
            <w:vMerge w:val="restart"/>
          </w:tcPr>
          <w:p>
            <w:pPr>
              <w:jc w:val="center"/>
              <w:ind w:right="320"/>
              <w:spacing w:after="0" w:line="122" w:lineRule="exact"/>
              <w:rPr>
                <w:sz w:val="20"/>
                <w:szCs w:val="20"/>
                <w:color w:val="auto"/>
              </w:rPr>
            </w:pPr>
            <w:r>
              <w:rPr>
                <w:rFonts w:ascii="Arial" w:cs="Arial" w:eastAsia="Arial" w:hAnsi="Arial"/>
                <w:sz w:val="11"/>
                <w:szCs w:val="11"/>
                <w:b w:val="1"/>
                <w:bCs w:val="1"/>
                <w:color w:val="auto"/>
                <w:w w:val="95"/>
              </w:rPr>
              <w:t>Other</w:t>
            </w:r>
          </w:p>
        </w:tc>
        <w:tc>
          <w:tcPr>
            <w:tcW w:w="68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w w:val="87"/>
              </w:rPr>
              <w:t>Shareholders’</w:t>
            </w:r>
          </w:p>
        </w:tc>
        <w:tc>
          <w:tcPr>
            <w:tcW w:w="0" w:type="dxa"/>
            <w:vAlign w:val="bottom"/>
          </w:tcPr>
          <w:p>
            <w:pPr>
              <w:spacing w:after="0"/>
              <w:rPr>
                <w:sz w:val="1"/>
                <w:szCs w:val="1"/>
                <w:color w:val="auto"/>
              </w:rPr>
            </w:pPr>
          </w:p>
        </w:tc>
      </w:tr>
      <w:tr>
        <w:trPr>
          <w:trHeight w:val="68"/>
        </w:trPr>
        <w:tc>
          <w:tcPr>
            <w:tcW w:w="960" w:type="dxa"/>
            <w:vAlign w:val="bottom"/>
          </w:tcPr>
          <w:p>
            <w:pPr>
              <w:spacing w:after="0"/>
              <w:rPr>
                <w:sz w:val="5"/>
                <w:szCs w:val="5"/>
                <w:color w:val="auto"/>
              </w:rPr>
            </w:pPr>
          </w:p>
        </w:tc>
        <w:tc>
          <w:tcPr>
            <w:tcW w:w="1160" w:type="dxa"/>
            <w:vAlign w:val="bottom"/>
            <w:gridSpan w:val="5"/>
            <w:vMerge w:val="restart"/>
          </w:tcPr>
          <w:p>
            <w:pPr>
              <w:jc w:val="center"/>
              <w:ind w:right="80"/>
              <w:spacing w:after="0"/>
              <w:rPr>
                <w:sz w:val="20"/>
                <w:szCs w:val="20"/>
                <w:color w:val="auto"/>
              </w:rPr>
            </w:pPr>
            <w:r>
              <w:rPr>
                <w:rFonts w:ascii="Arial" w:cs="Arial" w:eastAsia="Arial" w:hAnsi="Arial"/>
                <w:sz w:val="11"/>
                <w:szCs w:val="11"/>
                <w:b w:val="1"/>
                <w:bCs w:val="1"/>
                <w:color w:val="auto"/>
                <w:w w:val="87"/>
              </w:rPr>
              <w:t>Preferred Stock</w:t>
            </w:r>
          </w:p>
        </w:tc>
        <w:tc>
          <w:tcPr>
            <w:tcW w:w="1160" w:type="dxa"/>
            <w:vAlign w:val="bottom"/>
            <w:gridSpan w:val="4"/>
            <w:vMerge w:val="restart"/>
          </w:tcPr>
          <w:p>
            <w:pPr>
              <w:jc w:val="center"/>
              <w:ind w:right="80"/>
              <w:spacing w:after="0"/>
              <w:rPr>
                <w:sz w:val="20"/>
                <w:szCs w:val="20"/>
                <w:color w:val="auto"/>
              </w:rPr>
            </w:pPr>
            <w:r>
              <w:rPr>
                <w:rFonts w:ascii="Arial" w:cs="Arial" w:eastAsia="Arial" w:hAnsi="Arial"/>
                <w:sz w:val="11"/>
                <w:szCs w:val="11"/>
                <w:b w:val="1"/>
                <w:bCs w:val="1"/>
                <w:color w:val="auto"/>
                <w:w w:val="87"/>
              </w:rPr>
              <w:t>Preferred Stock</w:t>
            </w:r>
          </w:p>
        </w:tc>
        <w:tc>
          <w:tcPr>
            <w:tcW w:w="1140" w:type="dxa"/>
            <w:vAlign w:val="bottom"/>
            <w:gridSpan w:val="4"/>
            <w:vMerge w:val="restart"/>
          </w:tcPr>
          <w:p>
            <w:pPr>
              <w:jc w:val="center"/>
              <w:ind w:right="20"/>
              <w:spacing w:after="0"/>
              <w:rPr>
                <w:sz w:val="20"/>
                <w:szCs w:val="20"/>
                <w:color w:val="auto"/>
              </w:rPr>
            </w:pPr>
            <w:r>
              <w:rPr>
                <w:rFonts w:ascii="Arial" w:cs="Arial" w:eastAsia="Arial" w:hAnsi="Arial"/>
                <w:sz w:val="11"/>
                <w:szCs w:val="11"/>
                <w:b w:val="1"/>
                <w:bCs w:val="1"/>
                <w:color w:val="auto"/>
                <w:w w:val="87"/>
              </w:rPr>
              <w:t>Preferred Stock</w:t>
            </w:r>
          </w:p>
        </w:tc>
        <w:tc>
          <w:tcPr>
            <w:tcW w:w="40" w:type="dxa"/>
            <w:vAlign w:val="bottom"/>
          </w:tcPr>
          <w:p>
            <w:pPr>
              <w:spacing w:after="0"/>
              <w:rPr>
                <w:sz w:val="5"/>
                <w:szCs w:val="5"/>
                <w:color w:val="auto"/>
              </w:rPr>
            </w:pPr>
          </w:p>
        </w:tc>
        <w:tc>
          <w:tcPr>
            <w:tcW w:w="1220" w:type="dxa"/>
            <w:vAlign w:val="bottom"/>
            <w:gridSpan w:val="4"/>
            <w:vMerge w:val="restart"/>
          </w:tcPr>
          <w:p>
            <w:pPr>
              <w:jc w:val="center"/>
              <w:ind w:right="80"/>
              <w:spacing w:after="0"/>
              <w:rPr>
                <w:sz w:val="20"/>
                <w:szCs w:val="20"/>
                <w:color w:val="auto"/>
              </w:rPr>
            </w:pPr>
            <w:r>
              <w:rPr>
                <w:rFonts w:ascii="Arial" w:cs="Arial" w:eastAsia="Arial" w:hAnsi="Arial"/>
                <w:sz w:val="11"/>
                <w:szCs w:val="11"/>
                <w:b w:val="1"/>
                <w:bCs w:val="1"/>
                <w:color w:val="auto"/>
                <w:w w:val="90"/>
              </w:rPr>
              <w:t>Preferred Stock</w:t>
            </w:r>
          </w:p>
        </w:tc>
        <w:tc>
          <w:tcPr>
            <w:tcW w:w="1380" w:type="dxa"/>
            <w:vAlign w:val="bottom"/>
            <w:tcBorders>
              <w:right w:val="single" w:sz="8" w:color="auto"/>
            </w:tcBorders>
            <w:gridSpan w:val="4"/>
            <w:vMerge w:val="restart"/>
          </w:tcPr>
          <w:p>
            <w:pPr>
              <w:jc w:val="center"/>
              <w:ind w:right="100"/>
              <w:spacing w:after="0"/>
              <w:rPr>
                <w:sz w:val="20"/>
                <w:szCs w:val="20"/>
                <w:color w:val="auto"/>
              </w:rPr>
            </w:pPr>
            <w:r>
              <w:rPr>
                <w:rFonts w:ascii="Arial" w:cs="Arial" w:eastAsia="Arial" w:hAnsi="Arial"/>
                <w:sz w:val="11"/>
                <w:szCs w:val="11"/>
                <w:b w:val="1"/>
                <w:bCs w:val="1"/>
                <w:color w:val="auto"/>
                <w:w w:val="87"/>
              </w:rPr>
              <w:t>Preferred Stock</w:t>
            </w:r>
          </w:p>
        </w:tc>
        <w:tc>
          <w:tcPr>
            <w:tcW w:w="60" w:type="dxa"/>
            <w:vAlign w:val="bottom"/>
          </w:tcPr>
          <w:p>
            <w:pPr>
              <w:spacing w:after="0"/>
              <w:rPr>
                <w:sz w:val="5"/>
                <w:szCs w:val="5"/>
                <w:color w:val="auto"/>
              </w:rPr>
            </w:pPr>
          </w:p>
        </w:tc>
        <w:tc>
          <w:tcPr>
            <w:tcW w:w="94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w w:val="89"/>
              </w:rPr>
              <w:t>Common Stock</w:t>
            </w: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960" w:type="dxa"/>
            <w:vAlign w:val="bottom"/>
          </w:tcPr>
          <w:p>
            <w:pPr>
              <w:spacing w:after="0"/>
              <w:rPr>
                <w:sz w:val="6"/>
                <w:szCs w:val="6"/>
                <w:color w:val="auto"/>
              </w:rPr>
            </w:pPr>
          </w:p>
        </w:tc>
        <w:tc>
          <w:tcPr>
            <w:tcW w:w="1160" w:type="dxa"/>
            <w:vAlign w:val="bottom"/>
            <w:gridSpan w:val="5"/>
            <w:vMerge w:val="continue"/>
          </w:tcPr>
          <w:p>
            <w:pPr>
              <w:spacing w:after="0"/>
              <w:rPr>
                <w:sz w:val="6"/>
                <w:szCs w:val="6"/>
                <w:color w:val="auto"/>
              </w:rPr>
            </w:pPr>
          </w:p>
        </w:tc>
        <w:tc>
          <w:tcPr>
            <w:tcW w:w="1160" w:type="dxa"/>
            <w:vAlign w:val="bottom"/>
            <w:gridSpan w:val="4"/>
            <w:vMerge w:val="continue"/>
          </w:tcPr>
          <w:p>
            <w:pPr>
              <w:spacing w:after="0"/>
              <w:rPr>
                <w:sz w:val="6"/>
                <w:szCs w:val="6"/>
                <w:color w:val="auto"/>
              </w:rPr>
            </w:pPr>
          </w:p>
        </w:tc>
        <w:tc>
          <w:tcPr>
            <w:tcW w:w="114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gridSpan w:val="4"/>
            <w:vMerge w:val="continue"/>
          </w:tcPr>
          <w:p>
            <w:pPr>
              <w:spacing w:after="0"/>
              <w:rPr>
                <w:sz w:val="6"/>
                <w:szCs w:val="6"/>
                <w:color w:val="auto"/>
              </w:rPr>
            </w:pPr>
          </w:p>
        </w:tc>
        <w:tc>
          <w:tcPr>
            <w:tcW w:w="1380" w:type="dxa"/>
            <w:vAlign w:val="bottom"/>
            <w:tcBorders>
              <w:right w:val="single" w:sz="8" w:color="auto"/>
            </w:tcBorders>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gridSpan w:val="2"/>
            <w:vMerge w:val="restart"/>
          </w:tcPr>
          <w:p>
            <w:pPr>
              <w:ind w:left="20"/>
              <w:spacing w:after="0" w:line="89" w:lineRule="exact"/>
              <w:rPr>
                <w:sz w:val="20"/>
                <w:szCs w:val="20"/>
                <w:color w:val="auto"/>
              </w:rPr>
            </w:pPr>
            <w:r>
              <w:rPr>
                <w:rFonts w:ascii="Arial" w:cs="Arial" w:eastAsia="Arial" w:hAnsi="Arial"/>
                <w:sz w:val="10"/>
                <w:szCs w:val="10"/>
                <w:b w:val="1"/>
                <w:bCs w:val="1"/>
                <w:color w:val="auto"/>
              </w:rPr>
              <w:t>Paid-in</w:t>
            </w:r>
          </w:p>
        </w:tc>
        <w:tc>
          <w:tcPr>
            <w:tcW w:w="720" w:type="dxa"/>
            <w:vAlign w:val="bottom"/>
            <w:gridSpan w:val="3"/>
            <w:vMerge w:val="restart"/>
          </w:tcPr>
          <w:p>
            <w:pPr>
              <w:ind w:left="20"/>
              <w:spacing w:after="0" w:line="89" w:lineRule="exact"/>
              <w:rPr>
                <w:sz w:val="20"/>
                <w:szCs w:val="20"/>
                <w:color w:val="auto"/>
              </w:rPr>
            </w:pPr>
            <w:r>
              <w:rPr>
                <w:rFonts w:ascii="Arial" w:cs="Arial" w:eastAsia="Arial" w:hAnsi="Arial"/>
                <w:sz w:val="10"/>
                <w:szCs w:val="10"/>
                <w:b w:val="1"/>
                <w:bCs w:val="1"/>
                <w:color w:val="auto"/>
              </w:rPr>
              <w:t>Accumulated</w:t>
            </w:r>
          </w:p>
        </w:tc>
        <w:tc>
          <w:tcPr>
            <w:tcW w:w="860" w:type="dxa"/>
            <w:vAlign w:val="bottom"/>
            <w:gridSpan w:val="3"/>
            <w:vMerge w:val="restart"/>
          </w:tcPr>
          <w:p>
            <w:pPr>
              <w:jc w:val="center"/>
              <w:ind w:right="100"/>
              <w:spacing w:after="0" w:line="89" w:lineRule="exact"/>
              <w:rPr>
                <w:sz w:val="20"/>
                <w:szCs w:val="20"/>
                <w:color w:val="auto"/>
              </w:rPr>
            </w:pPr>
            <w:r>
              <w:rPr>
                <w:rFonts w:ascii="Arial" w:cs="Arial" w:eastAsia="Arial" w:hAnsi="Arial"/>
                <w:sz w:val="10"/>
                <w:szCs w:val="10"/>
                <w:b w:val="1"/>
                <w:bCs w:val="1"/>
                <w:color w:val="auto"/>
                <w:w w:val="95"/>
              </w:rPr>
              <w:t>Comprehensive</w:t>
            </w:r>
          </w:p>
        </w:tc>
        <w:tc>
          <w:tcPr>
            <w:tcW w:w="100" w:type="dxa"/>
            <w:vAlign w:val="bottom"/>
          </w:tcPr>
          <w:p>
            <w:pPr>
              <w:spacing w:after="0"/>
              <w:rPr>
                <w:sz w:val="6"/>
                <w:szCs w:val="6"/>
                <w:color w:val="auto"/>
              </w:rPr>
            </w:pPr>
          </w:p>
        </w:tc>
        <w:tc>
          <w:tcPr>
            <w:tcW w:w="580" w:type="dxa"/>
            <w:vAlign w:val="bottom"/>
            <w:vMerge w:val="restart"/>
          </w:tcPr>
          <w:p>
            <w:pPr>
              <w:jc w:val="center"/>
              <w:ind w:right="47"/>
              <w:spacing w:after="0" w:line="89" w:lineRule="exact"/>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22"/>
        </w:trPr>
        <w:tc>
          <w:tcPr>
            <w:tcW w:w="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960" w:type="dxa"/>
            <w:vAlign w:val="bottom"/>
          </w:tcPr>
          <w:p>
            <w:pPr>
              <w:spacing w:after="0"/>
              <w:rPr>
                <w:sz w:val="12"/>
                <w:szCs w:val="12"/>
                <w:color w:val="auto"/>
              </w:rPr>
            </w:pPr>
          </w:p>
        </w:tc>
        <w:tc>
          <w:tcPr>
            <w:tcW w:w="64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52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2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54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64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50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2"/>
                <w:szCs w:val="12"/>
                <w:color w:val="auto"/>
              </w:rPr>
            </w:pPr>
          </w:p>
        </w:tc>
        <w:tc>
          <w:tcPr>
            <w:tcW w:w="64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680" w:type="dxa"/>
            <w:vAlign w:val="bottom"/>
            <w:tcBorders>
              <w:right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2"/>
                <w:szCs w:val="12"/>
                <w:color w:val="auto"/>
              </w:rPr>
            </w:pPr>
          </w:p>
        </w:tc>
        <w:tc>
          <w:tcPr>
            <w:tcW w:w="68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52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1"/>
                <w:szCs w:val="11"/>
                <w:b w:val="1"/>
                <w:bCs w:val="1"/>
                <w:color w:val="auto"/>
              </w:rPr>
              <w:t>Deficit</w:t>
            </w:r>
          </w:p>
        </w:tc>
        <w:tc>
          <w:tcPr>
            <w:tcW w:w="8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8"/>
              </w:rPr>
              <w:t>Income (Loss)</w:t>
            </w:r>
          </w:p>
        </w:tc>
        <w:tc>
          <w:tcPr>
            <w:tcW w:w="100" w:type="dxa"/>
            <w:vAlign w:val="bottom"/>
          </w:tcPr>
          <w:p>
            <w:pPr>
              <w:spacing w:after="0"/>
              <w:rPr>
                <w:sz w:val="12"/>
                <w:szCs w:val="12"/>
                <w:color w:val="auto"/>
              </w:rPr>
            </w:pPr>
          </w:p>
        </w:tc>
        <w:tc>
          <w:tcPr>
            <w:tcW w:w="580" w:type="dxa"/>
            <w:vAlign w:val="bottom"/>
          </w:tcPr>
          <w:p>
            <w:pPr>
              <w:jc w:val="center"/>
              <w:ind w:right="67"/>
              <w:spacing w:after="0"/>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22"/>
        </w:trPr>
        <w:tc>
          <w:tcPr>
            <w:tcW w:w="9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9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BALANCE-</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6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December 31,</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2019</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0"/>
              </w:rPr>
              <w:t>40,089,513</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87"/>
              </w:rPr>
              <w:t>9,763</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7"/>
              </w:rPr>
              <w:t>23,840,816</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3"/>
              </w:rPr>
              <w:t>$ 20,049</w:t>
            </w: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0"/>
              </w:rPr>
              <w:t>29,070,700</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w w:val="88"/>
              </w:rPr>
              <w:t>$ 80,519</w:t>
            </w:r>
          </w:p>
        </w:tc>
        <w:tc>
          <w:tcPr>
            <w:tcW w:w="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w w:val="94"/>
              </w:rPr>
              <w:t>63,470,884</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w w:val="85"/>
              </w:rPr>
              <w:t>$ 257,951</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88"/>
              </w:rPr>
              <w:t>157,952,523</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85"/>
              </w:rPr>
              <w:t>$ 1,013,220</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4"/>
              </w:rPr>
              <w:t>83,748,443</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57,362</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(790,483)</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(733,103)</w:t>
            </w:r>
          </w:p>
        </w:tc>
        <w:tc>
          <w:tcPr>
            <w:tcW w:w="0" w:type="dxa"/>
            <w:vAlign w:val="bottom"/>
          </w:tcPr>
          <w:p>
            <w:pPr>
              <w:spacing w:after="0"/>
              <w:rPr>
                <w:sz w:val="1"/>
                <w:szCs w:val="1"/>
                <w:color w:val="auto"/>
              </w:rPr>
            </w:pPr>
          </w:p>
        </w:tc>
      </w:tr>
      <w:tr>
        <w:trPr>
          <w:trHeight w:val="139"/>
        </w:trPr>
        <w:tc>
          <w:tcPr>
            <w:tcW w:w="960" w:type="dxa"/>
            <w:vAlign w:val="bottom"/>
          </w:tcPr>
          <w:p>
            <w:pPr>
              <w:ind w:left="20"/>
              <w:spacing w:after="0"/>
              <w:rPr>
                <w:sz w:val="20"/>
                <w:szCs w:val="20"/>
                <w:color w:val="auto"/>
              </w:rPr>
            </w:pPr>
            <w:r>
              <w:rPr>
                <w:rFonts w:ascii="Arial" w:cs="Arial" w:eastAsia="Arial" w:hAnsi="Arial"/>
                <w:sz w:val="11"/>
                <w:szCs w:val="11"/>
                <w:color w:val="auto"/>
                <w:w w:val="94"/>
              </w:rPr>
              <w:t>Vesting of restricted</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960" w:type="dxa"/>
            <w:vAlign w:val="bottom"/>
          </w:tcPr>
          <w:p>
            <w:pPr>
              <w:ind w:left="180"/>
              <w:spacing w:after="0"/>
              <w:rPr>
                <w:sz w:val="20"/>
                <w:szCs w:val="20"/>
                <w:color w:val="auto"/>
              </w:rPr>
            </w:pPr>
            <w:r>
              <w:rPr>
                <w:rFonts w:ascii="Arial" w:cs="Arial" w:eastAsia="Arial" w:hAnsi="Arial"/>
                <w:sz w:val="11"/>
                <w:szCs w:val="11"/>
                <w:color w:val="auto"/>
              </w:rPr>
              <w:t>stock</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786,535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ind w:right="7"/>
              <w:spacing w:after="0"/>
              <w:rPr>
                <w:sz w:val="20"/>
                <w:szCs w:val="20"/>
                <w:color w:val="auto"/>
              </w:rPr>
            </w:pPr>
            <w:r>
              <w:rPr>
                <w:rFonts w:ascii="Arial" w:cs="Arial" w:eastAsia="Arial" w:hAnsi="Arial"/>
                <w:sz w:val="11"/>
                <w:szCs w:val="11"/>
                <w:color w:val="auto"/>
              </w:rPr>
              <w:t>74</w:t>
            </w:r>
          </w:p>
        </w:tc>
        <w:tc>
          <w:tcPr>
            <w:tcW w:w="0" w:type="dxa"/>
            <w:vAlign w:val="bottom"/>
          </w:tcPr>
          <w:p>
            <w:pPr>
              <w:spacing w:after="0"/>
              <w:rPr>
                <w:sz w:val="1"/>
                <w:szCs w:val="1"/>
                <w:color w:val="auto"/>
              </w:rPr>
            </w:pPr>
          </w:p>
        </w:tc>
      </w:tr>
      <w:tr>
        <w:trPr>
          <w:trHeight w:val="22"/>
        </w:trPr>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Exercise of stock</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options</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448,083</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701</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701</w:t>
            </w:r>
          </w:p>
        </w:tc>
        <w:tc>
          <w:tcPr>
            <w:tcW w:w="0" w:type="dxa"/>
            <w:vAlign w:val="bottom"/>
          </w:tcPr>
          <w:p>
            <w:pPr>
              <w:spacing w:after="0"/>
              <w:rPr>
                <w:sz w:val="1"/>
                <w:szCs w:val="1"/>
                <w:color w:val="auto"/>
              </w:rPr>
            </w:pPr>
          </w:p>
        </w:tc>
      </w:tr>
      <w:tr>
        <w:trPr>
          <w:trHeight w:val="139"/>
        </w:trPr>
        <w:tc>
          <w:tcPr>
            <w:tcW w:w="960" w:type="dxa"/>
            <w:vAlign w:val="bottom"/>
          </w:tcPr>
          <w:p>
            <w:pPr>
              <w:ind w:left="20"/>
              <w:spacing w:after="0"/>
              <w:rPr>
                <w:sz w:val="20"/>
                <w:szCs w:val="20"/>
                <w:color w:val="auto"/>
              </w:rPr>
            </w:pPr>
            <w:r>
              <w:rPr>
                <w:rFonts w:ascii="Arial" w:cs="Arial" w:eastAsia="Arial" w:hAnsi="Arial"/>
                <w:sz w:val="11"/>
                <w:szCs w:val="11"/>
                <w:color w:val="auto"/>
              </w:rPr>
              <w:t>Stock-based</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960" w:type="dxa"/>
            <w:vAlign w:val="bottom"/>
          </w:tcPr>
          <w:p>
            <w:pPr>
              <w:ind w:left="180"/>
              <w:spacing w:after="0"/>
              <w:rPr>
                <w:sz w:val="20"/>
                <w:szCs w:val="20"/>
                <w:color w:val="auto"/>
              </w:rPr>
            </w:pPr>
            <w:r>
              <w:rPr>
                <w:rFonts w:ascii="Arial" w:cs="Arial" w:eastAsia="Arial" w:hAnsi="Arial"/>
                <w:sz w:val="11"/>
                <w:szCs w:val="11"/>
                <w:color w:val="auto"/>
              </w:rPr>
              <w:t>compensation</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2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6,640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ind w:right="7"/>
              <w:spacing w:after="0"/>
              <w:rPr>
                <w:sz w:val="20"/>
                <w:szCs w:val="20"/>
                <w:color w:val="auto"/>
              </w:rPr>
            </w:pPr>
            <w:r>
              <w:rPr>
                <w:rFonts w:ascii="Arial" w:cs="Arial" w:eastAsia="Arial" w:hAnsi="Arial"/>
                <w:sz w:val="11"/>
                <w:szCs w:val="11"/>
                <w:color w:val="auto"/>
              </w:rPr>
              <w:t>6,640</w:t>
            </w:r>
          </w:p>
        </w:tc>
        <w:tc>
          <w:tcPr>
            <w:tcW w:w="0" w:type="dxa"/>
            <w:vAlign w:val="bottom"/>
          </w:tcPr>
          <w:p>
            <w:pPr>
              <w:spacing w:after="0"/>
              <w:rPr>
                <w:sz w:val="1"/>
                <w:szCs w:val="1"/>
                <w:color w:val="auto"/>
              </w:rPr>
            </w:pPr>
          </w:p>
        </w:tc>
      </w:tr>
      <w:tr>
        <w:trPr>
          <w:trHeight w:val="22"/>
        </w:trPr>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96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comprehensive</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gain</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284</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284</w:t>
            </w:r>
          </w:p>
        </w:tc>
        <w:tc>
          <w:tcPr>
            <w:tcW w:w="0" w:type="dxa"/>
            <w:vAlign w:val="bottom"/>
          </w:tcPr>
          <w:p>
            <w:pPr>
              <w:spacing w:after="0"/>
              <w:rPr>
                <w:sz w:val="1"/>
                <w:szCs w:val="1"/>
                <w:color w:val="auto"/>
              </w:rPr>
            </w:pPr>
          </w:p>
        </w:tc>
      </w:tr>
      <w:tr>
        <w:trPr>
          <w:trHeight w:val="153"/>
        </w:trPr>
        <w:tc>
          <w:tcPr>
            <w:tcW w:w="960" w:type="dxa"/>
            <w:vAlign w:val="bottom"/>
          </w:tcPr>
          <w:p>
            <w:pPr>
              <w:ind w:left="20"/>
              <w:spacing w:after="0"/>
              <w:rPr>
                <w:sz w:val="20"/>
                <w:szCs w:val="20"/>
                <w:color w:val="auto"/>
              </w:rPr>
            </w:pPr>
            <w:r>
              <w:rPr>
                <w:rFonts w:ascii="Arial" w:cs="Arial" w:eastAsia="Arial" w:hAnsi="Arial"/>
                <w:sz w:val="11"/>
                <w:szCs w:val="11"/>
                <w:color w:val="auto"/>
              </w:rPr>
              <w:t>Net loss</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2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(118,115)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(118,115)</w:t>
            </w:r>
          </w:p>
        </w:tc>
        <w:tc>
          <w:tcPr>
            <w:tcW w:w="0" w:type="dxa"/>
            <w:vAlign w:val="bottom"/>
          </w:tcPr>
          <w:p>
            <w:pPr>
              <w:spacing w:after="0"/>
              <w:rPr>
                <w:sz w:val="1"/>
                <w:szCs w:val="1"/>
                <w:color w:val="auto"/>
              </w:rPr>
            </w:pPr>
          </w:p>
        </w:tc>
      </w:tr>
      <w:tr>
        <w:trPr>
          <w:trHeight w:val="22"/>
        </w:trPr>
        <w:tc>
          <w:tcPr>
            <w:tcW w:w="9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9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BALANCE–June</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0"/>
              </w:rPr>
              <w:t>40,089,513</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87"/>
              </w:rPr>
              <w:t>9,763</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7"/>
              </w:rPr>
              <w:t>23,840,816</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3"/>
              </w:rPr>
              <w:t>$ 20,049</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0"/>
              </w:rPr>
              <w:t>29,070,700</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w w:val="88"/>
              </w:rPr>
              <w:t>$ 80,519</w:t>
            </w:r>
          </w:p>
        </w:tc>
        <w:tc>
          <w:tcPr>
            <w:tcW w:w="4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94"/>
              </w:rPr>
              <w:t>63,470,884</w:t>
            </w: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w w:val="85"/>
              </w:rPr>
              <w:t>$ 257,951</w:t>
            </w: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88"/>
              </w:rPr>
              <w:t>157,952,523</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85"/>
              </w:rPr>
              <w:t>$ 1,013,220</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94"/>
              </w:rPr>
              <w:t>84,983,061</w:t>
            </w:r>
          </w:p>
        </w:tc>
        <w:tc>
          <w:tcPr>
            <w:tcW w:w="8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6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4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64,777</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(908,598)</w:t>
            </w:r>
          </w:p>
        </w:tc>
        <w:tc>
          <w:tcPr>
            <w:tcW w:w="8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87"/>
              <w:spacing w:after="0"/>
              <w:rPr>
                <w:sz w:val="20"/>
                <w:szCs w:val="20"/>
                <w:color w:val="auto"/>
              </w:rPr>
            </w:pPr>
            <w:r>
              <w:rPr>
                <w:rFonts w:ascii="Arial" w:cs="Arial" w:eastAsia="Arial" w:hAnsi="Arial"/>
                <w:sz w:val="11"/>
                <w:szCs w:val="11"/>
                <w:color w:val="auto"/>
                <w:w w:val="97"/>
              </w:rPr>
              <w:t>$</w:t>
            </w: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302</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(843,519)</w:t>
            </w:r>
          </w:p>
        </w:tc>
        <w:tc>
          <w:tcPr>
            <w:tcW w:w="0" w:type="dxa"/>
            <w:vAlign w:val="bottom"/>
          </w:tcPr>
          <w:p>
            <w:pPr>
              <w:spacing w:after="0"/>
              <w:rPr>
                <w:sz w:val="1"/>
                <w:szCs w:val="1"/>
                <w:color w:val="auto"/>
              </w:rPr>
            </w:pPr>
          </w:p>
        </w:tc>
      </w:tr>
      <w:tr>
        <w:trPr>
          <w:trHeight w:val="151"/>
        </w:trPr>
        <w:tc>
          <w:tcPr>
            <w:tcW w:w="9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30, 2020</w:t>
            </w:r>
          </w:p>
        </w:tc>
        <w:tc>
          <w:tcPr>
            <w:tcW w:w="5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vMerge w:val="continue"/>
            <w:shd w:val="clear" w:color="auto" w:fill="CCEEFF"/>
          </w:tcPr>
          <w:p>
            <w:pPr>
              <w:spacing w:after="0"/>
              <w:rPr>
                <w:sz w:val="13"/>
                <w:szCs w:val="13"/>
                <w:color w:val="auto"/>
              </w:rPr>
            </w:pPr>
          </w:p>
        </w:tc>
        <w:tc>
          <w:tcPr>
            <w:tcW w:w="26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(In </w:t>
      </w:r>
      <w:r>
        <w:rPr>
          <w:rFonts w:ascii="Arial" w:cs="Arial" w:eastAsia="Arial" w:hAnsi="Arial"/>
          <w:sz w:val="17"/>
          <w:szCs w:val="17"/>
          <w:color w:val="auto"/>
        </w:rPr>
        <w:t>t</w:t>
      </w:r>
      <w:r>
        <w:rPr>
          <w:rFonts w:ascii="Arial" w:cs="Arial" w:eastAsia="Arial" w:hAnsi="Arial"/>
          <w:sz w:val="16"/>
          <w:szCs w:val="16"/>
          <w:color w:val="auto"/>
        </w:rPr>
        <w:t>housands)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12"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Six Months Ended</w:t>
      </w:r>
    </w:p>
    <w:p>
      <w:pPr>
        <w:spacing w:after="0" w:line="17"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22225</wp:posOffset>
            </wp:positionV>
            <wp:extent cx="18084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26"/>
        </w:trPr>
        <w:tc>
          <w:tcPr>
            <w:tcW w:w="8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6"/>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90"/>
        </w:trPr>
        <w:tc>
          <w:tcPr>
            <w:tcW w:w="8400" w:type="dxa"/>
            <w:vAlign w:val="bottom"/>
          </w:tcPr>
          <w:p>
            <w:pPr>
              <w:ind w:left="360"/>
              <w:spacing w:after="0"/>
              <w:rPr>
                <w:sz w:val="20"/>
                <w:szCs w:val="20"/>
                <w:color w:val="auto"/>
              </w:rPr>
            </w:pPr>
            <w:r>
              <w:rPr>
                <w:rFonts w:ascii="Arial" w:cs="Arial" w:eastAsia="Arial" w:hAnsi="Arial"/>
                <w:sz w:val="14"/>
                <w:szCs w:val="14"/>
                <w:color w:val="auto"/>
              </w:rPr>
              <w:t>Net loss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(414,241)</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(118,115)</w:t>
            </w:r>
          </w:p>
        </w:tc>
      </w:tr>
      <w:tr>
        <w:trPr>
          <w:trHeight w:val="26"/>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Adjustments to reconcile net loss to cash, cash equivalents, and restricted cash (used in) provided by operating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90"/>
        </w:trPr>
        <w:tc>
          <w:tcPr>
            <w:tcW w:w="8400" w:type="dxa"/>
            <w:vAlign w:val="bottom"/>
          </w:tcPr>
          <w:p>
            <w:pPr>
              <w:ind w:left="520"/>
              <w:spacing w:after="0"/>
              <w:rPr>
                <w:sz w:val="20"/>
                <w:szCs w:val="20"/>
                <w:color w:val="auto"/>
              </w:rPr>
            </w:pPr>
            <w:r>
              <w:rPr>
                <w:rFonts w:ascii="Arial" w:cs="Arial" w:eastAsia="Arial" w:hAnsi="Arial"/>
                <w:sz w:val="14"/>
                <w:szCs w:val="14"/>
                <w:color w:val="auto"/>
              </w:rPr>
              <w:t>Depreciation and amortization – net of accretion</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16,608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20,065</w:t>
            </w:r>
          </w:p>
        </w:tc>
      </w:tr>
      <w:tr>
        <w:trPr>
          <w:trHeight w:val="26"/>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Amortization of right of use asset</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4,260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8,712</w:t>
            </w:r>
          </w:p>
        </w:tc>
      </w:tr>
      <w:tr>
        <w:trPr>
          <w:trHeight w:val="190"/>
        </w:trPr>
        <w:tc>
          <w:tcPr>
            <w:tcW w:w="8400" w:type="dxa"/>
            <w:vAlign w:val="bottom"/>
          </w:tcPr>
          <w:p>
            <w:pPr>
              <w:ind w:left="520"/>
              <w:spacing w:after="0"/>
              <w:rPr>
                <w:sz w:val="20"/>
                <w:szCs w:val="20"/>
                <w:color w:val="auto"/>
              </w:rPr>
            </w:pPr>
            <w:r>
              <w:rPr>
                <w:rFonts w:ascii="Arial" w:cs="Arial" w:eastAsia="Arial" w:hAnsi="Arial"/>
                <w:sz w:val="14"/>
                <w:szCs w:val="14"/>
                <w:color w:val="auto"/>
              </w:rPr>
              <w:t>Impairment of software development costs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2,515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Stock-based compensation</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403,048</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6,640</w:t>
            </w:r>
          </w:p>
        </w:tc>
      </w:tr>
      <w:tr>
        <w:trPr>
          <w:trHeight w:val="190"/>
        </w:trPr>
        <w:tc>
          <w:tcPr>
            <w:tcW w:w="8400" w:type="dxa"/>
            <w:vAlign w:val="bottom"/>
          </w:tcPr>
          <w:p>
            <w:pPr>
              <w:ind w:left="520"/>
              <w:spacing w:after="0"/>
              <w:rPr>
                <w:sz w:val="20"/>
                <w:szCs w:val="20"/>
                <w:color w:val="auto"/>
              </w:rPr>
            </w:pPr>
            <w:r>
              <w:rPr>
                <w:rFonts w:ascii="Arial" w:cs="Arial" w:eastAsia="Arial" w:hAnsi="Arial"/>
                <w:sz w:val="14"/>
                <w:szCs w:val="14"/>
                <w:color w:val="auto"/>
              </w:rPr>
              <w:t>Derivative and warrant fair value adjustment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(8,680)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890</w:t>
            </w:r>
          </w:p>
        </w:tc>
      </w:tr>
      <w:tr>
        <w:trPr>
          <w:trHeight w:val="26"/>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Gain on settlement of lease liabilities</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(5,237)</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8400" w:type="dxa"/>
            <w:vAlign w:val="bottom"/>
          </w:tcPr>
          <w:p>
            <w:pPr>
              <w:ind w:left="520"/>
              <w:spacing w:after="0"/>
              <w:rPr>
                <w:sz w:val="20"/>
                <w:szCs w:val="20"/>
                <w:color w:val="auto"/>
              </w:rPr>
            </w:pPr>
            <w:r>
              <w:rPr>
                <w:rFonts w:ascii="Arial" w:cs="Arial" w:eastAsia="Arial" w:hAnsi="Arial"/>
                <w:sz w:val="14"/>
                <w:szCs w:val="14"/>
                <w:color w:val="auto"/>
              </w:rPr>
              <w:t>Inventory valuation adjustment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942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7,452</w:t>
            </w:r>
          </w:p>
        </w:tc>
      </w:tr>
      <w:tr>
        <w:trPr>
          <w:trHeight w:val="26"/>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Changes in fair value of derivative instruments</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(527)</w:t>
            </w:r>
          </w:p>
        </w:tc>
      </w:tr>
      <w:tr>
        <w:trPr>
          <w:trHeight w:val="190"/>
        </w:trPr>
        <w:tc>
          <w:tcPr>
            <w:tcW w:w="8400" w:type="dxa"/>
            <w:vAlign w:val="bottom"/>
          </w:tcPr>
          <w:p>
            <w:pPr>
              <w:ind w:left="520"/>
              <w:spacing w:after="0"/>
              <w:rPr>
                <w:sz w:val="20"/>
                <w:szCs w:val="20"/>
                <w:color w:val="auto"/>
              </w:rPr>
            </w:pPr>
            <w:r>
              <w:rPr>
                <w:rFonts w:ascii="Arial" w:cs="Arial" w:eastAsia="Arial" w:hAnsi="Arial"/>
                <w:sz w:val="14"/>
                <w:szCs w:val="14"/>
                <w:color w:val="auto"/>
              </w:rPr>
              <w:t>Payment-in-kind interest</w:t>
            </w:r>
          </w:p>
        </w:tc>
        <w:tc>
          <w:tcPr>
            <w:tcW w:w="3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2,704</w:t>
            </w:r>
          </w:p>
        </w:tc>
      </w:tr>
      <w:tr>
        <w:trPr>
          <w:trHeight w:val="26"/>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Dividend-in-kind</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8400" w:type="dxa"/>
            <w:vAlign w:val="bottom"/>
          </w:tcPr>
          <w:p>
            <w:pPr>
              <w:ind w:left="520"/>
              <w:spacing w:after="0"/>
              <w:rPr>
                <w:sz w:val="20"/>
                <w:szCs w:val="20"/>
                <w:color w:val="auto"/>
              </w:rPr>
            </w:pPr>
            <w:r>
              <w:rPr>
                <w:rFonts w:ascii="Arial" w:cs="Arial" w:eastAsia="Arial" w:hAnsi="Arial"/>
                <w:sz w:val="14"/>
                <w:szCs w:val="14"/>
                <w:color w:val="auto"/>
              </w:rPr>
              <w:t>Net fair value adjustments and gain (loss) on sale of mortgage loans held for sale</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(2,032)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(829)</w:t>
            </w:r>
          </w:p>
        </w:tc>
      </w:tr>
      <w:tr>
        <w:trPr>
          <w:trHeight w:val="26"/>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Origination of mortgage loans held for sale</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(83,360)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(42,636)</w:t>
            </w:r>
          </w:p>
        </w:tc>
      </w:tr>
      <w:tr>
        <w:trPr>
          <w:trHeight w:val="191"/>
        </w:trPr>
        <w:tc>
          <w:tcPr>
            <w:tcW w:w="8400" w:type="dxa"/>
            <w:vAlign w:val="bottom"/>
          </w:tcPr>
          <w:p>
            <w:pPr>
              <w:ind w:left="360"/>
              <w:spacing w:after="0"/>
              <w:rPr>
                <w:sz w:val="20"/>
                <w:szCs w:val="20"/>
                <w:color w:val="auto"/>
              </w:rPr>
            </w:pPr>
            <w:r>
              <w:rPr>
                <w:rFonts w:ascii="Arial" w:cs="Arial" w:eastAsia="Arial" w:hAnsi="Arial"/>
                <w:sz w:val="14"/>
                <w:szCs w:val="14"/>
                <w:color w:val="auto"/>
              </w:rPr>
              <w:t>Proceeds from sale and principal collections of mortgage loans held for sale</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67,566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34,397</w:t>
            </w:r>
          </w:p>
        </w:tc>
      </w:tr>
      <w:tr>
        <w:trPr>
          <w:trHeight w:val="26"/>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Changes in operating assets and liabilities:</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90"/>
        </w:trPr>
        <w:tc>
          <w:tcPr>
            <w:tcW w:w="8400" w:type="dxa"/>
            <w:vAlign w:val="bottom"/>
          </w:tcPr>
          <w:p>
            <w:pPr>
              <w:ind w:left="520"/>
              <w:spacing w:after="0"/>
              <w:rPr>
                <w:sz w:val="20"/>
                <w:szCs w:val="20"/>
                <w:color w:val="auto"/>
              </w:rPr>
            </w:pPr>
            <w:r>
              <w:rPr>
                <w:rFonts w:ascii="Arial" w:cs="Arial" w:eastAsia="Arial" w:hAnsi="Arial"/>
                <w:sz w:val="14"/>
                <w:szCs w:val="14"/>
                <w:color w:val="auto"/>
              </w:rPr>
              <w:t>Escrow receivable</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(31,354)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4,178</w:t>
            </w:r>
          </w:p>
        </w:tc>
      </w:tr>
      <w:tr>
        <w:trPr>
          <w:trHeight w:val="26"/>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Real estate inventories</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(2,249,488)</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1,035,088</w:t>
            </w:r>
          </w:p>
        </w:tc>
      </w:tr>
      <w:tr>
        <w:trPr>
          <w:trHeight w:val="191"/>
        </w:trPr>
        <w:tc>
          <w:tcPr>
            <w:tcW w:w="8400" w:type="dxa"/>
            <w:vAlign w:val="bottom"/>
          </w:tcPr>
          <w:p>
            <w:pPr>
              <w:ind w:left="520"/>
              <w:spacing w:after="0"/>
              <w:rPr>
                <w:sz w:val="20"/>
                <w:szCs w:val="20"/>
                <w:color w:val="auto"/>
              </w:rPr>
            </w:pPr>
            <w:r>
              <w:rPr>
                <w:rFonts w:ascii="Arial" w:cs="Arial" w:eastAsia="Arial" w:hAnsi="Arial"/>
                <w:sz w:val="14"/>
                <w:szCs w:val="14"/>
                <w:color w:val="auto"/>
              </w:rPr>
              <w:t>Other assets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(37,057)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10,809</w:t>
            </w:r>
          </w:p>
        </w:tc>
      </w:tr>
      <w:tr>
        <w:trPr>
          <w:trHeight w:val="25"/>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Accounts payable and other accrued liabilities</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34,569</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(8,881)</w:t>
            </w:r>
          </w:p>
        </w:tc>
      </w:tr>
      <w:tr>
        <w:trPr>
          <w:trHeight w:val="190"/>
        </w:trPr>
        <w:tc>
          <w:tcPr>
            <w:tcW w:w="8400" w:type="dxa"/>
            <w:vAlign w:val="bottom"/>
          </w:tcPr>
          <w:p>
            <w:pPr>
              <w:ind w:left="520"/>
              <w:spacing w:after="0"/>
              <w:rPr>
                <w:sz w:val="20"/>
                <w:szCs w:val="20"/>
                <w:color w:val="auto"/>
              </w:rPr>
            </w:pPr>
            <w:r>
              <w:rPr>
                <w:rFonts w:ascii="Arial" w:cs="Arial" w:eastAsia="Arial" w:hAnsi="Arial"/>
                <w:sz w:val="14"/>
                <w:szCs w:val="14"/>
                <w:color w:val="auto"/>
              </w:rPr>
              <w:t>Interest payable</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(3,044)</w:t>
            </w:r>
          </w:p>
        </w:tc>
      </w:tr>
      <w:tr>
        <w:trPr>
          <w:trHeight w:val="25"/>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8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Lease liabilities</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(9,968)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(6,556)</w:t>
            </w:r>
          </w:p>
        </w:tc>
      </w:tr>
      <w:tr>
        <w:trPr>
          <w:trHeight w:val="184"/>
        </w:trPr>
        <w:tc>
          <w:tcPr>
            <w:tcW w:w="8400" w:type="dxa"/>
            <w:vAlign w:val="bottom"/>
          </w:tcPr>
          <w:p>
            <w:pPr>
              <w:ind w:left="680"/>
              <w:spacing w:after="0"/>
              <w:rPr>
                <w:sz w:val="20"/>
                <w:szCs w:val="20"/>
                <w:color w:val="auto"/>
              </w:rPr>
            </w:pPr>
            <w:r>
              <w:rPr>
                <w:rFonts w:ascii="Arial" w:cs="Arial" w:eastAsia="Arial" w:hAnsi="Arial"/>
                <w:sz w:val="14"/>
                <w:szCs w:val="14"/>
                <w:color w:val="auto"/>
              </w:rPr>
              <w:t>Net cash (used in) provided by operating activities</w:t>
            </w: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(2,312,108)</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950,347</w:t>
            </w:r>
          </w:p>
        </w:tc>
      </w:tr>
      <w:tr>
        <w:trPr>
          <w:trHeight w:val="25"/>
        </w:trPr>
        <w:tc>
          <w:tcPr>
            <w:tcW w:w="8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6"/>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90"/>
        </w:trPr>
        <w:tc>
          <w:tcPr>
            <w:tcW w:w="8400" w:type="dxa"/>
            <w:vAlign w:val="bottom"/>
          </w:tcPr>
          <w:p>
            <w:pPr>
              <w:ind w:left="360"/>
              <w:spacing w:after="0"/>
              <w:rPr>
                <w:sz w:val="20"/>
                <w:szCs w:val="20"/>
                <w:color w:val="auto"/>
              </w:rPr>
            </w:pPr>
            <w:r>
              <w:rPr>
                <w:rFonts w:ascii="Arial" w:cs="Arial" w:eastAsia="Arial" w:hAnsi="Arial"/>
                <w:sz w:val="14"/>
                <w:szCs w:val="14"/>
                <w:color w:val="auto"/>
              </w:rPr>
              <w:t>Purchase of property and equipment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(10,957)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(10,753)</w:t>
            </w:r>
          </w:p>
        </w:tc>
      </w:tr>
      <w:tr>
        <w:trPr>
          <w:trHeight w:val="25"/>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Purchase of intangible assets</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8400" w:type="dxa"/>
            <w:vAlign w:val="bottom"/>
          </w:tcPr>
          <w:p>
            <w:pPr>
              <w:ind w:left="360"/>
              <w:spacing w:after="0"/>
              <w:rPr>
                <w:sz w:val="20"/>
                <w:szCs w:val="20"/>
                <w:color w:val="auto"/>
              </w:rPr>
            </w:pPr>
            <w:r>
              <w:rPr>
                <w:rFonts w:ascii="Arial" w:cs="Arial" w:eastAsia="Arial" w:hAnsi="Arial"/>
                <w:sz w:val="14"/>
                <w:szCs w:val="14"/>
                <w:color w:val="auto"/>
              </w:rPr>
              <w:t>Purchase of marketable securities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(238,464)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(113,833)</w:t>
            </w:r>
          </w:p>
        </w:tc>
      </w:tr>
      <w:tr>
        <w:trPr>
          <w:trHeight w:val="25"/>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Proceeds from sales, maturities, redemptions and paydowns of marketable securities</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85,638</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55,666</w:t>
            </w:r>
          </w:p>
        </w:tc>
      </w:tr>
      <w:tr>
        <w:trPr>
          <w:trHeight w:val="191"/>
        </w:trPr>
        <w:tc>
          <w:tcPr>
            <w:tcW w:w="8400" w:type="dxa"/>
            <w:vAlign w:val="bottom"/>
          </w:tcPr>
          <w:p>
            <w:pPr>
              <w:ind w:left="360"/>
              <w:spacing w:after="0"/>
              <w:rPr>
                <w:sz w:val="20"/>
                <w:szCs w:val="20"/>
                <w:color w:val="auto"/>
              </w:rPr>
            </w:pPr>
            <w:r>
              <w:rPr>
                <w:rFonts w:ascii="Arial" w:cs="Arial" w:eastAsia="Arial" w:hAnsi="Arial"/>
                <w:sz w:val="14"/>
                <w:szCs w:val="14"/>
                <w:color w:val="auto"/>
              </w:rPr>
              <w:t>Purchase of non-marketable equity securities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84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(174,023)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(68,920)</w:t>
            </w:r>
          </w:p>
        </w:tc>
      </w:tr>
      <w:tr>
        <w:trPr>
          <w:trHeight w:val="171"/>
        </w:trPr>
        <w:tc>
          <w:tcPr>
            <w:tcW w:w="840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r>
      <w:tr>
        <w:trPr>
          <w:trHeight w:val="25"/>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Proceeds from exercise of stock options</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6,739</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688</w:t>
            </w:r>
          </w:p>
        </w:tc>
      </w:tr>
      <w:tr>
        <w:trPr>
          <w:trHeight w:val="191"/>
        </w:trPr>
        <w:tc>
          <w:tcPr>
            <w:tcW w:w="8400" w:type="dxa"/>
            <w:vAlign w:val="bottom"/>
          </w:tcPr>
          <w:p>
            <w:pPr>
              <w:ind w:left="360"/>
              <w:spacing w:after="0"/>
              <w:rPr>
                <w:sz w:val="20"/>
                <w:szCs w:val="20"/>
                <w:color w:val="auto"/>
              </w:rPr>
            </w:pPr>
            <w:r>
              <w:rPr>
                <w:rFonts w:ascii="Arial" w:cs="Arial" w:eastAsia="Arial" w:hAnsi="Arial"/>
                <w:sz w:val="14"/>
                <w:szCs w:val="14"/>
                <w:color w:val="auto"/>
              </w:rPr>
              <w:t>Proceeds from warrant exercise</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Proceeds from the February 2021 Offering</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886,067</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8400" w:type="dxa"/>
            <w:vAlign w:val="bottom"/>
          </w:tcPr>
          <w:p>
            <w:pPr>
              <w:ind w:left="360"/>
              <w:spacing w:after="0"/>
              <w:rPr>
                <w:sz w:val="20"/>
                <w:szCs w:val="20"/>
                <w:color w:val="auto"/>
              </w:rPr>
            </w:pPr>
            <w:r>
              <w:rPr>
                <w:rFonts w:ascii="Arial" w:cs="Arial" w:eastAsia="Arial" w:hAnsi="Arial"/>
                <w:sz w:val="14"/>
                <w:szCs w:val="14"/>
                <w:color w:val="auto"/>
              </w:rPr>
              <w:t>Issuance cost of common stock</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(28,876)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Proceeds from credit facilities and other secured borrowings</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3,241,692</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824,597</w:t>
            </w:r>
          </w:p>
        </w:tc>
      </w:tr>
      <w:tr>
        <w:trPr>
          <w:trHeight w:val="190"/>
        </w:trPr>
        <w:tc>
          <w:tcPr>
            <w:tcW w:w="8400" w:type="dxa"/>
            <w:vAlign w:val="bottom"/>
          </w:tcPr>
          <w:p>
            <w:pPr>
              <w:ind w:left="360"/>
              <w:spacing w:after="0"/>
              <w:rPr>
                <w:sz w:val="20"/>
                <w:szCs w:val="20"/>
                <w:color w:val="auto"/>
              </w:rPr>
            </w:pPr>
            <w:r>
              <w:rPr>
                <w:rFonts w:ascii="Arial" w:cs="Arial" w:eastAsia="Arial" w:hAnsi="Arial"/>
                <w:sz w:val="14"/>
                <w:szCs w:val="14"/>
                <w:color w:val="auto"/>
              </w:rPr>
              <w:t>Principal payments on credit facilities and other secured borrowings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(1,438,136)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(1,723,443)</w:t>
            </w:r>
          </w:p>
        </w:tc>
      </w:tr>
      <w:tr>
        <w:trPr>
          <w:trHeight w:val="25"/>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Payment of loan origination fees and debt issuance costs</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(2,386)</w:t>
            </w:r>
          </w:p>
        </w:tc>
      </w:tr>
      <w:tr>
        <w:trPr>
          <w:trHeight w:val="184"/>
        </w:trPr>
        <w:tc>
          <w:tcPr>
            <w:tcW w:w="8400" w:type="dxa"/>
            <w:vAlign w:val="bottom"/>
          </w:tcPr>
          <w:p>
            <w:pPr>
              <w:ind w:left="680"/>
              <w:spacing w:after="0"/>
              <w:rPr>
                <w:sz w:val="20"/>
                <w:szCs w:val="20"/>
                <w:color w:val="auto"/>
              </w:rPr>
            </w:pPr>
            <w:r>
              <w:rPr>
                <w:rFonts w:ascii="Arial" w:cs="Arial" w:eastAsia="Arial" w:hAnsi="Arial"/>
                <w:sz w:val="14"/>
                <w:szCs w:val="14"/>
                <w:color w:val="auto"/>
              </w:rPr>
              <w:t>Net cash provided by (used in) financing activities</w:t>
            </w: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2,670,070</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(900,544)</w:t>
            </w:r>
          </w:p>
        </w:tc>
      </w:tr>
      <w:tr>
        <w:trPr>
          <w:trHeight w:val="25"/>
        </w:trPr>
        <w:tc>
          <w:tcPr>
            <w:tcW w:w="8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183,939</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(19,117)</w:t>
            </w:r>
          </w:p>
        </w:tc>
      </w:tr>
      <w:tr>
        <w:trPr>
          <w:trHeight w:val="190"/>
        </w:trPr>
        <w:tc>
          <w:tcPr>
            <w:tcW w:w="8400" w:type="dxa"/>
            <w:vAlign w:val="bottom"/>
          </w:tcPr>
          <w:p>
            <w:pPr>
              <w:ind w:left="180"/>
              <w:spacing w:after="0"/>
              <w:rPr>
                <w:sz w:val="20"/>
                <w:szCs w:val="20"/>
                <w:color w:val="auto"/>
              </w:rPr>
            </w:pPr>
            <w:r>
              <w:rPr>
                <w:rFonts w:ascii="Arial" w:cs="Arial" w:eastAsia="Arial" w:hAnsi="Arial"/>
                <w:sz w:val="14"/>
                <w:szCs w:val="14"/>
                <w:color w:val="auto"/>
              </w:rPr>
              <w:t>CASH, CASH EQUIVALENTS, AND RESTRICTED CASH – Beginning of period</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1,505,528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684,822</w:t>
            </w:r>
          </w:p>
        </w:tc>
      </w:tr>
      <w:tr>
        <w:trPr>
          <w:trHeight w:val="25"/>
        </w:trPr>
        <w:tc>
          <w:tcPr>
            <w:tcW w:w="8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5"/>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CASH EQUIVALENTS, AND RESTRICTED CASH – End of period</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1,689,467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665,705</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8400" w:type="dxa"/>
            <w:vAlign w:val="bottom"/>
          </w:tcPr>
          <w:p>
            <w:pPr>
              <w:ind w:left="180"/>
              <w:spacing w:after="0"/>
              <w:rPr>
                <w:sz w:val="20"/>
                <w:szCs w:val="20"/>
                <w:color w:val="auto"/>
              </w:rPr>
            </w:pPr>
            <w:r>
              <w:rPr>
                <w:rFonts w:ascii="Arial" w:cs="Arial" w:eastAsia="Arial" w:hAnsi="Arial"/>
                <w:sz w:val="14"/>
                <w:szCs w:val="14"/>
                <w:color w:val="auto"/>
              </w:rPr>
              <w:t>SUPPLEMENTAL DISCLOSURE OF CASH FLOW INFORMATION – Cash paid during the period for interest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20,526</w:t>
            </w:r>
          </w:p>
        </w:tc>
        <w:tc>
          <w:tcPr>
            <w:tcW w:w="12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40,333</w:t>
            </w:r>
          </w:p>
        </w:tc>
      </w:tr>
      <w:tr>
        <w:trPr>
          <w:trHeight w:val="25"/>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RECONCILIATION TO CONDENSED CONSOLIDATED BALANCE SHEETS:</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90"/>
        </w:trPr>
        <w:tc>
          <w:tcPr>
            <w:tcW w:w="8400" w:type="dxa"/>
            <w:vAlign w:val="bottom"/>
          </w:tcPr>
          <w:p>
            <w:pPr>
              <w:ind w:left="360"/>
              <w:spacing w:after="0"/>
              <w:rPr>
                <w:sz w:val="20"/>
                <w:szCs w:val="20"/>
                <w:color w:val="auto"/>
              </w:rPr>
            </w:pPr>
            <w:r>
              <w:rPr>
                <w:rFonts w:ascii="Arial" w:cs="Arial" w:eastAsia="Arial" w:hAnsi="Arial"/>
                <w:sz w:val="14"/>
                <w:szCs w:val="14"/>
                <w:color w:val="auto"/>
              </w:rPr>
              <w:t>Cash and cash equivalents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1,557,815</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458,058</w:t>
            </w:r>
          </w:p>
        </w:tc>
      </w:tr>
      <w:tr>
        <w:trPr>
          <w:trHeight w:val="25"/>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Restricted cash</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131,652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207,647</w:t>
            </w:r>
          </w:p>
        </w:tc>
      </w:tr>
      <w:tr>
        <w:trPr>
          <w:trHeight w:val="210"/>
        </w:trPr>
        <w:tc>
          <w:tcPr>
            <w:tcW w:w="8400" w:type="dxa"/>
            <w:vAlign w:val="bottom"/>
          </w:tcPr>
          <w:p>
            <w:pPr>
              <w:ind w:left="360"/>
              <w:spacing w:after="0"/>
              <w:rPr>
                <w:sz w:val="20"/>
                <w:szCs w:val="20"/>
                <w:color w:val="auto"/>
              </w:rPr>
            </w:pPr>
            <w:r>
              <w:rPr>
                <w:rFonts w:ascii="Arial" w:cs="Arial" w:eastAsia="Arial" w:hAnsi="Arial"/>
                <w:sz w:val="14"/>
                <w:szCs w:val="14"/>
                <w:color w:val="auto"/>
              </w:rPr>
              <w:t>Cash, cash equivalents, and restricted cash</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1,689,467</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665,705</w:t>
            </w:r>
          </w:p>
        </w:tc>
      </w:tr>
      <w:tr>
        <w:trPr>
          <w:trHeight w:val="20"/>
        </w:trPr>
        <w:tc>
          <w:tcPr>
            <w:tcW w:w="8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Opendoor Technologies Inc. (the “Company” and “Opendoor”) including its consolidated subsidiaries and certain variable interest entities (“VIEs”), is a leading digital platform for buying and selling homes. Opendoor streamlines the home selling and buying transaction and creates an end-to-end experience online. Since its inception through June 30, 2021, the Company had completed over 100,000 home transactions. As of June 30, 2021, the Company operated in 39 markets across the United States. The Company was incorporated in Delaware on December 30,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Correction of Prior Period Amounts</w:t>
      </w:r>
    </w:p>
    <w:p>
      <w:pPr>
        <w:spacing w:after="0" w:line="225" w:lineRule="exact"/>
        <w:rPr>
          <w:sz w:val="20"/>
          <w:szCs w:val="20"/>
          <w:color w:val="auto"/>
        </w:rPr>
      </w:pPr>
    </w:p>
    <w:p>
      <w:pPr>
        <w:ind w:right="580" w:firstLine="405"/>
        <w:spacing w:after="0" w:line="286" w:lineRule="auto"/>
        <w:rPr>
          <w:sz w:val="20"/>
          <w:szCs w:val="20"/>
          <w:color w:val="auto"/>
        </w:rPr>
      </w:pPr>
      <w:r>
        <w:rPr>
          <w:rFonts w:ascii="Arial" w:cs="Arial" w:eastAsia="Arial" w:hAnsi="Arial"/>
          <w:sz w:val="17"/>
          <w:szCs w:val="17"/>
          <w:color w:val="auto"/>
        </w:rPr>
        <w:t>On April 12, 2021, subsequent to the filing of the Company’s Annual Report on Form 10-K for the year ended December 31, 2020, the Acting Director of the Division of Corporation Finance and the Acting Chief Accountant of the SEC issued a Staff Statement (the “Staff Statement”) on Accounting and Reporting Considerations for Warrants Issued by Special Purpose Acquisition Companies (“SPACs”).</w:t>
      </w:r>
    </w:p>
    <w:p>
      <w:pPr>
        <w:spacing w:after="0" w:line="165" w:lineRule="exact"/>
        <w:rPr>
          <w:sz w:val="20"/>
          <w:szCs w:val="20"/>
          <w:color w:val="auto"/>
        </w:rPr>
      </w:pPr>
    </w:p>
    <w:p>
      <w:pPr>
        <w:jc w:val="both"/>
        <w:ind w:right="60" w:firstLine="405"/>
        <w:spacing w:after="0" w:line="287" w:lineRule="auto"/>
        <w:rPr>
          <w:sz w:val="20"/>
          <w:szCs w:val="20"/>
          <w:color w:val="auto"/>
        </w:rPr>
      </w:pPr>
      <w:r>
        <w:rPr>
          <w:rFonts w:ascii="Arial" w:cs="Arial" w:eastAsia="Arial" w:hAnsi="Arial"/>
          <w:sz w:val="16"/>
          <w:szCs w:val="16"/>
          <w:color w:val="auto"/>
        </w:rPr>
        <w:t xml:space="preserve">The Company took into consideration the guidance in the Staff Statement and Accounting Standards Codification 815-40, </w:t>
      </w:r>
      <w:r>
        <w:rPr>
          <w:rFonts w:ascii="Arial" w:cs="Arial" w:eastAsia="Arial" w:hAnsi="Arial"/>
          <w:sz w:val="16"/>
          <w:szCs w:val="16"/>
          <w:i w:val="1"/>
          <w:iCs w:val="1"/>
          <w:color w:val="auto"/>
        </w:rPr>
        <w:t xml:space="preserve">Derivatives and Hedging-Contracts in Entity’s Own Equity </w:t>
      </w:r>
      <w:r>
        <w:rPr>
          <w:rFonts w:ascii="Arial" w:cs="Arial" w:eastAsia="Arial" w:hAnsi="Arial"/>
          <w:sz w:val="16"/>
          <w:szCs w:val="16"/>
          <w:color w:val="auto"/>
        </w:rPr>
        <w:t>("ASC 815-40") and evaluated the Public and Sponsor Warrants (each as defined herein and collectively the "Warrants").</w:t>
      </w:r>
      <w:r>
        <w:rPr>
          <w:rFonts w:ascii="Arial" w:cs="Arial" w:eastAsia="Arial" w:hAnsi="Arial"/>
          <w:sz w:val="16"/>
          <w:szCs w:val="16"/>
          <w:i w:val="1"/>
          <w:iCs w:val="1"/>
          <w:color w:val="auto"/>
        </w:rPr>
        <w:t xml:space="preserve"> </w:t>
      </w:r>
      <w:r>
        <w:rPr>
          <w:rFonts w:ascii="Arial" w:cs="Arial" w:eastAsia="Arial" w:hAnsi="Arial"/>
          <w:sz w:val="16"/>
          <w:szCs w:val="16"/>
          <w:color w:val="auto"/>
        </w:rPr>
        <w:t>The Warrants were issued in a private placement simultaneously with the closing of the initial public offering of Social Capital Hedosophia Holdings Corp.</w:t>
      </w:r>
    </w:p>
    <w:p>
      <w:pPr>
        <w:spacing w:after="0" w:line="2" w:lineRule="exact"/>
        <w:rPr>
          <w:sz w:val="20"/>
          <w:szCs w:val="20"/>
          <w:color w:val="auto"/>
        </w:rPr>
      </w:pPr>
    </w:p>
    <w:p>
      <w:pPr>
        <w:ind w:right="40" w:firstLine="8"/>
        <w:spacing w:after="0" w:line="288" w:lineRule="auto"/>
        <w:tabs>
          <w:tab w:leader="none" w:pos="165" w:val="left"/>
        </w:tabs>
        <w:numPr>
          <w:ilvl w:val="0"/>
          <w:numId w:val="6"/>
        </w:numPr>
        <w:rPr>
          <w:rFonts w:ascii="Arial" w:cs="Arial" w:eastAsia="Arial" w:hAnsi="Arial"/>
          <w:sz w:val="16"/>
          <w:szCs w:val="16"/>
          <w:color w:val="auto"/>
        </w:rPr>
      </w:pPr>
      <w:r>
        <w:rPr>
          <w:rFonts w:ascii="Arial" w:cs="Arial" w:eastAsia="Arial" w:hAnsi="Arial"/>
          <w:sz w:val="16"/>
          <w:szCs w:val="16"/>
          <w:color w:val="auto"/>
        </w:rPr>
        <w:t>(“SCH”), assumed by the Company through the Business Combination (as defined herein) on December 18, 2020, and classified in shareholders' equity as of and for the year ended December 31, 2020. While the Company concluded the Public Warrants meet the criteria to continue to be classified in shareholders' equity, the Company concluded the Sponsor Warrants do not meet the scope exception from derivative accounting prescribed by ASC 815-40 and should therefore be recorded as a liability on the Company’s consolidated balance sheet at fair value as of the closing of the Business Combination, with subsequent changes in their fair value recognized in the Company’s condensed consolidated statement of operations at each reporting date. The accounting for the Sponsor Warrants does not impact the Company's financial statements in any reporting periods prior to the Business Combination, as the Company assumed the Warrants through the Business Combination which was accounted for as a reverse recapitalization.</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fair value of the Sponsor Warrants as of the Closing Date on December 18, 2020 and December 31, 2020 amounted to $81.1 million and</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$47.3 million, respectively. The change in fair value from the Closing Date through December 31, 2020 amounted to a gain of $33.8 million. The impact of the misstatement as of December 31, 2020 resulted in an understatement of the private warrants liability of $47.3 million, and an overstatement of accumulated deficit and additional paid-in capital of $33.8 million and $81.1 million respectively.</w:t>
      </w:r>
    </w:p>
    <w:p>
      <w:pPr>
        <w:spacing w:after="0" w:line="19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Company evaluated the impact of error related to the accounting treatment of Sponsor Warrants with respect to the Company’s Annual Report on Form 10-K for the year ended December 31, 2020 and determined, based on consideration of quantitative and qualitative factors, that the error had an immaterial impact, individually and in aggregate. As such, the Company corrected its accounting for Sponsor Warrants in its Quarterly Report on Form 10-Q for the quarters ended March 31, 2021 and June 30, 2021.</w:t>
      </w:r>
    </w:p>
    <w:p>
      <w:pPr>
        <w:spacing w:after="0" w:line="18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following table provides the impact of the correction on the Company's consolidated balance sheet as of December 31, 2020, as presented herein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Previously Stated</w:t>
            </w:r>
          </w:p>
        </w:tc>
        <w:tc>
          <w:tcPr>
            <w:tcW w:w="1460" w:type="dxa"/>
            <w:vAlign w:val="bottom"/>
            <w:gridSpan w:val="2"/>
          </w:tcPr>
          <w:p>
            <w:pPr>
              <w:ind w:left="280"/>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6"/>
                <w:szCs w:val="16"/>
                <w:color w:val="auto"/>
              </w:rPr>
            </w:pPr>
          </w:p>
        </w:tc>
        <w:tc>
          <w:tcPr>
            <w:tcW w:w="1180" w:type="dxa"/>
            <w:vAlign w:val="bottom"/>
          </w:tcPr>
          <w:p>
            <w:pPr>
              <w:jc w:val="right"/>
              <w:ind w:right="193"/>
              <w:spacing w:after="0"/>
              <w:rPr>
                <w:sz w:val="20"/>
                <w:szCs w:val="20"/>
                <w:color w:val="auto"/>
              </w:rPr>
            </w:pPr>
            <w:r>
              <w:rPr>
                <w:rFonts w:ascii="Arial" w:cs="Arial" w:eastAsia="Arial" w:hAnsi="Arial"/>
                <w:sz w:val="14"/>
                <w:szCs w:val="14"/>
                <w:b w:val="1"/>
                <w:bCs w:val="1"/>
                <w:color w:val="auto"/>
              </w:rPr>
              <w:t>As Corrected</w:t>
            </w:r>
          </w:p>
        </w:tc>
      </w:tr>
      <w:tr>
        <w:trPr>
          <w:trHeight w:val="25"/>
        </w:trPr>
        <w:tc>
          <w:tcPr>
            <w:tcW w:w="380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 liabilities</w:t>
            </w:r>
          </w:p>
        </w:tc>
        <w:tc>
          <w:tcPr>
            <w:tcW w:w="3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center"/>
              <w:ind w:left="653"/>
              <w:spacing w:after="0"/>
              <w:rPr>
                <w:sz w:val="20"/>
                <w:szCs w:val="20"/>
                <w:color w:val="auto"/>
              </w:rPr>
            </w:pPr>
            <w:r>
              <w:rPr>
                <w:rFonts w:ascii="Arial" w:cs="Arial" w:eastAsia="Arial" w:hAnsi="Arial"/>
                <w:sz w:val="18"/>
                <w:szCs w:val="18"/>
                <w:color w:val="auto"/>
                <w:w w:val="90"/>
              </w:rPr>
              <w:t>47,349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47,349</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3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575,575</w:t>
            </w:r>
          </w:p>
        </w:tc>
        <w:tc>
          <w:tcPr>
            <w:tcW w:w="100" w:type="dxa"/>
            <w:vAlign w:val="bottom"/>
          </w:tcPr>
          <w:p>
            <w:pPr>
              <w:spacing w:after="0"/>
              <w:rPr>
                <w:sz w:val="21"/>
                <w:szCs w:val="21"/>
                <w:color w:val="auto"/>
              </w:rPr>
            </w:pPr>
          </w:p>
        </w:tc>
        <w:tc>
          <w:tcPr>
            <w:tcW w:w="1360" w:type="dxa"/>
            <w:vAlign w:val="bottom"/>
          </w:tcPr>
          <w:p>
            <w:pPr>
              <w:jc w:val="center"/>
              <w:ind w:left="653"/>
              <w:spacing w:after="0"/>
              <w:rPr>
                <w:sz w:val="20"/>
                <w:szCs w:val="20"/>
                <w:color w:val="auto"/>
              </w:rPr>
            </w:pPr>
            <w:r>
              <w:rPr>
                <w:rFonts w:ascii="Arial" w:cs="Arial" w:eastAsia="Arial" w:hAnsi="Arial"/>
                <w:sz w:val="18"/>
                <w:szCs w:val="18"/>
                <w:b w:val="1"/>
                <w:bCs w:val="1"/>
                <w:color w:val="auto"/>
                <w:w w:val="90"/>
              </w:rPr>
              <w:t>47,349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622,924</w:t>
            </w:r>
          </w:p>
        </w:tc>
      </w:tr>
      <w:tr>
        <w:trPr>
          <w:trHeight w:val="27"/>
        </w:trPr>
        <w:tc>
          <w:tcPr>
            <w:tcW w:w="38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2,677,155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left="613"/>
              <w:spacing w:after="0"/>
              <w:rPr>
                <w:sz w:val="20"/>
                <w:szCs w:val="20"/>
                <w:color w:val="auto"/>
              </w:rPr>
            </w:pPr>
            <w:r>
              <w:rPr>
                <w:rFonts w:ascii="Arial" w:cs="Arial" w:eastAsia="Arial" w:hAnsi="Arial"/>
                <w:sz w:val="18"/>
                <w:szCs w:val="18"/>
                <w:color w:val="auto"/>
                <w:w w:val="92"/>
              </w:rPr>
              <w:t>(81,143)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2,596,012</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(1,077,243)</w:t>
            </w:r>
          </w:p>
        </w:tc>
        <w:tc>
          <w:tcPr>
            <w:tcW w:w="100" w:type="dxa"/>
            <w:vAlign w:val="bottom"/>
          </w:tcPr>
          <w:p>
            <w:pPr>
              <w:spacing w:after="0"/>
              <w:rPr>
                <w:sz w:val="21"/>
                <w:szCs w:val="21"/>
                <w:color w:val="auto"/>
              </w:rPr>
            </w:pPr>
          </w:p>
        </w:tc>
        <w:tc>
          <w:tcPr>
            <w:tcW w:w="1360" w:type="dxa"/>
            <w:vAlign w:val="bottom"/>
          </w:tcPr>
          <w:p>
            <w:pPr>
              <w:jc w:val="center"/>
              <w:ind w:left="653"/>
              <w:spacing w:after="0"/>
              <w:rPr>
                <w:sz w:val="20"/>
                <w:szCs w:val="20"/>
                <w:color w:val="auto"/>
              </w:rPr>
            </w:pPr>
            <w:r>
              <w:rPr>
                <w:rFonts w:ascii="Arial" w:cs="Arial" w:eastAsia="Arial" w:hAnsi="Arial"/>
                <w:sz w:val="18"/>
                <w:szCs w:val="18"/>
                <w:color w:val="auto"/>
                <w:w w:val="90"/>
              </w:rPr>
              <w:t>33,794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(1,043,449)</w:t>
            </w:r>
          </w:p>
        </w:tc>
      </w:tr>
      <w:tr>
        <w:trPr>
          <w:trHeight w:val="27"/>
        </w:trPr>
        <w:tc>
          <w:tcPr>
            <w:tcW w:w="38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3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1,600,007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left="613"/>
              <w:spacing w:after="0"/>
              <w:rPr>
                <w:sz w:val="20"/>
                <w:szCs w:val="20"/>
                <w:color w:val="auto"/>
              </w:rPr>
            </w:pPr>
            <w:r>
              <w:rPr>
                <w:rFonts w:ascii="Arial" w:cs="Arial" w:eastAsia="Arial" w:hAnsi="Arial"/>
                <w:sz w:val="18"/>
                <w:szCs w:val="18"/>
                <w:b w:val="1"/>
                <w:bCs w:val="1"/>
                <w:color w:val="auto"/>
                <w:w w:val="92"/>
              </w:rPr>
              <w:t>(47,349)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1,552,658</w:t>
            </w:r>
          </w:p>
        </w:tc>
      </w:tr>
      <w:tr>
        <w:trPr>
          <w:trHeight w:val="891"/>
        </w:trPr>
        <w:tc>
          <w:tcPr>
            <w:tcW w:w="3800" w:type="dxa"/>
            <w:vAlign w:val="bottom"/>
          </w:tcPr>
          <w:p>
            <w:pPr>
              <w:spacing w:after="0"/>
              <w:rPr>
                <w:sz w:val="24"/>
                <w:szCs w:val="24"/>
                <w:color w:val="auto"/>
              </w:rPr>
            </w:pPr>
          </w:p>
        </w:tc>
        <w:tc>
          <w:tcPr>
            <w:tcW w:w="3160" w:type="dxa"/>
            <w:vAlign w:val="bottom"/>
          </w:tcPr>
          <w:p>
            <w:pPr>
              <w:jc w:val="right"/>
              <w:ind w:right="12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29"/>
        </w:trPr>
        <w:tc>
          <w:tcPr>
            <w:tcW w:w="3800" w:type="dxa"/>
            <w:vAlign w:val="bottom"/>
            <w:tcBorders>
              <w:bottom w:val="single" w:sz="8" w:color="9A9A9A"/>
            </w:tcBorders>
          </w:tcPr>
          <w:p>
            <w:pPr>
              <w:spacing w:after="0"/>
              <w:rPr>
                <w:sz w:val="11"/>
                <w:szCs w:val="11"/>
                <w:color w:val="auto"/>
              </w:rPr>
            </w:pPr>
          </w:p>
        </w:tc>
        <w:tc>
          <w:tcPr>
            <w:tcW w:w="3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pursuant to generally accepted accounting principles in the United States of America (“GAAP”). The condensed consolidated financial statements as of June 30, 2021 and December 31, 2020 and for the three and six month periods ended June 30, 2021 and 2020 include the accounts of Opendoor, its wholly owned subsidiaries and VIEs where the Company is the primary beneficiary. The accompanying unaudited condensed consolidated financial statements reflect all adjustments which are, in the opinion of management, necessary to a fair statement of the results for the interim periods presented. All significant intercompany accounts and transactions have been eliminated in the condensed consolidated financial statements herein.</w:t>
      </w:r>
    </w:p>
    <w:p>
      <w:pPr>
        <w:spacing w:after="0" w:line="178"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As a result of the Business Combination completed on December 18, 2020, prior period share and per share amounts presented in the accompanying condensed consolidated financial statements and these related notes have been retroactively converted. See “</w:t>
      </w:r>
      <w:r>
        <w:rPr>
          <w:rFonts w:ascii="Arial" w:cs="Arial" w:eastAsia="Arial" w:hAnsi="Arial"/>
          <w:sz w:val="18"/>
          <w:szCs w:val="18"/>
          <w:i w:val="1"/>
          <w:iCs w:val="1"/>
          <w:color w:val="auto"/>
        </w:rPr>
        <w:t>Note 2— Business Combination”</w:t>
      </w:r>
      <w:r>
        <w:rPr>
          <w:rFonts w:ascii="Arial" w:cs="Arial" w:eastAsia="Arial" w:hAnsi="Arial"/>
          <w:sz w:val="18"/>
          <w:szCs w:val="18"/>
          <w:color w:val="auto"/>
        </w:rPr>
        <w:t xml:space="preserve"> for additional information.</w:t>
      </w:r>
    </w:p>
    <w:p>
      <w:pPr>
        <w:spacing w:after="0" w:line="184" w:lineRule="exact"/>
        <w:rPr>
          <w:sz w:val="20"/>
          <w:szCs w:val="20"/>
          <w:color w:val="auto"/>
        </w:rPr>
      </w:pPr>
    </w:p>
    <w:p>
      <w:pPr>
        <w:jc w:val="both"/>
        <w:ind w:right="180" w:firstLine="405"/>
        <w:spacing w:after="0" w:line="263" w:lineRule="auto"/>
        <w:rPr>
          <w:sz w:val="20"/>
          <w:szCs w:val="20"/>
          <w:color w:val="auto"/>
        </w:rPr>
      </w:pPr>
      <w:r>
        <w:rPr>
          <w:rFonts w:ascii="Arial" w:cs="Arial" w:eastAsia="Arial" w:hAnsi="Arial"/>
          <w:sz w:val="18"/>
          <w:szCs w:val="18"/>
          <w:color w:val="auto"/>
        </w:rPr>
        <w:t>The accompanying interim condensed consolidated financial statements and these related notes should be read in conjunction with the consolidated financial statements and related notes included in the Company’s Annual Report on Form 10-K for the year ended December 31, 2020 (“Annual Report”) filed on March 4,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financial statements and accompanying notes. Actual results may differ materially from such estimates. Significant estimates, assumptions and judgments made by management include, among others, the determination of the fair value of common stock, share-based awards, warrants, derivatives, convertible notes, and inventory impairment (“real estate inventory valuation adjustment”). Management believes that the estimates and judgments upon which they rely are reasonable based upon information available to them at the time that these estimates and judgments are made. To the extent that there are material differences between these estimates and actual results, the Company’s financial statements will be affected. The COVID-19 pandemic introduced significant additional uncertainties with respect to estimates, judgments and assumptions, which may materially impact these estimates.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color w:val="auto"/>
        </w:rPr>
        <w:t>The Company operates in a dynamic industry and, accordingly, can be affected by a variety of factors. For example, the Company believes that changes in any of the following areas could have a significant negative effect on the Company in terms of its future financial position, results of operations or cash flows: public health crises, like the COVID-19 pandemic; its rates of revenue growth; its ability to manage advertising inventory or pricing; engagement and usage of its products; the effectiveness of its investment of resources to pursue strategies; competition in its market; the stability of the residential real estate market; the impact of interest rate changes on demand and its costs; changes in technology, products, markets or services by the Company or its competitors; the addition or loss of significant customers; its ability to maintain or establish relationships with listings and data providers; its ability to obtain or maintain licenses and permits to support its current and future businesses; actual or anticipated changes to its products and services; changes in government regulation affecting its business; the outcomes of legal proceedings; natural disasters and catastrophic events; scaling and adaptation of existing technology and network infrastructure; its management of its growth; its ability to attract and retain qualified employees and key personnel; its ability to successfully integrate and realize the benefits of its past or future strategic acquisitions or investments; the protection of customers’ information and other privacy concerns; the protection of its brand and intellectual property; and intellectual property infringement and other claims, among other things.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primarily of cash and cash equivalents, investments in marketable securities, and mortgage loans held for sale pledged under agreements to repurchase (“MLHFS”). The Company places cash and cash equivalents and investments with major financial institutions, which management assesses to be of high credit quality, in order to limit exposure of the Company’s investments.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right="200" w:firstLine="405"/>
        <w:spacing w:after="0" w:line="286" w:lineRule="auto"/>
        <w:rPr>
          <w:sz w:val="20"/>
          <w:szCs w:val="20"/>
          <w:color w:val="auto"/>
        </w:rPr>
      </w:pPr>
      <w:r>
        <w:rPr>
          <w:rFonts w:ascii="Arial" w:cs="Arial" w:eastAsia="Arial" w:hAnsi="Arial"/>
          <w:sz w:val="17"/>
          <w:szCs w:val="17"/>
          <w:color w:val="auto"/>
        </w:rPr>
        <w:t>Similarly, the Company’s credit risk on mortgage loans held for sale is mitigated due to a large number of customers. Further, the Company’s credit risk on mortgage loans held for sale is mitigated by the fact that the Company typically sells mortgages on the secondary market within a relatively short period of time after which the Company’s exposure is limited to borrower defaults within the initial few months of the mortgage.</w:t>
      </w:r>
    </w:p>
    <w:p>
      <w:pPr>
        <w:spacing w:after="0" w:line="165" w:lineRule="exact"/>
        <w:rPr>
          <w:sz w:val="20"/>
          <w:szCs w:val="20"/>
          <w:color w:val="auto"/>
        </w:rPr>
      </w:pPr>
    </w:p>
    <w:p>
      <w:pPr>
        <w:ind w:right="320" w:firstLine="405"/>
        <w:spacing w:after="0" w:line="263" w:lineRule="auto"/>
        <w:rPr>
          <w:sz w:val="20"/>
          <w:szCs w:val="20"/>
          <w:color w:val="auto"/>
        </w:rPr>
      </w:pPr>
      <w:r>
        <w:rPr>
          <w:rFonts w:ascii="Arial" w:cs="Arial" w:eastAsia="Arial" w:hAnsi="Arial"/>
          <w:sz w:val="18"/>
          <w:szCs w:val="18"/>
          <w:color w:val="auto"/>
        </w:rPr>
        <w:t xml:space="preserve">The Company’s significant accounting policies are discussed in </w:t>
      </w:r>
      <w:r>
        <w:rPr>
          <w:rFonts w:ascii="Arial" w:cs="Arial" w:eastAsia="Arial" w:hAnsi="Arial"/>
          <w:sz w:val="18"/>
          <w:szCs w:val="18"/>
          <w:i w:val="1"/>
          <w:iCs w:val="1"/>
          <w:color w:val="auto"/>
        </w:rPr>
        <w:t>“Part II – Item 8 – Financial Statements and Supplementary Data – Note 1.</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Description of Business and Accounting Policies” </w:t>
      </w:r>
      <w:r>
        <w:rPr>
          <w:rFonts w:ascii="Arial" w:cs="Arial" w:eastAsia="Arial" w:hAnsi="Arial"/>
          <w:sz w:val="18"/>
          <w:szCs w:val="18"/>
          <w:color w:val="auto"/>
        </w:rPr>
        <w:t>in the Annual Report. There have been no changes to these significant accounting policies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 period ended June 30, 2021, except as noted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 xml:space="preserve">The Company’s derivative instruments are comprised of interest rate caps, interest rate lock commitments (“IRLCs”), and embedded conversion options related to the convertible notes. The Company’s derivative instruments are freestanding in nature and some are utilized as economic hedges. These derivative instruments are recorded at fair value with changes recognized as a gain or loss to operations. Beginning in 2021, the Company changed the fair value classification of IRLCs from Level 2 to Level 3 as the Company began to adjust observable input data for the estimated pull-through rate, a Company specific input that is unobservable to market participants. See </w:t>
      </w:r>
      <w:r>
        <w:rPr>
          <w:rFonts w:ascii="Arial" w:cs="Arial" w:eastAsia="Arial" w:hAnsi="Arial"/>
          <w:sz w:val="18"/>
          <w:szCs w:val="18"/>
          <w:i w:val="1"/>
          <w:iCs w:val="1"/>
          <w:color w:val="auto"/>
        </w:rPr>
        <w:t>“Note 5 — Derivative Instruments”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8 — Fair Value Disclosures</w:t>
      </w:r>
      <w:r>
        <w:rPr>
          <w:rFonts w:ascii="Arial" w:cs="Arial" w:eastAsia="Arial" w:hAnsi="Arial"/>
          <w:sz w:val="18"/>
          <w:szCs w:val="18"/>
          <w:color w:val="auto"/>
        </w:rPr>
        <w:t>" for further discussion.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Non-marketable Equity Securities</w:t>
      </w:r>
    </w:p>
    <w:p>
      <w:pPr>
        <w:spacing w:after="0" w:line="225"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The Company's non-marketable equity securities are strategic investments in a privately held company. Non-marketable equity securities are investments that do not have a readily determinable fair value, which are measured at cost minus impairment, if any, adjusted for changes resulting from observable price changes in orderly transactions for an identical or similar investment in the same issuer (the “Measurement Alternative”). All gains and losses on these investments, realized and unrealized, are recorded in Other income-net on the Company's condensed consolidated statements of operations. The Company assesses whether an impairment loss on its non-marketable equity securities has occurred due to declines in fair value or other market conditions. If any impairment is identified for non-marketable equity securities, the Company writes down the investment to its fair value.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00" w:firstLine="405"/>
        <w:spacing w:after="0" w:line="285" w:lineRule="auto"/>
        <w:rPr>
          <w:sz w:val="20"/>
          <w:szCs w:val="20"/>
          <w:color w:val="auto"/>
        </w:rPr>
      </w:pPr>
      <w:r>
        <w:rPr>
          <w:rFonts w:ascii="Arial" w:cs="Arial" w:eastAsia="Arial" w:hAnsi="Arial"/>
          <w:sz w:val="16"/>
          <w:szCs w:val="16"/>
          <w:color w:val="auto"/>
        </w:rPr>
        <w:t>Long-lived assets, such as property and equipment and definite-lived intangible assets, among other long-term assets,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loss is recognized to the extent the carrying amount of the underlying asset exceeds its fair value. Impairment loss of $0.9 million and</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$3.5 million was recognized for the three and six months ended June 30, 2021, respectively. Of these amounts, $0.6 million and $2.5 million are included in Technology and development for the three and six months ended June 30, 2021, respectively, and $0.3 million and $1.0 million are included in General and administrative for the three and six months ended June 30, 2021, respectively. Impairment loss of $1.8 million was recognized for each of the three and six months ended June 30, 2020. Of this amount, $0.9 million is included in Technology and development and $0.9 million is included in General and administrative, for both the three and six months ended June 30, 2020, respectively. The impairment loss recognized for the three and six months ended June 30, 2021 is related to abandonment of property and equipment and sublease of certain right of use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and Sponsor Warrants</w:t>
      </w:r>
    </w:p>
    <w:p>
      <w:pPr>
        <w:spacing w:after="0" w:line="225" w:lineRule="exact"/>
        <w:rPr>
          <w:sz w:val="20"/>
          <w:szCs w:val="20"/>
          <w:color w:val="auto"/>
        </w:rPr>
      </w:pPr>
    </w:p>
    <w:p>
      <w:pPr>
        <w:jc w:val="both"/>
        <w:ind w:right="140" w:firstLine="405"/>
        <w:spacing w:after="0" w:line="259" w:lineRule="auto"/>
        <w:rPr>
          <w:sz w:val="20"/>
          <w:szCs w:val="20"/>
          <w:color w:val="auto"/>
        </w:rPr>
      </w:pPr>
      <w:r>
        <w:rPr>
          <w:rFonts w:ascii="Arial" w:cs="Arial" w:eastAsia="Arial" w:hAnsi="Arial"/>
          <w:sz w:val="18"/>
          <w:szCs w:val="18"/>
          <w:color w:val="auto"/>
        </w:rPr>
        <w:t>On April 30, 2020, SCH consummated its initial public offering of 41,400,000 units, consisting of one share of Class A common stock and one third of one warrant exercisable for Class A common stock, at a price of $10.00 per unit. Each whole warrant entitled the holder to purchase one share of Class A common stock at an exercise price of $11.50 per share (the “Public Warrants”). Simultaneously with the closing of the IPO, SCH completed the private sale of 6,133,333 warrants to SCH’s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OPENDOOR TECHNOLOGIES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sponsor at a price of $1.50 per warrant (the “Sponsor Warrants”). Each Sponsor Warrant allowed the sponsor to purchase one share of Class A common stock at $11.50 per share.</w:t>
      </w:r>
    </w:p>
    <w:p>
      <w:pPr>
        <w:spacing w:after="0" w:line="170"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The Sponsor Warrants and shares of common stock issuable upon the exercise of Sponsor Warrants were not able to be transferred, assigned, or sold until 30 days after the completion of a Business Combination. Additionally, the Sponsor Warrants were eligible for cash and cashless exercises, at the holder’s option, and were redeemable only if the reference value, as defined in the Warrant Agreement, was less than $18.00 per share. If the Sponsor Warrants were held by someone other than the sponsors and certain permitted transferees, the Sponsor Warrants would have been redeemable and exercisable on the same basis as the Public Warrants.</w:t>
      </w:r>
    </w:p>
    <w:p>
      <w:pPr>
        <w:spacing w:after="0" w:line="188"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 xml:space="preserve">The Company evaluated the Public and Sponsor Warrants under ASC 815-40, </w:t>
      </w:r>
      <w:r>
        <w:rPr>
          <w:rFonts w:ascii="Arial" w:cs="Arial" w:eastAsia="Arial" w:hAnsi="Arial"/>
          <w:sz w:val="18"/>
          <w:szCs w:val="18"/>
          <w:i w:val="1"/>
          <w:iCs w:val="1"/>
          <w:color w:val="auto"/>
        </w:rPr>
        <w:t>Derivatives and Hedging-Contracts in Entity’s Own Equity</w:t>
      </w:r>
      <w:r>
        <w:rPr>
          <w:rFonts w:ascii="Arial" w:cs="Arial" w:eastAsia="Arial" w:hAnsi="Arial"/>
          <w:sz w:val="18"/>
          <w:szCs w:val="18"/>
          <w:color w:val="auto"/>
        </w:rPr>
        <w:t>, and concluded that the Sponsor Warrants do not meet the criteria to be classified in shareholders’ equity. Specifically, the exercise and settlement features for the Sponsor Warrants precluded them from being considered indexed to the Company’s own stock, given that a change in the holder of the Sponsor Warrants may alter the settlement of the Sponsor Warrants. Since the holder of the instrument is not an input to a standard option pricing model (a consideration with respect to the indexation guidance), the fact that a change in the holder could impact the value of the Sponsor Warrants means the Sponsor Warrants were not indexed to the Company’s own stock. Since the Private Warrants meet the definition of a derivative under ASC 815, the Company recorded these warrants as liabilities on the balance sheet at fair value upon the consummation of the Business Combination, with subsequent changes in their respective fair values recognized in the condensed consolidated statement of operations at each reporting period. The Company concluded that the Public Warrants, which do not have the same exercise and settlement features as the Sponsor Warrants, meet the criteria to be classified in shareholders' equity.</w:t>
      </w:r>
    </w:p>
    <w:p>
      <w:pPr>
        <w:spacing w:after="0" w:line="194"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On June 9, 2021, the Company filed a notice of redemption of all outstanding Public Warrants and Sponsor Warrants. The end of the redemption period was July 9, 2021, at which time the Company redeemed all unexercised warrants at a price of $0.10 per Warrant. See “Note 18 — Subsequent Events” for further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225"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In March 2020, the FASB issued ASU 2020-04 which provides optional expedients and exceptions for applying GAAP to contracts, hedging relationships and other transactions that reference the London Inter- Bank Offered Rate (“LIBOR”) or another reference rate expected to be discontinued because of reference rate reform. This guidance is optional for a limited period of time to ease the potential burden in accounting for, or recognizing the effects of, reference rate reform on financial reporting. This guidance is effective from March 12, 2020 through December 31, 2022. Entities may elect to adopt the amendments for contract modifications as of any date from the beginning of an interim period that includes or is subsequent to March 12, 2020, or prospectively from a date within an interim period that includes or is subsequent to March 12, 2020, up to the date that the financial statements are available to be issued. The Company may elect to take advantage of this optional guidance in its transition away from LIBOR within certain debt contracts. The Company is currently evaluating the impact of adopting this guidance on the Company's financial position, results of operations or cash flows.</w:t>
      </w:r>
    </w:p>
    <w:p>
      <w:pPr>
        <w:spacing w:after="0" w:line="161"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Opendoor Labs Inc. entered into a merger agreement (the “Merger Agreement”) with Social Capital Hedosophia Holdings Corp. II, (“SCH”) on September 15, 2020. Pursuant to the Merger Agreement, Hestia Merger Sub Inc., a newly formed subsidiary of SCH (“Merger Sub”), merged with and into Opendoor Labs Inc. Upon the completion of the transactions contemplated by the terms of the Merger Agreement (the “Closing”) on December 18, 2020, the separate corporate existence of Merger Sub ceased and Opendoor Labs Inc. survived the merger and became a wholly owned subsidiary of SCH. On December 18, 2020, SCH also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SCH was domesticated as a Delaware corporation, changing its name from “Social Capital Hedosophia Holdings Corp. II” to “Opendoor Technologies Inc.” These transactions are collectively referred to as the “Business Combination.”</w:t>
      </w:r>
    </w:p>
    <w:p>
      <w:pPr>
        <w:spacing w:after="0" w:line="178" w:lineRule="exact"/>
        <w:rPr>
          <w:sz w:val="20"/>
          <w:szCs w:val="20"/>
          <w:color w:val="auto"/>
        </w:rPr>
      </w:pPr>
    </w:p>
    <w:p>
      <w:pPr>
        <w:jc w:val="both"/>
        <w:ind w:right="160" w:firstLine="405"/>
        <w:spacing w:after="0" w:line="263" w:lineRule="auto"/>
        <w:rPr>
          <w:sz w:val="20"/>
          <w:szCs w:val="20"/>
          <w:color w:val="auto"/>
        </w:rPr>
      </w:pPr>
      <w:r>
        <w:rPr>
          <w:rFonts w:ascii="Arial" w:cs="Arial" w:eastAsia="Arial" w:hAnsi="Arial"/>
          <w:sz w:val="18"/>
          <w:szCs w:val="18"/>
          <w:color w:val="auto"/>
        </w:rPr>
        <w:t>The Business Combination was accounted for as a reverse recapitalization whereby SCH was determined as the accounting acquiree and Opendoor Labs Inc. as the accounting acquirer. This accounting treatment is equivalent to Opendoor Labs Inc. issuing stock for the net assets of SCH, accompanied by a recapitalization whereby no goodwill or other intangible</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 w:right="37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assets are recorded. Operations prior to the Business Combination are those of Opendoor Labs Inc. At the Closing, the Company received consideration of $376.6 million in cash as a result of the reverse recapitalization.</w:t>
      </w:r>
    </w:p>
    <w:p>
      <w:pPr>
        <w:spacing w:after="0" w:line="17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In connection with the Business Combination, SCH entered into subscription agreements with certain investors, whereby it issued 60,005,000 shares of common stock at $10.00 per share (“PIPE Shares”) for an aggregate purchase price of $600.1 million (“PIPE Investment”), which closed simultaneously with the consummation of the Business Combination. Upon the Closing, the PIPE Shares were automatically converted into shares of the Company's common stock on a one-for-one basis.</w:t>
      </w:r>
    </w:p>
    <w:p>
      <w:pPr>
        <w:spacing w:after="0" w:line="18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Upon the Closing, holders of Opendoor Labs Inc. common stock received shares of Opendoor Technologies common stock in an amount determined by application of the exchange ratio of 1.618 (“Exchange Ratio”), which was based on Opendoor Labs Inc.’s implied price per share prior to the Business Combination. For periods prior to the Business Combination, the reported share and per share amounts have been retroactively converted (“Retroactive Conversion”) by applying the Exchange Ratio.</w:t>
      </w:r>
    </w:p>
    <w:p>
      <w:pPr>
        <w:spacing w:after="0" w:line="187" w:lineRule="exact"/>
        <w:rPr>
          <w:sz w:val="20"/>
          <w:szCs w:val="20"/>
          <w:color w:val="auto"/>
        </w:rPr>
      </w:pPr>
    </w:p>
    <w:p>
      <w:pPr>
        <w:ind w:right="980" w:firstLine="405"/>
        <w:spacing w:after="0" w:line="308" w:lineRule="auto"/>
        <w:rPr>
          <w:sz w:val="20"/>
          <w:szCs w:val="20"/>
          <w:color w:val="auto"/>
        </w:rPr>
      </w:pPr>
      <w:r>
        <w:rPr>
          <w:rFonts w:ascii="Arial" w:cs="Arial" w:eastAsia="Arial" w:hAnsi="Arial"/>
          <w:sz w:val="17"/>
          <w:szCs w:val="17"/>
          <w:color w:val="auto"/>
        </w:rPr>
        <w:t>In connection with the Business Combination, the Company incurred approximately $43.6 million of equity issuance costs, consisting of underwriting, legal, and other professional fees, which are recorded to additional paid-in capital as a reduction of proceeds.</w:t>
      </w:r>
    </w:p>
    <w:p>
      <w:pPr>
        <w:spacing w:after="0" w:line="142"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INVENTORY</w:t>
      </w:r>
    </w:p>
    <w:p>
      <w:pPr>
        <w:spacing w:after="0" w:line="229"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following table presents the components of inventory, net of applicable real estate inventory valuation adjustments, as of the dates presented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357"/>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40" w:type="dxa"/>
            <w:vAlign w:val="bottom"/>
          </w:tcPr>
          <w:p>
            <w:pPr>
              <w:jc w:val="right"/>
              <w:ind w:right="217"/>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240" w:type="dxa"/>
            <w:vAlign w:val="bottom"/>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25"/>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Work-in-process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1,025,954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183,004</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1,697,694</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282,932</w:t>
            </w: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real estate inventory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2,723,648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465,936</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527177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7177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52717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272"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AND INVESTMENTS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amortized cost, gross unrealized gains and losses, and fair value of cash, cash equivalents, and marketable securities as of June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are as follows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ind w:left="74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
        </w:trPr>
        <w:tc>
          <w:tcPr>
            <w:tcW w:w="2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7"/>
        </w:trPr>
        <w:tc>
          <w:tcPr>
            <w:tcW w:w="2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9"/>
                <w:szCs w:val="19"/>
                <w:color w:val="auto"/>
              </w:rPr>
            </w:pPr>
          </w:p>
        </w:tc>
        <w:tc>
          <w:tcPr>
            <w:tcW w:w="1060" w:type="dxa"/>
            <w:vAlign w:val="bottom"/>
          </w:tcPr>
          <w:p>
            <w:pPr>
              <w:ind w:left="120"/>
              <w:spacing w:after="0"/>
              <w:rPr>
                <w:sz w:val="20"/>
                <w:szCs w:val="20"/>
                <w:color w:val="auto"/>
              </w:rPr>
            </w:pPr>
            <w:r>
              <w:rPr>
                <w:rFonts w:ascii="Arial" w:cs="Arial" w:eastAsia="Arial" w:hAnsi="Arial"/>
                <w:sz w:val="14"/>
                <w:szCs w:val="14"/>
                <w:b w:val="1"/>
                <w:bCs w:val="1"/>
                <w:color w:val="auto"/>
              </w:rPr>
              <w:t>Unrealized</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Cash and Cash</w:t>
            </w:r>
          </w:p>
        </w:tc>
        <w:tc>
          <w:tcPr>
            <w:tcW w:w="200" w:type="dxa"/>
            <w:vAlign w:val="bottom"/>
          </w:tcPr>
          <w:p>
            <w:pPr>
              <w:spacing w:after="0"/>
              <w:rPr>
                <w:sz w:val="19"/>
                <w:szCs w:val="19"/>
                <w:color w:val="auto"/>
              </w:rPr>
            </w:pPr>
          </w:p>
        </w:tc>
        <w:tc>
          <w:tcPr>
            <w:tcW w:w="1120" w:type="dxa"/>
            <w:vAlign w:val="bottom"/>
          </w:tcPr>
          <w:p>
            <w:pPr>
              <w:jc w:val="right"/>
              <w:ind w:right="215"/>
              <w:spacing w:after="0"/>
              <w:rPr>
                <w:sz w:val="20"/>
                <w:szCs w:val="20"/>
                <w:color w:val="auto"/>
              </w:rPr>
            </w:pPr>
            <w:r>
              <w:rPr>
                <w:rFonts w:ascii="Arial" w:cs="Arial" w:eastAsia="Arial" w:hAnsi="Arial"/>
                <w:sz w:val="14"/>
                <w:szCs w:val="14"/>
                <w:b w:val="1"/>
                <w:bCs w:val="1"/>
                <w:color w:val="auto"/>
              </w:rPr>
              <w:t>Marketable</w:t>
            </w:r>
          </w:p>
        </w:tc>
      </w:tr>
      <w:tr>
        <w:trPr>
          <w:trHeight w:val="227"/>
        </w:trPr>
        <w:tc>
          <w:tcPr>
            <w:tcW w:w="2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Basis</w:t>
            </w:r>
          </w:p>
        </w:tc>
        <w:tc>
          <w:tcPr>
            <w:tcW w:w="220" w:type="dxa"/>
            <w:vAlign w:val="bottom"/>
          </w:tcPr>
          <w:p>
            <w:pPr>
              <w:spacing w:after="0"/>
              <w:rPr>
                <w:sz w:val="19"/>
                <w:szCs w:val="19"/>
                <w:color w:val="auto"/>
              </w:rPr>
            </w:pPr>
          </w:p>
        </w:tc>
        <w:tc>
          <w:tcPr>
            <w:tcW w:w="1060" w:type="dxa"/>
            <w:vAlign w:val="bottom"/>
          </w:tcPr>
          <w:p>
            <w:pPr>
              <w:ind w:left="260"/>
              <w:spacing w:after="0"/>
              <w:rPr>
                <w:sz w:val="20"/>
                <w:szCs w:val="20"/>
                <w:color w:val="auto"/>
              </w:rPr>
            </w:pPr>
            <w:r>
              <w:rPr>
                <w:rFonts w:ascii="Arial" w:cs="Arial" w:eastAsia="Arial" w:hAnsi="Arial"/>
                <w:sz w:val="14"/>
                <w:szCs w:val="14"/>
                <w:b w:val="1"/>
                <w:bCs w:val="1"/>
                <w:color w:val="auto"/>
              </w:rPr>
              <w:t>Gains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Equivalents</w:t>
            </w:r>
          </w:p>
        </w:tc>
        <w:tc>
          <w:tcPr>
            <w:tcW w:w="200" w:type="dxa"/>
            <w:vAlign w:val="bottom"/>
          </w:tcPr>
          <w:p>
            <w:pPr>
              <w:spacing w:after="0"/>
              <w:rPr>
                <w:sz w:val="19"/>
                <w:szCs w:val="19"/>
                <w:color w:val="auto"/>
              </w:rPr>
            </w:pPr>
          </w:p>
        </w:tc>
        <w:tc>
          <w:tcPr>
            <w:tcW w:w="1120" w:type="dxa"/>
            <w:vAlign w:val="bottom"/>
          </w:tcPr>
          <w:p>
            <w:pPr>
              <w:jc w:val="right"/>
              <w:ind w:right="275"/>
              <w:spacing w:after="0"/>
              <w:rPr>
                <w:sz w:val="20"/>
                <w:szCs w:val="20"/>
                <w:color w:val="auto"/>
              </w:rPr>
            </w:pPr>
            <w:r>
              <w:rPr>
                <w:rFonts w:ascii="Arial" w:cs="Arial" w:eastAsia="Arial" w:hAnsi="Arial"/>
                <w:sz w:val="14"/>
                <w:szCs w:val="14"/>
                <w:b w:val="1"/>
                <w:bCs w:val="1"/>
                <w:color w:val="auto"/>
              </w:rPr>
              <w:t>Securities</w:t>
            </w:r>
          </w:p>
        </w:tc>
      </w:tr>
      <w:tr>
        <w:trPr>
          <w:trHeight w:val="25"/>
        </w:trPr>
        <w:tc>
          <w:tcPr>
            <w:tcW w:w="2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60,674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1,197,141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1,197,141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1,197,141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Time deposit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Mutual fund</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200,143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200,143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200,143</w:t>
            </w:r>
          </w:p>
        </w:tc>
      </w:tr>
      <w:tr>
        <w:trPr>
          <w:trHeight w:val="27"/>
        </w:trPr>
        <w:tc>
          <w:tcPr>
            <w:tcW w:w="2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3"/>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1,757,958</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1,757,958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1,557,815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200,143</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851"/>
        </w:trPr>
        <w:tc>
          <w:tcPr>
            <w:tcW w:w="2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13</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29"/>
        </w:trPr>
        <w:tc>
          <w:tcPr>
            <w:tcW w:w="282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-1559560</wp:posOffset>
            </wp:positionV>
            <wp:extent cx="17913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ind w:left="58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
        </w:trPr>
        <w:tc>
          <w:tcPr>
            <w:tcW w:w="2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7"/>
        </w:trPr>
        <w:tc>
          <w:tcPr>
            <w:tcW w:w="2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Cash and Cash</w:t>
            </w:r>
          </w:p>
        </w:tc>
        <w:tc>
          <w:tcPr>
            <w:tcW w:w="200" w:type="dxa"/>
            <w:vAlign w:val="bottom"/>
          </w:tcPr>
          <w:p>
            <w:pPr>
              <w:spacing w:after="0"/>
              <w:rPr>
                <w:sz w:val="19"/>
                <w:szCs w:val="19"/>
                <w:color w:val="auto"/>
              </w:rPr>
            </w:pPr>
          </w:p>
        </w:tc>
        <w:tc>
          <w:tcPr>
            <w:tcW w:w="1120" w:type="dxa"/>
            <w:vAlign w:val="bottom"/>
          </w:tcPr>
          <w:p>
            <w:pPr>
              <w:jc w:val="right"/>
              <w:ind w:right="214"/>
              <w:spacing w:after="0"/>
              <w:rPr>
                <w:sz w:val="20"/>
                <w:szCs w:val="20"/>
                <w:color w:val="auto"/>
              </w:rPr>
            </w:pPr>
            <w:r>
              <w:rPr>
                <w:rFonts w:ascii="Arial" w:cs="Arial" w:eastAsia="Arial" w:hAnsi="Arial"/>
                <w:sz w:val="14"/>
                <w:szCs w:val="14"/>
                <w:b w:val="1"/>
                <w:bCs w:val="1"/>
                <w:color w:val="auto"/>
              </w:rPr>
              <w:t>Marketable</w:t>
            </w:r>
          </w:p>
        </w:tc>
      </w:tr>
      <w:tr>
        <w:trPr>
          <w:trHeight w:val="227"/>
        </w:trPr>
        <w:tc>
          <w:tcPr>
            <w:tcW w:w="2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Basis</w:t>
            </w:r>
          </w:p>
        </w:tc>
        <w:tc>
          <w:tcPr>
            <w:tcW w:w="2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9"/>
                <w:szCs w:val="19"/>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Equivalents</w:t>
            </w:r>
          </w:p>
        </w:tc>
        <w:tc>
          <w:tcPr>
            <w:tcW w:w="200" w:type="dxa"/>
            <w:vAlign w:val="bottom"/>
          </w:tcPr>
          <w:p>
            <w:pPr>
              <w:spacing w:after="0"/>
              <w:rPr>
                <w:sz w:val="19"/>
                <w:szCs w:val="19"/>
                <w:color w:val="auto"/>
              </w:rPr>
            </w:pPr>
          </w:p>
        </w:tc>
        <w:tc>
          <w:tcPr>
            <w:tcW w:w="1120" w:type="dxa"/>
            <w:vAlign w:val="bottom"/>
          </w:tcPr>
          <w:p>
            <w:pPr>
              <w:jc w:val="right"/>
              <w:ind w:right="274"/>
              <w:spacing w:after="0"/>
              <w:rPr>
                <w:sz w:val="20"/>
                <w:szCs w:val="20"/>
                <w:color w:val="auto"/>
              </w:rPr>
            </w:pPr>
            <w:r>
              <w:rPr>
                <w:rFonts w:ascii="Arial" w:cs="Arial" w:eastAsia="Arial" w:hAnsi="Arial"/>
                <w:sz w:val="14"/>
                <w:szCs w:val="14"/>
                <w:b w:val="1"/>
                <w:bCs w:val="1"/>
                <w:color w:val="auto"/>
              </w:rPr>
              <w:t>Securities</w:t>
            </w:r>
          </w:p>
        </w:tc>
      </w:tr>
      <w:tr>
        <w:trPr>
          <w:trHeight w:val="26"/>
        </w:trPr>
        <w:tc>
          <w:tcPr>
            <w:tcW w:w="2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709,924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709,924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709,924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618,197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618,197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618,197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81,037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29,891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ind w:left="880"/>
              <w:spacing w:after="0"/>
              <w:rPr>
                <w:sz w:val="20"/>
                <w:szCs w:val="20"/>
                <w:color w:val="auto"/>
              </w:rPr>
            </w:pPr>
            <w:r>
              <w:rPr>
                <w:rFonts w:ascii="Arial" w:cs="Arial" w:eastAsia="Arial" w:hAnsi="Arial"/>
                <w:sz w:val="18"/>
                <w:szCs w:val="18"/>
                <w:color w:val="auto"/>
                <w:w w:val="90"/>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29,915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26,409</w:t>
            </w:r>
          </w:p>
        </w:tc>
      </w:tr>
      <w:tr>
        <w:trPr>
          <w:trHeight w:val="27"/>
        </w:trPr>
        <w:tc>
          <w:tcPr>
            <w:tcW w:w="2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w w:val="90"/>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12,533</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U.S. agency securities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6,993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6,995</w:t>
            </w:r>
          </w:p>
        </w:tc>
      </w:tr>
      <w:tr>
        <w:trPr>
          <w:trHeight w:val="27"/>
        </w:trPr>
        <w:tc>
          <w:tcPr>
            <w:tcW w:w="2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r>
      <w:tr>
        <w:trPr>
          <w:trHeight w:val="263"/>
        </w:trPr>
        <w:tc>
          <w:tcPr>
            <w:tcW w:w="282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1,460,260</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90"/>
              </w:rPr>
              <w:t>(6)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1,460,302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1,412,665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47,637</w:t>
            </w:r>
          </w:p>
        </w:tc>
      </w:tr>
      <w:tr>
        <w:trPr>
          <w:trHeight w:val="21"/>
        </w:trPr>
        <w:tc>
          <w:tcPr>
            <w:tcW w:w="2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-1422400</wp:posOffset>
            </wp:positionV>
            <wp:extent cx="17913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276"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The Company has no debt securities with unrealized losses at June 30, 2021. A summary of debt securities with unrealized losses aggregated by period of continuous unrealized loss at December 31, 2020 is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Less than 12 Months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rPr>
              <w:t>12 Months or Greater</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spacing w:after="0"/>
              <w:rPr>
                <w:sz w:val="16"/>
                <w:szCs w:val="16"/>
                <w:color w:val="auto"/>
              </w:rPr>
            </w:pPr>
          </w:p>
        </w:tc>
      </w:tr>
      <w:tr>
        <w:trPr>
          <w:trHeight w:val="26"/>
        </w:trPr>
        <w:tc>
          <w:tcPr>
            <w:tcW w:w="3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4"/>
        </w:trPr>
        <w:tc>
          <w:tcPr>
            <w:tcW w:w="3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ind w:left="80"/>
              <w:spacing w:after="0"/>
              <w:rPr>
                <w:sz w:val="20"/>
                <w:szCs w:val="20"/>
                <w:color w:val="auto"/>
              </w:rPr>
            </w:pPr>
            <w:r>
              <w:rPr>
                <w:rFonts w:ascii="Arial" w:cs="Arial" w:eastAsia="Arial" w:hAnsi="Arial"/>
                <w:sz w:val="14"/>
                <w:szCs w:val="14"/>
                <w:b w:val="1"/>
                <w:bCs w:val="1"/>
                <w:color w:val="auto"/>
              </w:rPr>
              <w:t>Unrealized</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980" w:type="dxa"/>
            <w:vAlign w:val="bottom"/>
          </w:tcPr>
          <w:p>
            <w:pPr>
              <w:jc w:val="right"/>
              <w:ind w:right="79"/>
              <w:spacing w:after="0"/>
              <w:rPr>
                <w:sz w:val="20"/>
                <w:szCs w:val="20"/>
                <w:color w:val="auto"/>
              </w:rPr>
            </w:pPr>
            <w:r>
              <w:rPr>
                <w:rFonts w:ascii="Arial" w:cs="Arial" w:eastAsia="Arial" w:hAnsi="Arial"/>
                <w:sz w:val="14"/>
                <w:szCs w:val="14"/>
                <w:b w:val="1"/>
                <w:bCs w:val="1"/>
                <w:color w:val="auto"/>
              </w:rPr>
              <w:t>Losses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76"/>
              <w:spacing w:after="0"/>
              <w:rPr>
                <w:sz w:val="20"/>
                <w:szCs w:val="20"/>
                <w:color w:val="auto"/>
              </w:rPr>
            </w:pPr>
            <w:r>
              <w:rPr>
                <w:rFonts w:ascii="Arial" w:cs="Arial" w:eastAsia="Arial" w:hAnsi="Arial"/>
                <w:sz w:val="14"/>
                <w:szCs w:val="14"/>
                <w:b w:val="1"/>
                <w:bCs w:val="1"/>
                <w:color w:val="auto"/>
              </w:rPr>
              <w:t>Losses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9"/>
                <w:szCs w:val="19"/>
                <w:color w:val="auto"/>
              </w:rPr>
            </w:pPr>
          </w:p>
        </w:tc>
        <w:tc>
          <w:tcPr>
            <w:tcW w:w="1040" w:type="dxa"/>
            <w:vAlign w:val="bottom"/>
          </w:tcPr>
          <w:p>
            <w:pPr>
              <w:ind w:left="220"/>
              <w:spacing w:after="0"/>
              <w:rPr>
                <w:sz w:val="20"/>
                <w:szCs w:val="20"/>
                <w:color w:val="auto"/>
              </w:rPr>
            </w:pPr>
            <w:r>
              <w:rPr>
                <w:rFonts w:ascii="Arial" w:cs="Arial" w:eastAsia="Arial" w:hAnsi="Arial"/>
                <w:sz w:val="14"/>
                <w:szCs w:val="14"/>
                <w:b w:val="1"/>
                <w:bCs w:val="1"/>
                <w:color w:val="auto"/>
              </w:rPr>
              <w:t>Losses</w:t>
            </w:r>
          </w:p>
        </w:tc>
      </w:tr>
      <w:tr>
        <w:trPr>
          <w:trHeight w:val="26"/>
        </w:trPr>
        <w:tc>
          <w:tcPr>
            <w:tcW w:w="3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19,296</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4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7,538</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w w:val="90"/>
              </w:rPr>
              <w:t>(2)</w:t>
            </w:r>
          </w:p>
        </w:tc>
        <w:tc>
          <w:tcPr>
            <w:tcW w:w="100" w:type="dxa"/>
            <w:vAlign w:val="bottom"/>
          </w:tcPr>
          <w:p>
            <w:pPr>
              <w:spacing w:after="0"/>
              <w:rPr>
                <w:sz w:val="21"/>
                <w:szCs w:val="21"/>
                <w:color w:val="auto"/>
              </w:rPr>
            </w:pP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w w:val="99"/>
              </w:rPr>
              <w:t>(2)</w:t>
            </w:r>
          </w:p>
        </w:tc>
      </w:tr>
      <w:tr>
        <w:trPr>
          <w:trHeight w:val="27"/>
        </w:trPr>
        <w:tc>
          <w:tcPr>
            <w:tcW w:w="3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(4)</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w w:val="99"/>
              </w:rPr>
              <w:t>(4)</w:t>
            </w:r>
          </w:p>
        </w:tc>
      </w:tr>
      <w:tr>
        <w:trPr>
          <w:trHeight w:val="26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31,445</w:t>
            </w:r>
          </w:p>
        </w:tc>
        <w:tc>
          <w:tcPr>
            <w:tcW w:w="8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0"/>
              </w:rPr>
              <w:t>(6)</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31,445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99"/>
              </w:rPr>
              <w:t>(6)</w:t>
            </w:r>
          </w:p>
        </w:tc>
      </w:tr>
      <w:tr>
        <w:trPr>
          <w:trHeight w:val="20"/>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As of June 30, 2021, the Company had $10.0 million of non-marketable equity securities without a readily determinable fair value, measured using the Measurement Alternative. The Company did not record any adjustments to the carrying value of its non-marketable equity securities.</w:t>
      </w:r>
    </w:p>
    <w:p>
      <w:pPr>
        <w:spacing w:after="0" w:line="142"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Company uses certain types of derivative instruments in the normal course of business and the Company’s use of derivatives includes interest rate caps to manage interest rate risk, IRLCs with respect to our MLHFS, and embedded conversion options with respect to the Company’s convertible notes. Derivative transactions can be measured in terms of notional amount, but this amount is not recorded on the balance sheet and is not, when viewed in isolation, a meaningful measure of the risk profile of the instruments. The notional amount is generally not exchanged, but is used only as the basis on which interest and other payments are determined.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Caps</w:t>
      </w:r>
    </w:p>
    <w:p>
      <w:pPr>
        <w:spacing w:after="0" w:line="229"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The Company uses free-standing derivative instruments in the normal course of business as economic hedges to manage interest rate risks with respect to its variable senior credit facilities. The interest rate caps were carried at fair value in Other current assets with changes in fair value included in Other income. The Company’s interest rate cap position expired in November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Lock Commitments</w:t>
      </w:r>
    </w:p>
    <w:p>
      <w:pPr>
        <w:spacing w:after="0" w:line="229"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In originating mortgage loans, the Company enters into IRLCs with prospective borrowers which are freestanding derivative instruments. IRLCs are a commitment that binds the Company, subject to loan underwriting and approval process, to fund the loan at a specified interest rate, regardless of fluctuations in the market interest rates between commitment date and funding date. The interest rate risk associated with the fluctuations in market interest rates between commitment date and funding date with respect to IRLCs is mitigated as the Company operates under the best effort basis whereby at the time of commitment, the Company enters into a sales commitment with a third-party for the same prospective loan. The fair value of</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interest rate lock commitments is presented in Other current assets. The change in fair value on IRLCs is a component of Other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Embedded Conversion Options</w:t>
      </w:r>
    </w:p>
    <w:p>
      <w:pPr>
        <w:spacing w:after="0" w:line="229" w:lineRule="exact"/>
        <w:rPr>
          <w:sz w:val="20"/>
          <w:szCs w:val="20"/>
          <w:color w:val="auto"/>
        </w:rPr>
      </w:pPr>
    </w:p>
    <w:p>
      <w:pPr>
        <w:ind w:right="20" w:firstLine="405"/>
        <w:spacing w:after="0" w:line="301" w:lineRule="auto"/>
        <w:rPr>
          <w:sz w:val="20"/>
          <w:szCs w:val="20"/>
          <w:color w:val="auto"/>
        </w:rPr>
      </w:pPr>
      <w:r>
        <w:rPr>
          <w:rFonts w:ascii="Arial" w:cs="Arial" w:eastAsia="Arial" w:hAnsi="Arial"/>
          <w:sz w:val="16"/>
          <w:szCs w:val="16"/>
          <w:color w:val="auto"/>
        </w:rPr>
        <w:t>In connection with the Company’s issuance of convertible notes in 2019 (the “Convertible Notes”), the Company bifurcated the embedded conversion features associated with the Convertible Notes. The Convertible Notes and the related bifurcated embedded conversion options were extinguished in September 2020. Prior to extinguishment, the embedded conversion options were measured at fair value and were presented in Derivative and warrant liabilities. The change in fair value of the embedded conversion options is a component of Derivative and warrant fair value adjustment.</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total notional amounts and fair values for the Company’s derivatives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Notional</w:t>
            </w:r>
          </w:p>
        </w:tc>
        <w:tc>
          <w:tcPr>
            <w:tcW w:w="2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Fair Value Derivatives</w:t>
            </w:r>
          </w:p>
        </w:tc>
        <w:tc>
          <w:tcPr>
            <w:tcW w:w="0" w:type="dxa"/>
            <w:vAlign w:val="bottom"/>
          </w:tcPr>
          <w:p>
            <w:pPr>
              <w:spacing w:after="0"/>
              <w:rPr>
                <w:sz w:val="1"/>
                <w:szCs w:val="1"/>
                <w:color w:val="auto"/>
              </w:rPr>
            </w:pPr>
          </w:p>
        </w:tc>
      </w:tr>
      <w:tr>
        <w:trPr>
          <w:trHeight w:val="224"/>
        </w:trPr>
        <w:tc>
          <w:tcPr>
            <w:tcW w:w="7140" w:type="dxa"/>
            <w:vAlign w:val="bottom"/>
          </w:tcPr>
          <w:p>
            <w:pPr>
              <w:ind w:left="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9"/>
                <w:szCs w:val="19"/>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Asset</w:t>
            </w:r>
          </w:p>
        </w:tc>
        <w:tc>
          <w:tcPr>
            <w:tcW w:w="240" w:type="dxa"/>
            <w:vAlign w:val="bottom"/>
          </w:tcPr>
          <w:p>
            <w:pPr>
              <w:spacing w:after="0"/>
              <w:rPr>
                <w:sz w:val="19"/>
                <w:szCs w:val="19"/>
                <w:color w:val="auto"/>
              </w:rPr>
            </w:pPr>
          </w:p>
        </w:tc>
        <w:tc>
          <w:tcPr>
            <w:tcW w:w="1020" w:type="dxa"/>
            <w:vAlign w:val="bottom"/>
          </w:tcPr>
          <w:p>
            <w:pPr>
              <w:ind w:left="12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6"/>
        </w:trPr>
        <w:tc>
          <w:tcPr>
            <w:tcW w:w="7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lock commitments</w:t>
            </w: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8"/>
              </w:rPr>
              <w:t>57,853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1"/>
        </w:trPr>
        <w:tc>
          <w:tcPr>
            <w:tcW w:w="7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Notional</w:t>
            </w:r>
          </w:p>
        </w:tc>
        <w:tc>
          <w:tcPr>
            <w:tcW w:w="2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Fair Value Derivatives</w:t>
            </w:r>
          </w:p>
        </w:tc>
        <w:tc>
          <w:tcPr>
            <w:tcW w:w="0" w:type="dxa"/>
            <w:vAlign w:val="bottom"/>
          </w:tcPr>
          <w:p>
            <w:pPr>
              <w:spacing w:after="0"/>
              <w:rPr>
                <w:sz w:val="1"/>
                <w:szCs w:val="1"/>
                <w:color w:val="auto"/>
              </w:rPr>
            </w:pPr>
          </w:p>
        </w:tc>
      </w:tr>
      <w:tr>
        <w:trPr>
          <w:trHeight w:val="170"/>
        </w:trPr>
        <w:tc>
          <w:tcPr>
            <w:tcW w:w="7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Asset</w:t>
            </w:r>
          </w:p>
        </w:tc>
        <w:tc>
          <w:tcPr>
            <w:tcW w:w="240" w:type="dxa"/>
            <w:vAlign w:val="bottom"/>
          </w:tcPr>
          <w:p>
            <w:pPr>
              <w:spacing w:after="0"/>
              <w:rPr>
                <w:sz w:val="14"/>
                <w:szCs w:val="14"/>
                <w:color w:val="auto"/>
              </w:rPr>
            </w:pPr>
          </w:p>
        </w:tc>
        <w:tc>
          <w:tcPr>
            <w:tcW w:w="10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54"/>
        </w:trPr>
        <w:tc>
          <w:tcPr>
            <w:tcW w:w="71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7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lock commitments</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15,130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following table presents the net gains and losses recognized on derivatives within the respective line items in the statement of operations for the periods indicated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480" w:type="dxa"/>
            <w:vAlign w:val="bottom"/>
            <w:gridSpan w:val="4"/>
          </w:tcPr>
          <w:p>
            <w:pPr>
              <w:jc w:val="right"/>
              <w:ind w:right="275"/>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4"/>
                <w:szCs w:val="14"/>
                <w:color w:val="auto"/>
              </w:rPr>
            </w:pPr>
          </w:p>
        </w:tc>
      </w:tr>
      <w:tr>
        <w:trPr>
          <w:trHeight w:val="186"/>
        </w:trPr>
        <w:tc>
          <w:tcPr>
            <w:tcW w:w="5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20" w:type="dxa"/>
            <w:vAlign w:val="bottom"/>
            <w:gridSpan w:val="3"/>
          </w:tcPr>
          <w:p>
            <w:pPr>
              <w:jc w:val="right"/>
              <w:ind w:right="675"/>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6"/>
                <w:szCs w:val="16"/>
                <w:color w:val="auto"/>
              </w:rPr>
            </w:pPr>
          </w:p>
        </w:tc>
      </w:tr>
      <w:tr>
        <w:trPr>
          <w:trHeight w:val="25"/>
        </w:trPr>
        <w:tc>
          <w:tcPr>
            <w:tcW w:w="52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4"/>
        </w:trPr>
        <w:tc>
          <w:tcPr>
            <w:tcW w:w="5280" w:type="dxa"/>
            <w:vAlign w:val="bottom"/>
          </w:tcPr>
          <w:p>
            <w:pPr>
              <w:spacing w:after="0"/>
              <w:rPr>
                <w:sz w:val="16"/>
                <w:szCs w:val="16"/>
                <w:color w:val="auto"/>
              </w:rPr>
            </w:pPr>
          </w:p>
        </w:tc>
        <w:tc>
          <w:tcPr>
            <w:tcW w:w="960" w:type="dxa"/>
            <w:vAlign w:val="bottom"/>
          </w:tcPr>
          <w:p>
            <w:pPr>
              <w:jc w:val="right"/>
              <w:ind w:right="37"/>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15"/>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jc w:val="right"/>
              <w:ind w:right="475"/>
              <w:spacing w:after="0"/>
              <w:rPr>
                <w:sz w:val="20"/>
                <w:szCs w:val="20"/>
                <w:color w:val="auto"/>
              </w:rPr>
            </w:pPr>
            <w:r>
              <w:rPr>
                <w:rFonts w:ascii="Arial" w:cs="Arial" w:eastAsia="Arial" w:hAnsi="Arial"/>
                <w:sz w:val="14"/>
                <w:szCs w:val="14"/>
                <w:b w:val="1"/>
                <w:bCs w:val="1"/>
                <w:color w:val="auto"/>
                <w:w w:val="96"/>
              </w:rPr>
              <w:t>2020</w:t>
            </w:r>
          </w:p>
        </w:tc>
      </w:tr>
      <w:tr>
        <w:trPr>
          <w:trHeight w:val="25"/>
        </w:trPr>
        <w:tc>
          <w:tcPr>
            <w:tcW w:w="52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60" w:type="dxa"/>
            <w:vAlign w:val="bottom"/>
            <w:tcBorders>
              <w:bottom w:val="single" w:sz="8" w:color="CCEEFF"/>
            </w:tcBorders>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Derivative and warrant fair value adjustment</w:t>
            </w: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675"/>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96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-521970</wp:posOffset>
            </wp:positionV>
            <wp:extent cx="32829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72"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229" w:lineRule="exact"/>
        <w:rPr>
          <w:sz w:val="20"/>
          <w:szCs w:val="20"/>
          <w:color w:val="auto"/>
        </w:rPr>
      </w:pPr>
    </w:p>
    <w:p>
      <w:pPr>
        <w:ind w:right="540" w:firstLine="405"/>
        <w:spacing w:after="0" w:line="342" w:lineRule="auto"/>
        <w:rPr>
          <w:sz w:val="20"/>
          <w:szCs w:val="20"/>
          <w:color w:val="auto"/>
        </w:rPr>
      </w:pPr>
      <w:r>
        <w:rPr>
          <w:rFonts w:ascii="Arial" w:cs="Arial" w:eastAsia="Arial" w:hAnsi="Arial"/>
          <w:sz w:val="16"/>
          <w:szCs w:val="16"/>
          <w:color w:val="auto"/>
        </w:rPr>
        <w:t>The Company utilizes VIEs in the normal course of business to support the Company’s financing needs. The Company determines whether the Company is the primary beneficiary of a VIE at the time it becomes involved with the VIE and reconsiders that conclusion on an on-going basis.</w:t>
      </w:r>
    </w:p>
    <w:p>
      <w:pPr>
        <w:spacing w:after="0" w:line="124"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The Company established certain special purpose entities (“SPEs”) for the purpose of financing the Company’s purchase and renovation of real estate inventory through the issuance of asset-backed debt. The Company is the primary beneficiary of the various VIEs within these financing structures and consolidates these VIEs. The Company is determined to be the primary beneficiary based on its power to direct the activities that most significantly impact the economic outcomes of the SPEs through its role in designing the SPEs and managing the real estate inventory they purchase and sell. The Company has a potentially significant variable interest in the entities based upon the equity interest the Company holds in the VIEs.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following table summarizes the assets and liabilities related to the VIEs consolidated by the Company as of June 30, 2021 and December 31, 2020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2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December 31,</w:t>
            </w:r>
          </w:p>
        </w:tc>
      </w:tr>
      <w:tr>
        <w:trPr>
          <w:trHeight w:val="186"/>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6"/>
        </w:trPr>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824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74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82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15,849</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81,408</w:t>
            </w:r>
          </w:p>
        </w:tc>
      </w:tr>
      <w:tr>
        <w:trPr>
          <w:trHeight w:val="243"/>
        </w:trPr>
        <w:tc>
          <w:tcPr>
            <w:tcW w:w="20" w:type="dxa"/>
            <w:vAlign w:val="bottom"/>
          </w:tcPr>
          <w:p>
            <w:pPr>
              <w:spacing w:after="0"/>
              <w:rPr>
                <w:sz w:val="21"/>
                <w:szCs w:val="21"/>
                <w:color w:val="auto"/>
              </w:rPr>
            </w:pPr>
          </w:p>
        </w:tc>
        <w:tc>
          <w:tcPr>
            <w:tcW w:w="8240" w:type="dxa"/>
            <w:vAlign w:val="bottom"/>
            <w:gridSpan w:val="3"/>
          </w:tcPr>
          <w:p>
            <w:pPr>
              <w:spacing w:after="0"/>
              <w:rPr>
                <w:sz w:val="20"/>
                <w:szCs w:val="20"/>
                <w:color w:val="auto"/>
              </w:rPr>
            </w:pPr>
            <w:r>
              <w:rPr>
                <w:rFonts w:ascii="Arial" w:cs="Arial" w:eastAsia="Arial" w:hAnsi="Arial"/>
                <w:sz w:val="18"/>
                <w:szCs w:val="18"/>
                <w:color w:val="auto"/>
              </w:rPr>
              <w:t>Real estate inventory</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2,605,155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460,680</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51"/>
        </w:trPr>
        <w:tc>
          <w:tcPr>
            <w:tcW w:w="20" w:type="dxa"/>
            <w:vAlign w:val="bottom"/>
            <w:shd w:val="clear" w:color="auto" w:fill="CCEEFF"/>
          </w:tcPr>
          <w:p>
            <w:pPr>
              <w:spacing w:after="0"/>
              <w:rPr>
                <w:sz w:val="24"/>
                <w:szCs w:val="24"/>
                <w:color w:val="auto"/>
              </w:rPr>
            </w:pPr>
          </w:p>
        </w:tc>
        <w:tc>
          <w:tcPr>
            <w:tcW w:w="8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2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60,447</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6,729</w:t>
            </w:r>
          </w:p>
        </w:tc>
      </w:tr>
      <w:tr>
        <w:trPr>
          <w:trHeight w:val="263"/>
        </w:trPr>
        <w:tc>
          <w:tcPr>
            <w:tcW w:w="20" w:type="dxa"/>
            <w:vAlign w:val="bottom"/>
          </w:tcPr>
          <w:p>
            <w:pPr>
              <w:spacing w:after="0"/>
              <w:rPr>
                <w:sz w:val="22"/>
                <w:szCs w:val="22"/>
                <w:color w:val="auto"/>
              </w:rPr>
            </w:pPr>
          </w:p>
        </w:tc>
        <w:tc>
          <w:tcPr>
            <w:tcW w:w="82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2,788,983</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564,666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1"/>
              </w:rPr>
              <w:t>Liabilities</w:t>
            </w:r>
          </w:p>
        </w:tc>
        <w:tc>
          <w:tcPr>
            <w:tcW w:w="74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8240" w:type="dxa"/>
            <w:vAlign w:val="bottom"/>
            <w:gridSpan w:val="3"/>
          </w:tcPr>
          <w:p>
            <w:pPr>
              <w:spacing w:after="0"/>
              <w:rPr>
                <w:sz w:val="20"/>
                <w:szCs w:val="20"/>
                <w:color w:val="auto"/>
              </w:rPr>
            </w:pPr>
            <w:r>
              <w:rPr>
                <w:rFonts w:ascii="Arial" w:cs="Arial" w:eastAsia="Arial" w:hAnsi="Arial"/>
                <w:sz w:val="18"/>
                <w:szCs w:val="18"/>
                <w:color w:val="auto"/>
              </w:rPr>
              <w:t>Credit facilities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2,265,522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474,640</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51"/>
        </w:trPr>
        <w:tc>
          <w:tcPr>
            <w:tcW w:w="20" w:type="dxa"/>
            <w:vAlign w:val="bottom"/>
            <w:shd w:val="clear" w:color="auto" w:fill="CCEEFF"/>
          </w:tcPr>
          <w:p>
            <w:pPr>
              <w:spacing w:after="0"/>
              <w:rPr>
                <w:sz w:val="24"/>
                <w:szCs w:val="24"/>
                <w:color w:val="auto"/>
              </w:rPr>
            </w:pPr>
          </w:p>
        </w:tc>
        <w:tc>
          <w:tcPr>
            <w:tcW w:w="8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(2)</w:t>
            </w:r>
          </w:p>
        </w:tc>
        <w:tc>
          <w:tcPr>
            <w:tcW w:w="2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28,453</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w:t>
            </w:r>
          </w:p>
        </w:tc>
      </w:tr>
      <w:tr>
        <w:trPr>
          <w:trHeight w:val="263"/>
        </w:trPr>
        <w:tc>
          <w:tcPr>
            <w:tcW w:w="20" w:type="dxa"/>
            <w:vAlign w:val="bottom"/>
          </w:tcPr>
          <w:p>
            <w:pPr>
              <w:spacing w:after="0"/>
              <w:rPr>
                <w:sz w:val="22"/>
                <w:szCs w:val="22"/>
                <w:color w:val="auto"/>
              </w:rPr>
            </w:pPr>
          </w:p>
        </w:tc>
        <w:tc>
          <w:tcPr>
            <w:tcW w:w="824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2,293,975</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478,034</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w:t>
      </w:r>
    </w:p>
    <w:p>
      <w:pPr>
        <w:spacing w:after="0" w:line="56"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Includes escrow receivable and other current assets.</w:t>
      </w:r>
    </w:p>
    <w:p>
      <w:pPr>
        <w:spacing w:after="0" w:line="68" w:lineRule="exact"/>
        <w:rPr>
          <w:rFonts w:ascii="Arial" w:cs="Arial" w:eastAsia="Arial" w:hAnsi="Arial"/>
          <w:sz w:val="23"/>
          <w:szCs w:val="23"/>
          <w:color w:val="auto"/>
          <w:vertAlign w:val="superscript"/>
        </w:rPr>
      </w:pPr>
    </w:p>
    <w:p>
      <w:pPr>
        <w:ind w:left="320" w:hanging="312"/>
        <w:spacing w:after="0" w:line="231" w:lineRule="auto"/>
        <w:tabs>
          <w:tab w:leader="none" w:pos="32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Includes accounts payable and other accrued liabilities and interest payable.</w:t>
      </w:r>
    </w:p>
    <w:p>
      <w:pPr>
        <w:spacing w:after="0" w:line="202"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 xml:space="preserve">The creditors of the VIEs generally do not have recourse to the Company’s general credit solely by virtue of being creditors of the VIEs, with the exception of limited guarantees provided by an Opendoor subsidiary for credit facilities. See </w:t>
      </w:r>
      <w:r>
        <w:rPr>
          <w:rFonts w:ascii="Arial" w:cs="Arial" w:eastAsia="Arial" w:hAnsi="Arial"/>
          <w:sz w:val="18"/>
          <w:szCs w:val="18"/>
          <w:i w:val="1"/>
          <w:iCs w:val="1"/>
          <w:color w:val="auto"/>
        </w:rPr>
        <w:t>“Note 7 — Credit Facilities and Long-Term Debt”</w:t>
      </w:r>
      <w:r>
        <w:rPr>
          <w:rFonts w:ascii="Arial" w:cs="Arial" w:eastAsia="Arial" w:hAnsi="Arial"/>
          <w:sz w:val="18"/>
          <w:szCs w:val="18"/>
          <w:color w:val="auto"/>
        </w:rPr>
        <w:t xml:space="preserve"> for further discussion of the recourse obligations with respect to the VIEs.</w:t>
      </w:r>
    </w:p>
    <w:p>
      <w:pPr>
        <w:spacing w:after="0" w:line="180"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FACILITIES AND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Non-Recourse Asset-backed Financing Facilities</w:t>
      </w:r>
    </w:p>
    <w:p>
      <w:pPr>
        <w:spacing w:after="0" w:line="225"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The Company utilizes inventory financing facilities consisting of asset-backed senior credit facilities and asset-backed mezzanine term debt facilities to provide financing for the Company’s real estate inventory purchases and renovation. The credit facilities are secured by the assets and equity of one or more SPEs. Each SPE is a consolidated subsidiary of Opendoor and a separate legal entity. Neither the assets nor credit of any such SPE are generally available to satisfy the debts and other obligations of any other Opendoor entities, except to the extent other Opendoor entities are also a party to the financing arrangements. These facilities are non-recourse to Opendoor and, with limited exceptions, non-recourse to other Opendoor subsidiaries. These SPEs are variable interest entities and Opendoor is determined to be the primary beneficiary based on its power to direct the activities that most significantly impact the economic outcomes of the entities through its role in designing the entities and managing the real estate inventory purchased and sold by the entities. The Company has potentially significant variable interest in the entities based upon the equity interest the Company holds in the VIEs.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Asset-backed Senior Credit Facilities</w:t>
      </w:r>
    </w:p>
    <w:p>
      <w:pPr>
        <w:spacing w:after="0" w:line="225"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The Company classifies the senior revolving credit facilities as current liabilities on the Company’s condensed consolidated balance sheets as amounts drawn to acquire and renovate homes are required to be repaid as the related real estate inventory is sold, which the Company expects to occur within 12 months. The Company classifies its senior term debt facility as a long-term liability on the Company's condensed consolidated balance sheets because its borrowings under this facility are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generally not required to be repaid until the final maturity date. The following table summarizes certain details related to the Company’s credit facilities outstanding as of June 30, 2021 and December 31, 2020 (in thousands, except interest rates):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7"/>
              </w:rPr>
              <w:t>Final</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Borrowing</w:t>
            </w:r>
          </w:p>
        </w:tc>
        <w:tc>
          <w:tcPr>
            <w:tcW w:w="200" w:type="dxa"/>
            <w:vAlign w:val="bottom"/>
          </w:tcPr>
          <w:p>
            <w:pPr>
              <w:spacing w:after="0"/>
              <w:rPr>
                <w:sz w:val="16"/>
                <w:szCs w:val="16"/>
                <w:color w:val="auto"/>
              </w:rPr>
            </w:pPr>
          </w:p>
        </w:tc>
        <w:tc>
          <w:tcPr>
            <w:tcW w:w="1140" w:type="dxa"/>
            <w:vAlign w:val="bottom"/>
          </w:tcPr>
          <w:p>
            <w:pPr>
              <w:jc w:val="right"/>
              <w:ind w:right="194"/>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2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End of Revolving /</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43"/>
        </w:trPr>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Capacity</w:t>
            </w:r>
          </w:p>
        </w:tc>
        <w:tc>
          <w:tcPr>
            <w:tcW w:w="200" w:type="dxa"/>
            <w:vAlign w:val="bottom"/>
          </w:tcPr>
          <w:p>
            <w:pPr>
              <w:spacing w:after="0"/>
              <w:rPr>
                <w:sz w:val="3"/>
                <w:szCs w:val="3"/>
                <w:color w:val="auto"/>
              </w:rPr>
            </w:pPr>
          </w:p>
        </w:tc>
        <w:tc>
          <w:tcPr>
            <w:tcW w:w="11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3"/>
                <w:szCs w:val="3"/>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Interest Rate</w:t>
            </w:r>
          </w:p>
        </w:tc>
        <w:tc>
          <w:tcPr>
            <w:tcW w:w="2000" w:type="dxa"/>
            <w:vAlign w:val="bottom"/>
            <w:gridSpan w:val="2"/>
            <w:vMerge w:val="continue"/>
          </w:tcPr>
          <w:p>
            <w:pPr>
              <w:spacing w:after="0"/>
              <w:rPr>
                <w:sz w:val="3"/>
                <w:szCs w:val="3"/>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86"/>
        </w:trPr>
        <w:tc>
          <w:tcPr>
            <w:tcW w:w="29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Withdrawal Period</w:t>
            </w:r>
          </w:p>
        </w:tc>
        <w:tc>
          <w:tcPr>
            <w:tcW w:w="1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Revolving Facility 2018-2</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2.85 %</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September 23, 2022</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December 23, 2022</w:t>
            </w:r>
          </w:p>
        </w:tc>
        <w:tc>
          <w:tcPr>
            <w:tcW w:w="0" w:type="dxa"/>
            <w:vAlign w:val="bottom"/>
          </w:tcPr>
          <w:p>
            <w:pPr>
              <w:spacing w:after="0"/>
              <w:rPr>
                <w:sz w:val="1"/>
                <w:szCs w:val="1"/>
                <w:color w:val="auto"/>
              </w:rPr>
            </w:pPr>
          </w:p>
        </w:tc>
      </w:tr>
      <w:tr>
        <w:trPr>
          <w:trHeight w:val="243"/>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Revolving Facility 2018-3</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80,897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3.25 %</w:t>
            </w:r>
          </w:p>
        </w:tc>
        <w:tc>
          <w:tcPr>
            <w:tcW w:w="100" w:type="dxa"/>
            <w:vAlign w:val="bottom"/>
          </w:tcPr>
          <w:p>
            <w:pPr>
              <w:spacing w:after="0"/>
              <w:rPr>
                <w:sz w:val="21"/>
                <w:szCs w:val="21"/>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May 26, 2024</w:t>
            </w:r>
          </w:p>
        </w:tc>
        <w:tc>
          <w:tcPr>
            <w:tcW w:w="1900" w:type="dxa"/>
            <w:vAlign w:val="bottom"/>
          </w:tcPr>
          <w:p>
            <w:pPr>
              <w:jc w:val="right"/>
              <w:spacing w:after="0"/>
              <w:rPr>
                <w:sz w:val="20"/>
                <w:szCs w:val="20"/>
                <w:color w:val="auto"/>
              </w:rPr>
            </w:pPr>
            <w:r>
              <w:rPr>
                <w:rFonts w:ascii="Arial" w:cs="Arial" w:eastAsia="Arial" w:hAnsi="Arial"/>
                <w:sz w:val="18"/>
                <w:szCs w:val="18"/>
                <w:color w:val="auto"/>
              </w:rPr>
              <w:t>May 26, 2024</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Revolving Facility 2019-1</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202,672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2.85 %</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June 30, 2023</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June 30, 2023</w:t>
            </w:r>
          </w:p>
        </w:tc>
        <w:tc>
          <w:tcPr>
            <w:tcW w:w="0" w:type="dxa"/>
            <w:vAlign w:val="bottom"/>
          </w:tcPr>
          <w:p>
            <w:pPr>
              <w:spacing w:after="0"/>
              <w:rPr>
                <w:sz w:val="1"/>
                <w:szCs w:val="1"/>
                <w:color w:val="auto"/>
              </w:rPr>
            </w:pPr>
          </w:p>
        </w:tc>
      </w:tr>
      <w:tr>
        <w:trPr>
          <w:trHeight w:val="243"/>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Revolving Facility 2019-2</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1,003,609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2.66 %</w:t>
            </w:r>
          </w:p>
        </w:tc>
        <w:tc>
          <w:tcPr>
            <w:tcW w:w="100" w:type="dxa"/>
            <w:vAlign w:val="bottom"/>
          </w:tcPr>
          <w:p>
            <w:pPr>
              <w:spacing w:after="0"/>
              <w:rPr>
                <w:sz w:val="21"/>
                <w:szCs w:val="21"/>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July 8, 2023</w:t>
            </w:r>
          </w:p>
        </w:tc>
        <w:tc>
          <w:tcPr>
            <w:tcW w:w="1900" w:type="dxa"/>
            <w:vAlign w:val="bottom"/>
          </w:tcPr>
          <w:p>
            <w:pPr>
              <w:jc w:val="right"/>
              <w:spacing w:after="0"/>
              <w:rPr>
                <w:sz w:val="20"/>
                <w:szCs w:val="20"/>
                <w:color w:val="auto"/>
              </w:rPr>
            </w:pPr>
            <w:r>
              <w:rPr>
                <w:rFonts w:ascii="Arial" w:cs="Arial" w:eastAsia="Arial" w:hAnsi="Arial"/>
                <w:sz w:val="18"/>
                <w:szCs w:val="18"/>
                <w:color w:val="auto"/>
              </w:rPr>
              <w:t>July 8, 2023</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Revolving Facility 2019-3</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371,342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3.25 %</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August 22, 2022</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August 21, 2023</w:t>
            </w:r>
          </w:p>
        </w:tc>
        <w:tc>
          <w:tcPr>
            <w:tcW w:w="0" w:type="dxa"/>
            <w:vAlign w:val="bottom"/>
          </w:tcPr>
          <w:p>
            <w:pPr>
              <w:spacing w:after="0"/>
              <w:rPr>
                <w:sz w:val="1"/>
                <w:szCs w:val="1"/>
                <w:color w:val="auto"/>
              </w:rPr>
            </w:pPr>
          </w:p>
        </w:tc>
      </w:tr>
      <w:tr>
        <w:trPr>
          <w:trHeight w:val="243"/>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Term Debt Facility 2021-S1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150,000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3.48 %</w:t>
            </w:r>
          </w:p>
        </w:tc>
        <w:tc>
          <w:tcPr>
            <w:tcW w:w="100" w:type="dxa"/>
            <w:vAlign w:val="bottom"/>
          </w:tcPr>
          <w:p>
            <w:pPr>
              <w:spacing w:after="0"/>
              <w:rPr>
                <w:sz w:val="21"/>
                <w:szCs w:val="21"/>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April 1, 2024</w:t>
            </w:r>
          </w:p>
        </w:tc>
        <w:tc>
          <w:tcPr>
            <w:tcW w:w="1900" w:type="dxa"/>
            <w:vAlign w:val="bottom"/>
          </w:tcPr>
          <w:p>
            <w:pPr>
              <w:jc w:val="right"/>
              <w:spacing w:after="0"/>
              <w:rPr>
                <w:sz w:val="20"/>
                <w:szCs w:val="20"/>
                <w:color w:val="auto"/>
              </w:rPr>
            </w:pPr>
            <w:r>
              <w:rPr>
                <w:rFonts w:ascii="Arial" w:cs="Arial" w:eastAsia="Arial" w:hAnsi="Arial"/>
                <w:sz w:val="18"/>
                <w:szCs w:val="18"/>
                <w:color w:val="auto"/>
              </w:rPr>
              <w:t>April 1, 2025</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3,855,000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1,816,523</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234"/>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6"/>
                <w:szCs w:val="16"/>
                <w:color w:val="auto"/>
              </w:rPr>
            </w:pPr>
          </w:p>
        </w:tc>
        <w:tc>
          <w:tcPr>
            <w:tcW w:w="1560" w:type="dxa"/>
            <w:vAlign w:val="bottom"/>
          </w:tcPr>
          <w:p>
            <w:pPr>
              <w:jc w:val="right"/>
              <w:ind w:right="142"/>
              <w:spacing w:after="0"/>
              <w:rPr>
                <w:sz w:val="20"/>
                <w:szCs w:val="20"/>
                <w:color w:val="auto"/>
              </w:rPr>
            </w:pPr>
            <w:r>
              <w:rPr>
                <w:rFonts w:ascii="Arial" w:cs="Arial" w:eastAsia="Arial" w:hAnsi="Arial"/>
                <w:sz w:val="14"/>
                <w:szCs w:val="14"/>
                <w:b w:val="1"/>
                <w:bCs w:val="1"/>
                <w:color w:val="auto"/>
              </w:rPr>
              <w:t>Weighted Average</w:t>
            </w:r>
          </w:p>
        </w:tc>
      </w:tr>
      <w:tr>
        <w:trPr>
          <w:trHeight w:val="240"/>
        </w:trPr>
        <w:tc>
          <w:tcPr>
            <w:tcW w:w="81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Pr>
          <w:p>
            <w:pPr>
              <w:spacing w:after="0"/>
              <w:rPr>
                <w:sz w:val="20"/>
                <w:szCs w:val="20"/>
                <w:color w:val="auto"/>
              </w:rPr>
            </w:pPr>
          </w:p>
        </w:tc>
        <w:tc>
          <w:tcPr>
            <w:tcW w:w="1200" w:type="dxa"/>
            <w:vAlign w:val="bottom"/>
          </w:tcPr>
          <w:p>
            <w:pPr>
              <w:jc w:val="right"/>
              <w:ind w:right="37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0"/>
                <w:szCs w:val="20"/>
                <w:color w:val="auto"/>
              </w:rPr>
            </w:pPr>
          </w:p>
        </w:tc>
        <w:tc>
          <w:tcPr>
            <w:tcW w:w="1560" w:type="dxa"/>
            <w:vAlign w:val="bottom"/>
          </w:tcPr>
          <w:p>
            <w:pPr>
              <w:jc w:val="right"/>
              <w:ind w:right="302"/>
              <w:spacing w:after="0"/>
              <w:rPr>
                <w:sz w:val="20"/>
                <w:szCs w:val="20"/>
                <w:color w:val="auto"/>
              </w:rPr>
            </w:pPr>
            <w:r>
              <w:rPr>
                <w:rFonts w:ascii="Arial" w:cs="Arial" w:eastAsia="Arial" w:hAnsi="Arial"/>
                <w:sz w:val="14"/>
                <w:szCs w:val="14"/>
                <w:b w:val="1"/>
                <w:bCs w:val="1"/>
                <w:color w:val="auto"/>
              </w:rPr>
              <w:t>Interest Rate</w:t>
            </w:r>
          </w:p>
        </w:tc>
      </w:tr>
      <w:tr>
        <w:trPr>
          <w:trHeight w:val="26"/>
        </w:trPr>
        <w:tc>
          <w:tcPr>
            <w:tcW w:w="8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Revolving Facility 2018-1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4.28 %</w:t>
            </w:r>
          </w:p>
        </w:tc>
      </w:tr>
      <w:tr>
        <w:trPr>
          <w:trHeight w:val="243"/>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Revolving Facility 2018-2</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4.36 %</w:t>
            </w:r>
          </w:p>
        </w:tc>
      </w:tr>
      <w:tr>
        <w:trPr>
          <w:trHeight w:val="27"/>
        </w:trPr>
        <w:tc>
          <w:tcPr>
            <w:tcW w:w="8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Revolving Facility 2018-3</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25,385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4.19 %</w:t>
            </w:r>
          </w:p>
        </w:tc>
      </w:tr>
      <w:tr>
        <w:trPr>
          <w:trHeight w:val="243"/>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Revolving Facility 2019-1</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32,535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3.58 %</w:t>
            </w:r>
          </w:p>
        </w:tc>
      </w:tr>
      <w:tr>
        <w:trPr>
          <w:trHeight w:val="27"/>
        </w:trPr>
        <w:tc>
          <w:tcPr>
            <w:tcW w:w="8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Revolving Facility 2019-2</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230,352</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3.08 %</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Revolving Facility 2019-3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50,901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3.60 %</w:t>
            </w:r>
          </w:p>
        </w:tc>
      </w:tr>
      <w:tr>
        <w:trPr>
          <w:trHeight w:val="27"/>
        </w:trPr>
        <w:tc>
          <w:tcPr>
            <w:tcW w:w="8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89"/>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339,173</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spacing w:after="0"/>
              <w:rPr>
                <w:sz w:val="24"/>
                <w:szCs w:val="24"/>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-213995</wp:posOffset>
            </wp:positionV>
            <wp:extent cx="9944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-1250950</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6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Undrawn borrowing capacity amounts under the senior credit facilities as reflected in the table above are in some cases not fully committed and 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borrowings above the fully committed amounts are subject to the applicable lender’s discretion. As of June 30, 2021, the Company had fully committed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borrowing capacity with respect to the Company’s senior credit facilities of $2,057.7 million. The total outstanding amount presented above includes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$1,666.5 million of current liabilities and $150.0 million of non-current liabilities; the carrying value of the non-current liabilities is reduced by issuance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costs of $267 thousand.</w:t>
      </w:r>
    </w:p>
    <w:p>
      <w:pPr>
        <w:spacing w:after="0" w:line="211"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senior revolving credit facilities are typically structured with an initial 24 month revolving period during which time amounts can be borrowed, repaid and borrowed again. The borrowing capacity is generally available until the end of the applicable revolving period as reflected in the table above. For the senior term debt facility, the outstanding principal is generally not required to be repaid when homes financed through that facility are sold and instead is intended to remain outstanding until final maturity.</w:t>
      </w:r>
    </w:p>
    <w:p>
      <w:pPr>
        <w:spacing w:after="0" w:line="187"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Outstanding amounts drawn under each senior revolving credit facility are required to be repaid on the facility maturity date or earlier if accelerated due to an event of default or other mandatory repayment event. The final maturity dates and revolving period end dates reflected in the table above are inclusive of any extensions that are at the sole discretion of the Company. The Company’s senior revolving credit facilities may also have extensions subject to lender discretion that are not reflected in the table above.</w:t>
      </w:r>
    </w:p>
    <w:p>
      <w:pPr>
        <w:spacing w:after="0" w:line="187" w:lineRule="exact"/>
        <w:rPr>
          <w:sz w:val="20"/>
          <w:szCs w:val="20"/>
          <w:color w:val="auto"/>
        </w:rPr>
      </w:pPr>
    </w:p>
    <w:p>
      <w:pPr>
        <w:ind w:right="180" w:firstLine="405"/>
        <w:spacing w:after="0" w:line="275" w:lineRule="auto"/>
        <w:rPr>
          <w:sz w:val="20"/>
          <w:szCs w:val="20"/>
          <w:color w:val="auto"/>
        </w:rPr>
      </w:pPr>
      <w:r>
        <w:rPr>
          <w:rFonts w:ascii="Arial" w:cs="Arial" w:eastAsia="Arial" w:hAnsi="Arial"/>
          <w:sz w:val="17"/>
          <w:szCs w:val="17"/>
          <w:color w:val="auto"/>
        </w:rPr>
        <w:t>Borrowings under the senior revolving credit facilities accrue interest at a rate based on a LIBOR reference rate plus a margin that varies by facility. The Company may also pay fees on certain unused portions of the committed borrowing capacity, as defined in the respective credit agreements. The Company’s senior revolving credit facility arrangements typically include upfront fees that may be paid at execution of the applicable agreements or be earned at execution and payable over time. These facilities are generally fully prepayable at any time without penalty other than customary LIBOR breakage costs. Borrowings under the senior term debt facility accrue interest at a fixed rate.</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These borrowings are collateralized by cash, equity in the real estate owning SPEs, and the real estate inventory funded by the relevant revolving credit facility. The lenders have legal recourse only to the real estate-owning SPE borrowers, certain SPE guarantors, and the assets securing the debt, and do not have general recourse to the Company.</w:t>
      </w:r>
    </w:p>
    <w:p>
      <w:pPr>
        <w:spacing w:after="0" w:line="184" w:lineRule="exact"/>
        <w:rPr>
          <w:sz w:val="20"/>
          <w:szCs w:val="20"/>
          <w:color w:val="auto"/>
        </w:rPr>
      </w:pPr>
    </w:p>
    <w:p>
      <w:pPr>
        <w:ind w:right="340" w:firstLine="405"/>
        <w:spacing w:after="0" w:line="257" w:lineRule="auto"/>
        <w:rPr>
          <w:sz w:val="20"/>
          <w:szCs w:val="20"/>
          <w:color w:val="auto"/>
        </w:rPr>
      </w:pPr>
      <w:r>
        <w:rPr>
          <w:rFonts w:ascii="Arial" w:cs="Arial" w:eastAsia="Arial" w:hAnsi="Arial"/>
          <w:sz w:val="18"/>
          <w:szCs w:val="18"/>
          <w:color w:val="auto"/>
        </w:rPr>
        <w:t>The senior revolving credit facilities have aggregated borrowing bases, which increase or decrease based on the cost and value of the properties financed under a given facility and the time that those properties are in the Company’s possession. When the Company resells a home, the proceeds are used to reduce the outstanding balance under the related senior revolving credit facility. The borrowing base for a given facility may be reduced as properties age beyond certain thresholds and any borrowing base deficiencies may be satisfied through contributions of additional properties or partial repayment of the facility.</w:t>
      </w:r>
    </w:p>
    <w:p>
      <w:pPr>
        <w:spacing w:after="0" w:line="18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senior term debt facility has an aggregated property borrowing base, which increases or decreases based on the cost and the value of the properties financed under the facility, how long the Company has possessed such properties and the amount of cash collateral pledged by the SPE borrower. The borrowing base for the facility may be reduced as properties age beyond certain thresholds and any borrowing base deficiencies may be satisfied through contributions of additional properties, cash or through partial repayment of the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Asset-backed Mezzanine Term Debt Facilities</w:t>
      </w:r>
    </w:p>
    <w:p>
      <w:pPr>
        <w:spacing w:after="0" w:line="225"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Company classifies its mezzanine term debt facilities as long-term liabilities on the Company’s condensed consolidated balance sheets because its borrowings under these facilities are generally not required to be repaid until the applicable final maturity date. These facilities are structurally and contractually subordinated to the related senior revolving credit facilities. The following table summarizes certain details related to the Company’s mezzanine term debt facilities as of June 30, 2021 (in thousands, except interest rates):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7"/>
              </w:rPr>
              <w:t>Final</w:t>
            </w:r>
          </w:p>
        </w:tc>
      </w:tr>
      <w:tr>
        <w:trPr>
          <w:trHeight w:val="189"/>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Borrowing</w:t>
            </w:r>
          </w:p>
        </w:tc>
        <w:tc>
          <w:tcPr>
            <w:tcW w:w="220" w:type="dxa"/>
            <w:vAlign w:val="bottom"/>
          </w:tcPr>
          <w:p>
            <w:pPr>
              <w:spacing w:after="0"/>
              <w:rPr>
                <w:sz w:val="16"/>
                <w:szCs w:val="16"/>
                <w:color w:val="auto"/>
              </w:rPr>
            </w:pPr>
          </w:p>
        </w:tc>
        <w:tc>
          <w:tcPr>
            <w:tcW w:w="1200" w:type="dxa"/>
            <w:vAlign w:val="bottom"/>
          </w:tcPr>
          <w:p>
            <w:pPr>
              <w:jc w:val="right"/>
              <w:ind w:right="235"/>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Interest</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End of Draw</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r>
      <w:tr>
        <w:trPr>
          <w:trHeight w:val="230"/>
        </w:trPr>
        <w:tc>
          <w:tcPr>
            <w:tcW w:w="298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2021</w:t>
            </w:r>
          </w:p>
        </w:tc>
        <w:tc>
          <w:tcPr>
            <w:tcW w:w="280" w:type="dxa"/>
            <w:vAlign w:val="bottom"/>
          </w:tcPr>
          <w:p>
            <w:pPr>
              <w:spacing w:after="0"/>
              <w:rPr>
                <w:sz w:val="19"/>
                <w:szCs w:val="19"/>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Capacity</w:t>
            </w:r>
          </w:p>
        </w:tc>
        <w:tc>
          <w:tcPr>
            <w:tcW w:w="220" w:type="dxa"/>
            <w:vAlign w:val="bottom"/>
          </w:tcPr>
          <w:p>
            <w:pPr>
              <w:spacing w:after="0"/>
              <w:rPr>
                <w:sz w:val="19"/>
                <w:szCs w:val="19"/>
                <w:color w:val="auto"/>
              </w:rPr>
            </w:pPr>
          </w:p>
        </w:tc>
        <w:tc>
          <w:tcPr>
            <w:tcW w:w="1200" w:type="dxa"/>
            <w:vAlign w:val="bottom"/>
          </w:tcPr>
          <w:p>
            <w:pPr>
              <w:jc w:val="right"/>
              <w:ind w:right="37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Rate</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Period</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5"/>
        </w:trPr>
        <w:tc>
          <w:tcPr>
            <w:tcW w:w="2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Term Debt Facility 2016-M1</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149,000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149,000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October 31, 2023</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March 31, 2025</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Term Debt Facility 2020-M1</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300,000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1"/>
                <w:szCs w:val="21"/>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January 23, 2023</w:t>
            </w:r>
          </w:p>
        </w:tc>
        <w:tc>
          <w:tcPr>
            <w:tcW w:w="1820" w:type="dxa"/>
            <w:vAlign w:val="bottom"/>
          </w:tcPr>
          <w:p>
            <w:pPr>
              <w:jc w:val="right"/>
              <w:spacing w:after="0"/>
              <w:rPr>
                <w:sz w:val="20"/>
                <w:szCs w:val="20"/>
                <w:color w:val="auto"/>
              </w:rPr>
            </w:pPr>
            <w:r>
              <w:rPr>
                <w:rFonts w:ascii="Arial" w:cs="Arial" w:eastAsia="Arial" w:hAnsi="Arial"/>
                <w:sz w:val="18"/>
                <w:szCs w:val="18"/>
                <w:color w:val="auto"/>
              </w:rPr>
              <w:t>January 23, 2026</w:t>
            </w:r>
          </w:p>
        </w:tc>
      </w:tr>
      <w:tr>
        <w:trPr>
          <w:trHeight w:val="27"/>
        </w:trPr>
        <w:tc>
          <w:tcPr>
            <w:tcW w:w="2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64"/>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449,000</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449,000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r>
      <w:tr>
        <w:trPr>
          <w:trHeight w:val="237"/>
        </w:trPr>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Issuance Costs</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88"/>
        </w:trPr>
        <w:tc>
          <w:tcPr>
            <w:tcW w:w="2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Carrying Value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445,846</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spacing w:after="0"/>
              <w:rPr>
                <w:sz w:val="24"/>
                <w:szCs w:val="24"/>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As of June 30, 2021, there were no undrawn amounts under the mezzanine term debt facilities. Any amounts repaid reduce total borrowing capacity as repaid amounts are not available to be reborrowed. The final maturity dates as reflected in the table above are inclusive of any extensions at the sole discretion of the Company. The Company’s mezzanine term debt facilities may also have extensions subject to lender discretion that are not reflected in the table above.</w:t>
      </w:r>
    </w:p>
    <w:p>
      <w:pPr>
        <w:spacing w:after="0" w:line="187" w:lineRule="exact"/>
        <w:rPr>
          <w:sz w:val="20"/>
          <w:szCs w:val="20"/>
          <w:color w:val="auto"/>
        </w:rPr>
      </w:pPr>
    </w:p>
    <w:p>
      <w:pPr>
        <w:jc w:val="both"/>
        <w:ind w:right="260" w:firstLine="405"/>
        <w:spacing w:after="0" w:line="263" w:lineRule="auto"/>
        <w:rPr>
          <w:sz w:val="20"/>
          <w:szCs w:val="20"/>
          <w:color w:val="auto"/>
        </w:rPr>
      </w:pPr>
      <w:r>
        <w:rPr>
          <w:rFonts w:ascii="Arial" w:cs="Arial" w:eastAsia="Arial" w:hAnsi="Arial"/>
          <w:sz w:val="18"/>
          <w:szCs w:val="18"/>
          <w:color w:val="auto"/>
        </w:rPr>
        <w:t>Borrowings under a given term debt facility accrue interest at a fixed rate. The Company’s mezzanine term debt facility arrangements may include upfront issuance costs that are capitalized as part of the facilities’ respective carrying values. These facilities are fully prepayable at any time but may be subject to certain prepayment penalties.</w:t>
      </w:r>
    </w:p>
    <w:p>
      <w:pPr>
        <w:spacing w:after="0" w:line="184"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These borrowings are collateralized by cash and equity in certain holding companies that own the Company’s real estate owning SPEs. The lenders generally have legal recourse only to the applicable borrowers of the debt and their assets securing the debt and do not have recourse to Opendoor and, with limited exceptions, do not have recourse to other Opendoor subsidiaries.</w:t>
      </w:r>
    </w:p>
    <w:p>
      <w:pPr>
        <w:spacing w:after="0" w:line="184" w:lineRule="exact"/>
        <w:rPr>
          <w:sz w:val="20"/>
          <w:szCs w:val="20"/>
          <w:color w:val="auto"/>
        </w:rPr>
      </w:pPr>
    </w:p>
    <w:p>
      <w:pPr>
        <w:ind w:right="480" w:firstLine="405"/>
        <w:spacing w:after="0" w:line="301" w:lineRule="auto"/>
        <w:rPr>
          <w:sz w:val="20"/>
          <w:szCs w:val="20"/>
          <w:color w:val="auto"/>
        </w:rPr>
      </w:pPr>
      <w:r>
        <w:rPr>
          <w:rFonts w:ascii="Arial" w:cs="Arial" w:eastAsia="Arial" w:hAnsi="Arial"/>
          <w:sz w:val="16"/>
          <w:szCs w:val="16"/>
          <w:color w:val="auto"/>
        </w:rPr>
        <w:t>The mezzanine term debt facilities have aggregated property borrowing bases, which increase or decrease based on the cost and the value of the properties financed under a given facility and time in the Company’s possession of those properties and the amount of cash collateral pledged by the relevant SPE borrower. The borrowing base for a given facility may be reduced as properties age beyond certain thresholds and any borrowing base deficiencies may be satisfied through contributions of additional properties or cash or through partial repayment of the facility.</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2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Company’s inventory financing facilities include customary representations and warranties, covenants and events of default. Financed properties are subject to customary eligibility criteria and concentration limits.</w:t>
      </w:r>
    </w:p>
    <w:p>
      <w:pPr>
        <w:spacing w:after="0" w:line="170"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The terms of these inventory financing facilities and related financing documents require Opendoor to comply with a number of customary financial and other covenants, such as maintaining certain levels of liquidity, tangible net worth or leverage (ratio of debt to equity). As of June 30, 2021, the Company was in compliance with all financial covenants and no event of default had occurred.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Financing</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certain details related to the Company’s mortgage financing (in thousands, except interest rates):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7"/>
              </w:rPr>
              <w:t>Final</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Borrowing</w:t>
            </w:r>
          </w:p>
        </w:tc>
        <w:tc>
          <w:tcPr>
            <w:tcW w:w="20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Outstanding</w:t>
            </w:r>
          </w:p>
        </w:tc>
        <w:tc>
          <w:tcPr>
            <w:tcW w:w="1520" w:type="dxa"/>
            <w:vAlign w:val="bottom"/>
            <w:gridSpan w:val="4"/>
            <w:vMerge w:val="restart"/>
          </w:tcPr>
          <w:p>
            <w:pPr>
              <w:jc w:val="center"/>
              <w:ind w:right="8"/>
              <w:spacing w:after="0"/>
              <w:rPr>
                <w:sz w:val="20"/>
                <w:szCs w:val="20"/>
                <w:color w:val="auto"/>
              </w:rPr>
            </w:pPr>
            <w:r>
              <w:rPr>
                <w:rFonts w:ascii="Arial" w:cs="Arial" w:eastAsia="Arial" w:hAnsi="Arial"/>
                <w:sz w:val="14"/>
                <w:szCs w:val="14"/>
                <w:b w:val="1"/>
                <w:bCs w:val="1"/>
                <w:color w:val="auto"/>
                <w:w w:val="91"/>
              </w:rPr>
              <w:t>Weighted Average</w:t>
            </w:r>
          </w:p>
        </w:tc>
        <w:tc>
          <w:tcPr>
            <w:tcW w:w="154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4"/>
              </w:rPr>
              <w:t>End of Revolving</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43"/>
        </w:trPr>
        <w:tc>
          <w:tcPr>
            <w:tcW w:w="3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Capacity</w:t>
            </w:r>
          </w:p>
        </w:tc>
        <w:tc>
          <w:tcPr>
            <w:tcW w:w="200" w:type="dxa"/>
            <w:vAlign w:val="bottom"/>
          </w:tcPr>
          <w:p>
            <w:pPr>
              <w:spacing w:after="0"/>
              <w:rPr>
                <w:sz w:val="3"/>
                <w:szCs w:val="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520" w:type="dxa"/>
            <w:vAlign w:val="bottom"/>
            <w:gridSpan w:val="4"/>
            <w:vMerge w:val="continue"/>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86"/>
        </w:trPr>
        <w:tc>
          <w:tcPr>
            <w:tcW w:w="40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520" w:type="dxa"/>
            <w:vAlign w:val="bottom"/>
            <w:gridSpan w:val="4"/>
          </w:tcPr>
          <w:p>
            <w:pPr>
              <w:jc w:val="center"/>
              <w:ind w:right="8"/>
              <w:spacing w:after="0"/>
              <w:rPr>
                <w:sz w:val="20"/>
                <w:szCs w:val="20"/>
                <w:color w:val="auto"/>
              </w:rPr>
            </w:pPr>
            <w:r>
              <w:rPr>
                <w:rFonts w:ascii="Arial" w:cs="Arial" w:eastAsia="Arial" w:hAnsi="Arial"/>
                <w:sz w:val="14"/>
                <w:szCs w:val="14"/>
                <w:b w:val="1"/>
                <w:bCs w:val="1"/>
                <w:color w:val="auto"/>
                <w:w w:val="94"/>
              </w:rPr>
              <w:t>Interest Rate</w:t>
            </w:r>
          </w:p>
        </w:tc>
        <w:tc>
          <w:tcPr>
            <w:tcW w:w="15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Period</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Repo Facility 2019-R1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50,000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24,355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1.85 %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4"/>
            <w:shd w:val="clear" w:color="auto" w:fill="CCEEFF"/>
          </w:tcPr>
          <w:p>
            <w:pPr>
              <w:ind w:left="420"/>
              <w:spacing w:after="0"/>
              <w:rPr>
                <w:sz w:val="20"/>
                <w:szCs w:val="20"/>
                <w:color w:val="auto"/>
              </w:rPr>
            </w:pPr>
            <w:r>
              <w:rPr>
                <w:rFonts w:ascii="Arial" w:cs="Arial" w:eastAsia="Arial" w:hAnsi="Arial"/>
                <w:sz w:val="18"/>
                <w:szCs w:val="18"/>
                <w:color w:val="auto"/>
              </w:rPr>
              <w:t>May 26, 2022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May 26, 2022</w:t>
            </w:r>
          </w:p>
        </w:tc>
        <w:tc>
          <w:tcPr>
            <w:tcW w:w="0" w:type="dxa"/>
            <w:vAlign w:val="bottom"/>
          </w:tcPr>
          <w:p>
            <w:pPr>
              <w:spacing w:after="0"/>
              <w:rPr>
                <w:sz w:val="1"/>
                <w:szCs w:val="1"/>
                <w:color w:val="auto"/>
              </w:rPr>
            </w:pPr>
          </w:p>
        </w:tc>
      </w:tr>
      <w:tr>
        <w:trPr>
          <w:trHeight w:val="504"/>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right"/>
              <w:ind w:right="163"/>
              <w:spacing w:after="0"/>
              <w:rPr>
                <w:sz w:val="20"/>
                <w:szCs w:val="20"/>
                <w:color w:val="auto"/>
              </w:rPr>
            </w:pPr>
            <w:r>
              <w:rPr>
                <w:rFonts w:ascii="Arial" w:cs="Arial" w:eastAsia="Arial" w:hAnsi="Arial"/>
                <w:sz w:val="14"/>
                <w:szCs w:val="14"/>
                <w:b w:val="1"/>
                <w:bCs w:val="1"/>
                <w:color w:val="auto"/>
                <w:w w:val="96"/>
              </w:rPr>
              <w:t>Weighted Average</w:t>
            </w:r>
          </w:p>
        </w:tc>
        <w:tc>
          <w:tcPr>
            <w:tcW w:w="0" w:type="dxa"/>
            <w:vAlign w:val="bottom"/>
          </w:tcPr>
          <w:p>
            <w:pPr>
              <w:spacing w:after="0"/>
              <w:rPr>
                <w:sz w:val="1"/>
                <w:szCs w:val="1"/>
                <w:color w:val="auto"/>
              </w:rPr>
            </w:pPr>
          </w:p>
        </w:tc>
      </w:tr>
      <w:tr>
        <w:trPr>
          <w:trHeight w:val="186"/>
        </w:trPr>
        <w:tc>
          <w:tcPr>
            <w:tcW w:w="40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3"/>
              </w:rPr>
              <w:t>Outstanding Amount</w:t>
            </w:r>
          </w:p>
        </w:tc>
        <w:tc>
          <w:tcPr>
            <w:tcW w:w="1440" w:type="dxa"/>
            <w:vAlign w:val="bottom"/>
          </w:tcPr>
          <w:p>
            <w:pPr>
              <w:jc w:val="right"/>
              <w:ind w:right="323"/>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26"/>
        </w:trPr>
        <w:tc>
          <w:tcPr>
            <w:tcW w:w="4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Repo Facility 2019-R1</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00" w:firstLine="405"/>
        <w:spacing w:after="0" w:line="291" w:lineRule="auto"/>
        <w:rPr>
          <w:sz w:val="20"/>
          <w:szCs w:val="20"/>
          <w:color w:val="auto"/>
        </w:rPr>
      </w:pPr>
      <w:r>
        <w:rPr>
          <w:rFonts w:ascii="Arial" w:cs="Arial" w:eastAsia="Arial" w:hAnsi="Arial"/>
          <w:sz w:val="16"/>
          <w:szCs w:val="16"/>
          <w:color w:val="auto"/>
        </w:rPr>
        <w:t>To provide capital for Opendoor Home Loans, the Company utilizes a master repurchase agreement (the “Repurchase Agreement”) which is classified as a current liability on its condensed consolidated balance sheets. In March 2019, the Company entered into the Repurchase Agreement with a lender to provide short-term funding for mortgage loans originated by Opendoor Home Loans. The facility provides short-term financing between the issuance of a mortgage loan and when Opendoor Home Loans sells the loan to an investor. In accordance with the Repurchase Agreement, the lender agrees to pay Opendoor Home Loans a negotiated purchase price for eligible loans and Opendoor Home Loans simultaneously agrees to repurchase such loans from the lender within a specified timeframe and at an agreed upon price that includes interest. Opendoor Labs Inc. is the guarantor with respect to the Repurchase Agreement and the obligation to repurchase loans previously transferred under the arrangement for the benefit of the lender.</w:t>
      </w:r>
    </w:p>
    <w:p>
      <w:pPr>
        <w:spacing w:after="0" w:line="166" w:lineRule="exact"/>
        <w:rPr>
          <w:sz w:val="20"/>
          <w:szCs w:val="20"/>
          <w:color w:val="auto"/>
        </w:rPr>
      </w:pPr>
    </w:p>
    <w:p>
      <w:pPr>
        <w:jc w:val="center"/>
        <w:ind w:right="400"/>
        <w:spacing w:after="0" w:line="291" w:lineRule="auto"/>
        <w:rPr>
          <w:sz w:val="20"/>
          <w:szCs w:val="20"/>
          <w:color w:val="auto"/>
        </w:rPr>
      </w:pPr>
      <w:r>
        <w:rPr>
          <w:rFonts w:ascii="Arial" w:cs="Arial" w:eastAsia="Arial" w:hAnsi="Arial"/>
          <w:sz w:val="16"/>
          <w:szCs w:val="16"/>
          <w:color w:val="auto"/>
        </w:rPr>
        <w:t>As of June 30, 2021, the Repurchase Agreement has a borrowing capacity of $50.0 million, of which $20.0 million is fully committed. The Repurchase Agreement includes customary representations and warranties, covenants and provisions regarding events of default. As of June 30, 2021,</w:t>
      </w:r>
    </w:p>
    <w:p>
      <w:pPr>
        <w:ind w:right="80"/>
        <w:spacing w:after="0" w:line="260" w:lineRule="auto"/>
        <w:rPr>
          <w:sz w:val="20"/>
          <w:szCs w:val="20"/>
          <w:color w:val="auto"/>
        </w:rPr>
      </w:pPr>
      <w:r>
        <w:rPr>
          <w:rFonts w:ascii="Arial" w:cs="Arial" w:eastAsia="Arial" w:hAnsi="Arial"/>
          <w:sz w:val="18"/>
          <w:szCs w:val="18"/>
          <w:color w:val="auto"/>
        </w:rPr>
        <w:t>$25.4 million in mortgage loans were financed under the facility, and Opendoor was in compliance with all financial covenants and no event of default had occurred.</w:t>
      </w:r>
    </w:p>
    <w:p>
      <w:pPr>
        <w:spacing w:after="0" w:line="185"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Transactions under the Repurchase Agreement bear interest at a rate based on one-month LIBOR plus an applicable margin, as defined in the Repurchase Agreement, and are secured by residential mortgage loans available for sale. The Repurchase Agreement contains margin call provisions that provide the lender with certain rights in the event of a decline in the market value of the assets purchased under the Repurchase Agreement. The Repurchase Agreement is recourse to Opendoor Labs Inc.</w:t>
      </w:r>
    </w:p>
    <w:p>
      <w:pPr>
        <w:spacing w:after="0" w:line="183"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DISCLOSURES</w:t>
      </w:r>
    </w:p>
    <w:p>
      <w:pPr>
        <w:spacing w:after="0" w:line="229"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6"/>
          <w:szCs w:val="16"/>
          <w:color w:val="auto"/>
        </w:rPr>
        <w:t>The Company uses fair value measurements to record fair value adjustments to certain assets and liabilities and to determine fair value disclosures.</w:t>
      </w:r>
    </w:p>
    <w:p>
      <w:pPr>
        <w:spacing w:after="0" w:line="248"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Following is a discussion of the fair value hierarchy and the valuation methodologies used for assets and liabilities recorded at fair value on a recurring and nonrecurring basis and for estimating fair value for financial instruments not recorded at fair value.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Fair value measurements of assets and liabilities are categorized based on the following hierarchy: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 xml:space="preserve">Level 1 — </w:t>
      </w:r>
      <w:r>
        <w:rPr>
          <w:rFonts w:ascii="Arial" w:cs="Arial" w:eastAsia="Arial" w:hAnsi="Arial"/>
          <w:sz w:val="18"/>
          <w:szCs w:val="18"/>
          <w:color w:val="auto"/>
        </w:rPr>
        <w:t>Fair value determined based on quoted prices in active markets for identical assets or liabilities.</w:t>
      </w:r>
    </w:p>
    <w:p>
      <w:pPr>
        <w:spacing w:after="0" w:line="225" w:lineRule="exact"/>
        <w:rPr>
          <w:sz w:val="20"/>
          <w:szCs w:val="20"/>
          <w:color w:val="auto"/>
        </w:rPr>
      </w:pPr>
    </w:p>
    <w:p>
      <w:pPr>
        <w:ind w:firstLine="360"/>
        <w:spacing w:after="0" w:line="263" w:lineRule="auto"/>
        <w:rPr>
          <w:sz w:val="20"/>
          <w:szCs w:val="20"/>
          <w:color w:val="auto"/>
        </w:rPr>
      </w:pPr>
      <w:r>
        <w:rPr>
          <w:rFonts w:ascii="Arial" w:cs="Arial" w:eastAsia="Arial" w:hAnsi="Arial"/>
          <w:sz w:val="18"/>
          <w:szCs w:val="18"/>
          <w:b w:val="1"/>
          <w:bCs w:val="1"/>
          <w:i w:val="1"/>
          <w:iCs w:val="1"/>
          <w:color w:val="auto"/>
        </w:rPr>
        <w:t xml:space="preserve">Level 2 — </w:t>
      </w:r>
      <w:r>
        <w:rPr>
          <w:rFonts w:ascii="Arial" w:cs="Arial" w:eastAsia="Arial" w:hAnsi="Arial"/>
          <w:sz w:val="18"/>
          <w:szCs w:val="18"/>
          <w:color w:val="auto"/>
        </w:rPr>
        <w:t>Fair value determined using significant observable inputs, such as quoted prices for similar assets or liabilities or quoted prices for identical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 xml:space="preserve">Level 3 — </w:t>
      </w:r>
      <w:r>
        <w:rPr>
          <w:rFonts w:ascii="Arial" w:cs="Arial" w:eastAsia="Arial" w:hAnsi="Arial"/>
          <w:sz w:val="17"/>
          <w:szCs w:val="17"/>
          <w:color w:val="auto"/>
        </w:rPr>
        <w:t>Fair value determined using significant unobservable inputs, such as pricing models, discounted cash flows, or similar techniques.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OPENDOOR TECHNOLOGIES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Estimation of Fair Value</w:t>
      </w:r>
    </w:p>
    <w:p>
      <w:pPr>
        <w:spacing w:after="0" w:line="225"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following table summarizes the fair value measurement methodologies, including significant inputs and assumptions, and classification of the Company’s assets and liabilities.</w:t>
      </w:r>
    </w:p>
    <w:p>
      <w:pPr>
        <w:sectPr>
          <w:pgSz w:w="11900" w:h="16838" w:orient="portrait"/>
          <w:cols w:equalWidth="0" w:num="1">
            <w:col w:w="11200"/>
          </w:cols>
          <w:pgMar w:left="320" w:top="139" w:right="37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Asset/Liability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2348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and cash equivalents</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Restricted cash</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Marketable securities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Debt securities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Mutual fund</w:t>
      </w:r>
    </w:p>
    <w:p>
      <w:pPr>
        <w:spacing w:after="0" w:line="275" w:lineRule="exact"/>
        <w:rPr>
          <w:sz w:val="20"/>
          <w:szCs w:val="20"/>
          <w:color w:val="auto"/>
        </w:rPr>
      </w:pPr>
    </w:p>
    <w:p>
      <w:pPr>
        <w:ind w:left="20" w:right="180"/>
        <w:spacing w:after="0" w:line="282" w:lineRule="auto"/>
        <w:rPr>
          <w:sz w:val="20"/>
          <w:szCs w:val="20"/>
          <w:color w:val="auto"/>
        </w:rPr>
      </w:pPr>
      <w:r>
        <w:rPr>
          <w:rFonts w:ascii="Arial" w:cs="Arial" w:eastAsia="Arial" w:hAnsi="Arial"/>
          <w:sz w:val="18"/>
          <w:szCs w:val="18"/>
          <w:b w:val="1"/>
          <w:bCs w:val="1"/>
          <w:color w:val="auto"/>
        </w:rPr>
        <w:t>Mortgage loans held for sale pledged under agreements to repurchase</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 current assets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rate lock commitments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 assets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Non-marketable equity securities</w:t>
      </w:r>
    </w:p>
    <w:p>
      <w:pPr>
        <w:spacing w:after="0" w:line="275" w:lineRule="exact"/>
        <w:rPr>
          <w:sz w:val="20"/>
          <w:szCs w:val="20"/>
          <w:color w:val="auto"/>
        </w:rPr>
      </w:pPr>
    </w:p>
    <w:p>
      <w:pPr>
        <w:ind w:left="20"/>
        <w:spacing w:after="0" w:line="344" w:lineRule="auto"/>
        <w:rPr>
          <w:sz w:val="20"/>
          <w:szCs w:val="20"/>
          <w:color w:val="auto"/>
        </w:rPr>
      </w:pPr>
      <w:r>
        <w:rPr>
          <w:rFonts w:ascii="Arial" w:cs="Arial" w:eastAsia="Arial" w:hAnsi="Arial"/>
          <w:sz w:val="18"/>
          <w:szCs w:val="18"/>
          <w:b w:val="1"/>
          <w:bCs w:val="1"/>
          <w:color w:val="auto"/>
        </w:rPr>
        <w:t xml:space="preserve">Credit facilities and other secured borrowings </w:t>
      </w:r>
      <w:r>
        <w:rPr>
          <w:rFonts w:ascii="Arial" w:cs="Arial" w:eastAsia="Arial" w:hAnsi="Arial"/>
          <w:sz w:val="18"/>
          <w:szCs w:val="18"/>
          <w:color w:val="auto"/>
        </w:rPr>
        <w:t>Credit facilities</w:t>
      </w: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17"/>
          <w:szCs w:val="17"/>
          <w:color w:val="auto"/>
        </w:rPr>
        <w:t>Loans sold under agreements to repurchase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Warrant liabilities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Sponsor Warrants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right="1520"/>
        <w:spacing w:after="0" w:line="279" w:lineRule="auto"/>
        <w:rPr>
          <w:sz w:val="20"/>
          <w:szCs w:val="20"/>
          <w:color w:val="auto"/>
        </w:rPr>
      </w:pPr>
      <w:r>
        <w:rPr>
          <w:rFonts w:ascii="Arial" w:cs="Arial" w:eastAsia="Arial" w:hAnsi="Arial"/>
          <w:sz w:val="14"/>
          <w:szCs w:val="14"/>
          <w:b w:val="1"/>
          <w:bCs w:val="1"/>
          <w:color w:val="auto"/>
        </w:rPr>
        <w:t>Valuation Methodology, Inputs and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16510</wp:posOffset>
            </wp:positionV>
            <wp:extent cx="23571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33"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Carrying value is a reasonable estimate of fair value based on short-term nature of the instruments.</w:t>
      </w:r>
    </w:p>
    <w:p>
      <w:pPr>
        <w:spacing w:after="0" w:line="2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Carrying value is a reasonable estimate of fair value based on short-term nature of the instruments.</w:t>
      </w:r>
    </w:p>
    <w:p>
      <w:pPr>
        <w:spacing w:after="0" w:line="2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Prices obtained from third-party vendors that compile prices from various sources and often apply matrix pricing for similar securities when no price is observable.</w:t>
      </w:r>
    </w:p>
    <w:p>
      <w:pPr>
        <w:spacing w:after="0" w:line="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Price is quoted given the security is traded on an exchange.</w:t>
      </w:r>
    </w:p>
    <w:p>
      <w:pPr>
        <w:spacing w:after="0" w:line="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Fair value is estimated based on observable market data including quoted market prices, deal price quotes, and sale commitments.</w:t>
      </w:r>
    </w:p>
    <w:p>
      <w:pPr>
        <w:spacing w:after="0" w:line="29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Fair value of the underlying loan based on observable quoted market prices in the secondary market and sale commitments, with adjustments for the estimated pull-through rate.</w:t>
      </w:r>
    </w:p>
    <w:p>
      <w:pPr>
        <w:spacing w:after="0" w:line="26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Fair value is estimated using the observable transaction price.</w:t>
      </w:r>
    </w:p>
    <w:p>
      <w:pPr>
        <w:spacing w:after="0" w:line="2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Fair value is estimated using discounted cash flows based on current lending rates for similar credit facilities with similar terms and remaining time to maturity.</w:t>
      </w:r>
    </w:p>
    <w:p>
      <w:pPr>
        <w:spacing w:after="0" w:line="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Fair value is estimated using discounted cash flows based on current lending rates for similar asset-backed financing facilities with similar terms and remaining time to maturity.</w:t>
      </w:r>
    </w:p>
    <w:p>
      <w:pPr>
        <w:spacing w:after="0" w:line="29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Fair value is estimated using the price of the Public Warrants or their settlement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23056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Estimated fair value classified as Level 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Estimated fair value classified as Level 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Level 2 recurring fair value measurement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Level 1 recurring fair value measurement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Level 2 recurring fair value measurement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Level 2 recurring fair value measurement for fair value based on observable inputs. Level 3 recurring fair value measurement for fair value with unobservable inputs.</w:t>
      </w:r>
    </w:p>
    <w:p>
      <w:pPr>
        <w:spacing w:after="0" w:line="29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Level 2 non-recurring fair value measurement for fair value based on transaction price.</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Carried at amortized cost.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Estimated fair value classified as Level 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Carried at amortized cost.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Estimated fair value classified as Level 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Level 2 recurring fair value measurement</w:t>
      </w:r>
    </w:p>
    <w:p>
      <w:pPr>
        <w:spacing w:after="0" w:line="517" w:lineRule="exact"/>
        <w:rPr>
          <w:sz w:val="20"/>
          <w:szCs w:val="20"/>
          <w:color w:val="auto"/>
        </w:rPr>
      </w:pPr>
    </w:p>
    <w:p>
      <w:pPr>
        <w:sectPr>
          <w:pgSz w:w="11900" w:h="16838" w:orient="portrait"/>
          <w:cols w:equalWidth="0" w:num="3">
            <w:col w:w="3540" w:space="280"/>
            <w:col w:w="3680" w:space="120"/>
            <w:col w:w="3580"/>
          </w:cols>
          <w:pgMar w:left="320" w:top="139" w:right="37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 w:right="37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Recorded at Fair Value on a Recurring Basis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tables present the levels of the fair value hierarchy for the Company’s assets measured at fair value on a recurring basis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Balance at Fair</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9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6"/>
                <w:szCs w:val="16"/>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4"/>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6"/>
                <w:szCs w:val="16"/>
                <w:color w:val="auto"/>
              </w:rPr>
            </w:pPr>
          </w:p>
        </w:tc>
        <w:tc>
          <w:tcPr>
            <w:tcW w:w="1000" w:type="dxa"/>
            <w:vAlign w:val="bottom"/>
          </w:tcPr>
          <w:p>
            <w:pPr>
              <w:jc w:val="right"/>
              <w:ind w:right="31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6"/>
        </w:trPr>
        <w:tc>
          <w:tcPr>
            <w:tcW w:w="5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gridSpan w:val="3"/>
          </w:tcPr>
          <w:p>
            <w:pPr>
              <w:ind w:left="140"/>
              <w:spacing w:after="0"/>
              <w:rPr>
                <w:sz w:val="20"/>
                <w:szCs w:val="20"/>
                <w:color w:val="auto"/>
              </w:rPr>
            </w:pPr>
            <w:r>
              <w:rPr>
                <w:rFonts w:ascii="Arial" w:cs="Arial" w:eastAsia="Arial" w:hAnsi="Arial"/>
                <w:sz w:val="18"/>
                <w:szCs w:val="18"/>
                <w:color w:val="auto"/>
              </w:rPr>
              <w:t>Mutual fund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200,143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200,143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Mortgage loans held for sale pledged under agreements to repurchase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00" w:type="dxa"/>
            <w:vAlign w:val="bottom"/>
            <w:gridSpan w:val="3"/>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Interest rate lock commitments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63"/>
        </w:trPr>
        <w:tc>
          <w:tcPr>
            <w:tcW w:w="5900" w:type="dxa"/>
            <w:vAlign w:val="bottom"/>
            <w:gridSpan w:val="3"/>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226,322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200,143</w:t>
            </w:r>
          </w:p>
        </w:tc>
        <w:tc>
          <w:tcPr>
            <w:tcW w:w="2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25,368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Warrant liabilities - current:</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00" w:type="dxa"/>
            <w:vAlign w:val="bottom"/>
            <w:gridSpan w:val="3"/>
          </w:tcPr>
          <w:p>
            <w:pPr>
              <w:ind w:left="140"/>
              <w:spacing w:after="0"/>
              <w:rPr>
                <w:sz w:val="20"/>
                <w:szCs w:val="20"/>
                <w:color w:val="auto"/>
              </w:rPr>
            </w:pPr>
            <w:r>
              <w:rPr>
                <w:rFonts w:ascii="Arial" w:cs="Arial" w:eastAsia="Arial" w:hAnsi="Arial"/>
                <w:sz w:val="18"/>
                <w:szCs w:val="18"/>
                <w:color w:val="auto"/>
              </w:rPr>
              <w:t>Sponsor Warrants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38,669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38,669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5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Balance at Fair</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9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6"/>
                <w:szCs w:val="16"/>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4"/>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6"/>
                <w:szCs w:val="16"/>
                <w:color w:val="auto"/>
              </w:rPr>
            </w:pPr>
          </w:p>
        </w:tc>
        <w:tc>
          <w:tcPr>
            <w:tcW w:w="1000" w:type="dxa"/>
            <w:vAlign w:val="bottom"/>
          </w:tcPr>
          <w:p>
            <w:pPr>
              <w:jc w:val="right"/>
              <w:ind w:right="33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6"/>
        </w:trPr>
        <w:tc>
          <w:tcPr>
            <w:tcW w:w="58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gridSpan w:val="3"/>
          </w:tcPr>
          <w:p>
            <w:pPr>
              <w:ind w:left="14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26,409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4"/>
          </w:tcPr>
          <w:p>
            <w:pPr>
              <w:ind w:left="7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26,409</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4"/>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00" w:type="dxa"/>
            <w:vAlign w:val="bottom"/>
            <w:gridSpan w:val="3"/>
          </w:tcPr>
          <w:p>
            <w:pPr>
              <w:ind w:left="140"/>
              <w:spacing w:after="0"/>
              <w:rPr>
                <w:sz w:val="20"/>
                <w:szCs w:val="20"/>
                <w:color w:val="auto"/>
              </w:rPr>
            </w:pPr>
            <w:r>
              <w:rPr>
                <w:rFonts w:ascii="Arial" w:cs="Arial" w:eastAsia="Arial" w:hAnsi="Arial"/>
                <w:sz w:val="18"/>
                <w:szCs w:val="18"/>
                <w:color w:val="auto"/>
              </w:rPr>
              <w:t>U.S. agency securities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6,995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4"/>
          </w:tcPr>
          <w:p>
            <w:pPr>
              <w:ind w:left="7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4"/>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00" w:type="dxa"/>
            <w:vAlign w:val="bottom"/>
            <w:gridSpan w:val="3"/>
          </w:tcPr>
          <w:p>
            <w:pPr>
              <w:ind w:left="20"/>
              <w:spacing w:after="0"/>
              <w:rPr>
                <w:sz w:val="20"/>
                <w:szCs w:val="20"/>
                <w:color w:val="auto"/>
              </w:rPr>
            </w:pPr>
            <w:r>
              <w:rPr>
                <w:rFonts w:ascii="Arial" w:cs="Arial" w:eastAsia="Arial" w:hAnsi="Arial"/>
                <w:sz w:val="18"/>
                <w:szCs w:val="18"/>
                <w:color w:val="auto"/>
              </w:rPr>
              <w:t>Mortgage loans held for sale pledged under agreements to repurchase</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4"/>
          </w:tcPr>
          <w:p>
            <w:pPr>
              <w:ind w:left="7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gridSpan w:val="3"/>
          </w:tcPr>
          <w:p>
            <w:pPr>
              <w:ind w:left="140"/>
              <w:spacing w:after="0"/>
              <w:rPr>
                <w:sz w:val="20"/>
                <w:szCs w:val="20"/>
                <w:color w:val="auto"/>
              </w:rPr>
            </w:pPr>
            <w:r>
              <w:rPr>
                <w:rFonts w:ascii="Arial" w:cs="Arial" w:eastAsia="Arial" w:hAnsi="Arial"/>
                <w:sz w:val="18"/>
                <w:szCs w:val="18"/>
                <w:color w:val="auto"/>
              </w:rPr>
              <w:t>Interest rate lock commitments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4"/>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color w:val="auto"/>
              </w:rPr>
              <w:t>Warrant 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8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Sponsor Warrants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47,349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4"/>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47,349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900" w:type="dxa"/>
            <w:vAlign w:val="bottom"/>
            <w:gridSpan w:val="3"/>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47,349</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gridSpan w:val="2"/>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47,349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presents the carrying value, estimated fair value and the levels of the fair value hierarchy for the Company’s financial instruments other than assets and liabilities measured at fair value on a recurring basis (in thousands).</w:t>
      </w:r>
    </w:p>
    <w:p>
      <w:pPr>
        <w:spacing w:after="0" w:line="216"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32385</wp:posOffset>
            </wp:positionV>
            <wp:extent cx="34029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5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8"/>
                <w:szCs w:val="18"/>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8"/>
                <w:szCs w:val="18"/>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Level 2</w:t>
            </w:r>
          </w:p>
        </w:tc>
      </w:tr>
      <w:tr>
        <w:trPr>
          <w:trHeight w:val="25"/>
        </w:trPr>
        <w:tc>
          <w:tcPr>
            <w:tcW w:w="5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58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1,557,815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1,557,815</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1,557,815</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131,652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88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Non-marketable equity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 facilities and other secured borrowings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2,286,457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2,289,878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2,289,878</w:t>
            </w:r>
          </w:p>
        </w:tc>
      </w:tr>
      <w:tr>
        <w:trPr>
          <w:trHeight w:val="27"/>
        </w:trPr>
        <w:tc>
          <w:tcPr>
            <w:tcW w:w="5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32385</wp:posOffset>
            </wp:positionV>
            <wp:extent cx="34029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9"/>
        </w:trPr>
        <w:tc>
          <w:tcPr>
            <w:tcW w:w="5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9"/>
                <w:szCs w:val="19"/>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9"/>
                <w:szCs w:val="19"/>
                <w:color w:val="auto"/>
              </w:rPr>
            </w:pPr>
          </w:p>
        </w:tc>
        <w:tc>
          <w:tcPr>
            <w:tcW w:w="1000" w:type="dxa"/>
            <w:vAlign w:val="bottom"/>
          </w:tcPr>
          <w:p>
            <w:pPr>
              <w:jc w:val="right"/>
              <w:ind w:right="335"/>
              <w:spacing w:after="0"/>
              <w:rPr>
                <w:sz w:val="20"/>
                <w:szCs w:val="20"/>
                <w:color w:val="auto"/>
              </w:rPr>
            </w:pPr>
            <w:r>
              <w:rPr>
                <w:rFonts w:ascii="Arial" w:cs="Arial" w:eastAsia="Arial" w:hAnsi="Arial"/>
                <w:sz w:val="14"/>
                <w:szCs w:val="14"/>
                <w:b w:val="1"/>
                <w:bCs w:val="1"/>
                <w:color w:val="auto"/>
              </w:rPr>
              <w:t>Level 2</w:t>
            </w:r>
          </w:p>
        </w:tc>
      </w:tr>
      <w:tr>
        <w:trPr>
          <w:trHeight w:val="26"/>
        </w:trPr>
        <w:tc>
          <w:tcPr>
            <w:tcW w:w="5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58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1,412,665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1,412,665</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1,412,665</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92,863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 facilities and other secured borrowings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481,789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486,322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486,322</w:t>
            </w:r>
          </w:p>
        </w:tc>
      </w:tr>
      <w:tr>
        <w:trPr>
          <w:trHeight w:val="27"/>
        </w:trPr>
        <w:tc>
          <w:tcPr>
            <w:tcW w:w="5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following tables show a reconciliation from the opening balances to the closing balances for Level 3 Fair values for the three and six months ended June 30, 2021 and 2020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Embedded</w:t>
            </w:r>
          </w:p>
        </w:tc>
        <w:tc>
          <w:tcPr>
            <w:tcW w:w="160" w:type="dxa"/>
            <w:vAlign w:val="bottom"/>
          </w:tcPr>
          <w:p>
            <w:pPr>
              <w:spacing w:after="0"/>
              <w:rPr>
                <w:sz w:val="14"/>
                <w:szCs w:val="14"/>
                <w:color w:val="auto"/>
              </w:rPr>
            </w:pPr>
          </w:p>
        </w:tc>
        <w:tc>
          <w:tcPr>
            <w:tcW w:w="128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Interest rate lock</w:t>
            </w: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Warrants</w:t>
            </w:r>
          </w:p>
        </w:tc>
        <w:tc>
          <w:tcPr>
            <w:tcW w:w="12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Conversion Option</w:t>
            </w:r>
          </w:p>
        </w:tc>
        <w:tc>
          <w:tcPr>
            <w:tcW w:w="160" w:type="dxa"/>
            <w:vAlign w:val="bottom"/>
          </w:tcPr>
          <w:p>
            <w:pPr>
              <w:spacing w:after="0"/>
              <w:rPr>
                <w:sz w:val="16"/>
                <w:szCs w:val="16"/>
                <w:color w:val="auto"/>
              </w:rPr>
            </w:pPr>
          </w:p>
        </w:tc>
        <w:tc>
          <w:tcPr>
            <w:tcW w:w="128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commitments</w:t>
            </w:r>
          </w:p>
        </w:tc>
        <w:tc>
          <w:tcPr>
            <w:tcW w:w="0" w:type="dxa"/>
            <w:vAlign w:val="bottom"/>
          </w:tcPr>
          <w:p>
            <w:pPr>
              <w:spacing w:after="0"/>
              <w:rPr>
                <w:sz w:val="1"/>
                <w:szCs w:val="1"/>
                <w:color w:val="auto"/>
              </w:rPr>
            </w:pPr>
          </w:p>
        </w:tc>
      </w:tr>
      <w:tr>
        <w:trPr>
          <w:trHeight w:val="26"/>
        </w:trPr>
        <w:tc>
          <w:tcPr>
            <w:tcW w:w="40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2021</w:t>
            </w:r>
          </w:p>
        </w:tc>
        <w:tc>
          <w:tcPr>
            <w:tcW w:w="2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40" w:type="dxa"/>
            <w:vAlign w:val="bottom"/>
          </w:tcPr>
          <w:p>
            <w:pPr>
              <w:ind w:left="240"/>
              <w:spacing w:after="0"/>
              <w:rPr>
                <w:sz w:val="20"/>
                <w:szCs w:val="20"/>
                <w:color w:val="auto"/>
              </w:rPr>
            </w:pPr>
            <w:r>
              <w:rPr>
                <w:rFonts w:ascii="Arial" w:cs="Arial" w:eastAsia="Arial" w:hAnsi="Arial"/>
                <w:sz w:val="18"/>
                <w:szCs w:val="18"/>
                <w:color w:val="auto"/>
              </w:rPr>
              <w:t>Additions</w:t>
            </w: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Origination/Terminations</w:t>
            </w:r>
          </w:p>
        </w:tc>
        <w:tc>
          <w:tcPr>
            <w:tcW w:w="2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43"/>
        </w:trPr>
        <w:tc>
          <w:tcPr>
            <w:tcW w:w="4040" w:type="dxa"/>
            <w:vAlign w:val="bottom"/>
          </w:tcPr>
          <w:p>
            <w:pPr>
              <w:ind w:left="240"/>
              <w:spacing w:after="0"/>
              <w:rPr>
                <w:sz w:val="20"/>
                <w:szCs w:val="20"/>
                <w:color w:val="auto"/>
              </w:rPr>
            </w:pPr>
            <w:r>
              <w:rPr>
                <w:rFonts w:ascii="Arial" w:cs="Arial" w:eastAsia="Arial" w:hAnsi="Arial"/>
                <w:sz w:val="18"/>
                <w:szCs w:val="18"/>
                <w:color w:val="auto"/>
              </w:rPr>
              <w:t>Net change in fair value</w:t>
            </w:r>
          </w:p>
        </w:tc>
        <w:tc>
          <w:tcPr>
            <w:tcW w:w="2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2021</w:t>
            </w:r>
          </w:p>
        </w:tc>
        <w:tc>
          <w:tcPr>
            <w:tcW w:w="3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40" w:type="dxa"/>
            <w:vAlign w:val="bottom"/>
            <w:tcBorders>
              <w:bottom w:val="single" w:sz="8" w:color="CCEEFF"/>
            </w:tcBorders>
          </w:tcPr>
          <w:p>
            <w:pPr>
              <w:spacing w:after="0"/>
              <w:rPr>
                <w:sz w:val="18"/>
                <w:szCs w:val="18"/>
                <w:color w:val="auto"/>
              </w:rPr>
            </w:pPr>
          </w:p>
        </w:tc>
        <w:tc>
          <w:tcPr>
            <w:tcW w:w="27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2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40" w:type="dxa"/>
            <w:vAlign w:val="bottom"/>
          </w:tcPr>
          <w:p>
            <w:pPr>
              <w:ind w:left="240"/>
              <w:spacing w:after="0"/>
              <w:rPr>
                <w:sz w:val="20"/>
                <w:szCs w:val="20"/>
                <w:color w:val="auto"/>
              </w:rPr>
            </w:pPr>
            <w:r>
              <w:rPr>
                <w:rFonts w:ascii="Arial" w:cs="Arial" w:eastAsia="Arial" w:hAnsi="Arial"/>
                <w:sz w:val="18"/>
                <w:szCs w:val="18"/>
                <w:color w:val="auto"/>
              </w:rPr>
              <w:t>Additions</w:t>
            </w: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Origination/Terminations</w:t>
            </w:r>
          </w:p>
        </w:tc>
        <w:tc>
          <w:tcPr>
            <w:tcW w:w="2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43"/>
        </w:trPr>
        <w:tc>
          <w:tcPr>
            <w:tcW w:w="4040" w:type="dxa"/>
            <w:vAlign w:val="bottom"/>
          </w:tcPr>
          <w:p>
            <w:pPr>
              <w:ind w:left="240"/>
              <w:spacing w:after="0"/>
              <w:rPr>
                <w:sz w:val="20"/>
                <w:szCs w:val="20"/>
                <w:color w:val="auto"/>
              </w:rPr>
            </w:pPr>
            <w:r>
              <w:rPr>
                <w:rFonts w:ascii="Arial" w:cs="Arial" w:eastAsia="Arial" w:hAnsi="Arial"/>
                <w:sz w:val="18"/>
                <w:szCs w:val="18"/>
                <w:color w:val="auto"/>
              </w:rPr>
              <w:t>Net change in fair value</w:t>
            </w:r>
          </w:p>
        </w:tc>
        <w:tc>
          <w:tcPr>
            <w:tcW w:w="2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2021</w:t>
            </w:r>
          </w:p>
        </w:tc>
        <w:tc>
          <w:tcPr>
            <w:tcW w:w="3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0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Embedded</w:t>
            </w:r>
          </w:p>
        </w:tc>
        <w:tc>
          <w:tcPr>
            <w:tcW w:w="160" w:type="dxa"/>
            <w:vAlign w:val="bottom"/>
          </w:tcPr>
          <w:p>
            <w:pPr>
              <w:spacing w:after="0"/>
              <w:rPr>
                <w:sz w:val="24"/>
                <w:szCs w:val="24"/>
                <w:color w:val="auto"/>
              </w:rPr>
            </w:pPr>
          </w:p>
        </w:tc>
        <w:tc>
          <w:tcPr>
            <w:tcW w:w="128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Interest rate lock</w:t>
            </w: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Warrants</w:t>
            </w:r>
          </w:p>
        </w:tc>
        <w:tc>
          <w:tcPr>
            <w:tcW w:w="12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Conversion Option</w:t>
            </w:r>
          </w:p>
        </w:tc>
        <w:tc>
          <w:tcPr>
            <w:tcW w:w="160" w:type="dxa"/>
            <w:vAlign w:val="bottom"/>
          </w:tcPr>
          <w:p>
            <w:pPr>
              <w:spacing w:after="0"/>
              <w:rPr>
                <w:sz w:val="16"/>
                <w:szCs w:val="16"/>
                <w:color w:val="auto"/>
              </w:rPr>
            </w:pPr>
          </w:p>
        </w:tc>
        <w:tc>
          <w:tcPr>
            <w:tcW w:w="128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commitments</w:t>
            </w:r>
          </w:p>
        </w:tc>
        <w:tc>
          <w:tcPr>
            <w:tcW w:w="0" w:type="dxa"/>
            <w:vAlign w:val="bottom"/>
          </w:tcPr>
          <w:p>
            <w:pPr>
              <w:spacing w:after="0"/>
              <w:rPr>
                <w:sz w:val="1"/>
                <w:szCs w:val="1"/>
                <w:color w:val="auto"/>
              </w:rPr>
            </w:pPr>
          </w:p>
        </w:tc>
      </w:tr>
      <w:tr>
        <w:trPr>
          <w:trHeight w:val="25"/>
        </w:trPr>
        <w:tc>
          <w:tcPr>
            <w:tcW w:w="40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2020</w:t>
            </w:r>
          </w:p>
        </w:tc>
        <w:tc>
          <w:tcPr>
            <w:tcW w:w="2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41,697</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40" w:type="dxa"/>
            <w:vAlign w:val="bottom"/>
          </w:tcPr>
          <w:p>
            <w:pPr>
              <w:ind w:left="240"/>
              <w:spacing w:after="0"/>
              <w:rPr>
                <w:sz w:val="20"/>
                <w:szCs w:val="20"/>
                <w:color w:val="auto"/>
              </w:rPr>
            </w:pPr>
            <w:r>
              <w:rPr>
                <w:rFonts w:ascii="Arial" w:cs="Arial" w:eastAsia="Arial" w:hAnsi="Arial"/>
                <w:sz w:val="18"/>
                <w:szCs w:val="18"/>
                <w:color w:val="auto"/>
              </w:rPr>
              <w:t>Net change in fair value</w:t>
            </w: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2020</w:t>
            </w:r>
          </w:p>
        </w:tc>
        <w:tc>
          <w:tcPr>
            <w:tcW w:w="3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41,697</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40" w:type="dxa"/>
            <w:vAlign w:val="bottom"/>
            <w:tcBorders>
              <w:bottom w:val="single" w:sz="8" w:color="CCEEFF"/>
            </w:tcBorders>
          </w:tcPr>
          <w:p>
            <w:pPr>
              <w:spacing w:after="0"/>
              <w:rPr>
                <w:sz w:val="18"/>
                <w:szCs w:val="18"/>
                <w:color w:val="auto"/>
              </w:rPr>
            </w:pPr>
          </w:p>
        </w:tc>
        <w:tc>
          <w:tcPr>
            <w:tcW w:w="27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2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41,697</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40" w:type="dxa"/>
            <w:vAlign w:val="bottom"/>
          </w:tcPr>
          <w:p>
            <w:pPr>
              <w:ind w:left="240"/>
              <w:spacing w:after="0"/>
              <w:rPr>
                <w:sz w:val="20"/>
                <w:szCs w:val="20"/>
                <w:color w:val="auto"/>
              </w:rPr>
            </w:pPr>
            <w:r>
              <w:rPr>
                <w:rFonts w:ascii="Arial" w:cs="Arial" w:eastAsia="Arial" w:hAnsi="Arial"/>
                <w:sz w:val="18"/>
                <w:szCs w:val="18"/>
                <w:color w:val="auto"/>
              </w:rPr>
              <w:t>Net change in fair value</w:t>
            </w: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2020</w:t>
            </w:r>
          </w:p>
        </w:tc>
        <w:tc>
          <w:tcPr>
            <w:tcW w:w="3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41,697</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bottom w:val="single" w:sz="8" w:color="CCEEFF"/>
            </w:tcBorders>
            <w:vMerge w:val="restart"/>
          </w:tcPr>
          <w:p>
            <w:pPr>
              <w:jc w:val="right"/>
              <w:ind w:right="970"/>
              <w:spacing w:after="0"/>
              <w:rPr>
                <w:sz w:val="20"/>
                <w:szCs w:val="20"/>
                <w:color w:val="auto"/>
              </w:rPr>
            </w:pPr>
            <w:r>
              <w:rPr>
                <w:rFonts w:ascii="Arial" w:cs="Arial" w:eastAsia="Arial" w:hAnsi="Arial"/>
                <w:sz w:val="18"/>
                <w:szCs w:val="18"/>
                <w:color w:val="auto"/>
              </w:rPr>
              <w:t>23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04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040" w:type="dxa"/>
            <w:vAlign w:val="bottom"/>
            <w:tcBorders>
              <w:bottom w:val="single" w:sz="8" w:color="9A9A9A"/>
            </w:tcBorders>
          </w:tcPr>
          <w:p>
            <w:pPr>
              <w:spacing w:after="0"/>
              <w:rPr>
                <w:sz w:val="11"/>
                <w:szCs w:val="11"/>
                <w:color w:val="auto"/>
              </w:rPr>
            </w:pPr>
          </w:p>
        </w:tc>
        <w:tc>
          <w:tcPr>
            <w:tcW w:w="27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2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as of June 30, 2021 and December 31, 2020, consisted of the following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w:t>
            </w:r>
          </w:p>
        </w:tc>
      </w:tr>
      <w:tr>
        <w:trPr>
          <w:trHeight w:val="186"/>
        </w:trPr>
        <w:tc>
          <w:tcPr>
            <w:tcW w:w="8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6"/>
        </w:trPr>
        <w:tc>
          <w:tcPr>
            <w:tcW w:w="8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57,128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47,823</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Computers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7,999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5,511</w:t>
            </w:r>
          </w:p>
        </w:tc>
      </w:tr>
      <w:tr>
        <w:trPr>
          <w:trHeight w:val="27"/>
        </w:trPr>
        <w:tc>
          <w:tcPr>
            <w:tcW w:w="8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Security systems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3,279</w:t>
            </w:r>
          </w:p>
        </w:tc>
      </w:tr>
      <w:tr>
        <w:trPr>
          <w:trHeight w:val="27"/>
        </w:trPr>
        <w:tc>
          <w:tcPr>
            <w:tcW w:w="8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implementation costs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2,456</w:t>
            </w:r>
          </w:p>
        </w:tc>
      </w:tr>
      <w:tr>
        <w:trPr>
          <w:trHeight w:val="27"/>
        </w:trPr>
        <w:tc>
          <w:tcPr>
            <w:tcW w:w="8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r>
      <w:tr>
        <w:trPr>
          <w:trHeight w:val="237"/>
        </w:trPr>
        <w:tc>
          <w:tcPr>
            <w:tcW w:w="828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77,021</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63,486</w:t>
            </w:r>
          </w:p>
        </w:tc>
      </w:tr>
      <w:tr>
        <w:trPr>
          <w:trHeight w:val="27"/>
        </w:trPr>
        <w:tc>
          <w:tcPr>
            <w:tcW w:w="8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(43,059)</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(34,258)</w:t>
            </w:r>
          </w:p>
        </w:tc>
      </w:tr>
      <w:tr>
        <w:trPr>
          <w:trHeight w:val="264"/>
        </w:trPr>
        <w:tc>
          <w:tcPr>
            <w:tcW w:w="8280" w:type="dxa"/>
            <w:vAlign w:val="bottom"/>
          </w:tcPr>
          <w:p>
            <w:pPr>
              <w:ind w:left="20"/>
              <w:spacing w:after="0"/>
              <w:rPr>
                <w:sz w:val="20"/>
                <w:szCs w:val="20"/>
                <w:color w:val="auto"/>
              </w:rPr>
            </w:pPr>
            <w:r>
              <w:rPr>
                <w:rFonts w:ascii="Arial" w:cs="Arial" w:eastAsia="Arial" w:hAnsi="Arial"/>
                <w:sz w:val="18"/>
                <w:szCs w:val="18"/>
                <w:color w:val="auto"/>
              </w:rPr>
              <w:t>Property and equipment –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33,962</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29,228</w:t>
            </w:r>
          </w:p>
        </w:tc>
      </w:tr>
      <w:tr>
        <w:trPr>
          <w:trHeight w:val="20"/>
        </w:trPr>
        <w:tc>
          <w:tcPr>
            <w:tcW w:w="8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Depreciation and amortization expense of $6.1 million and $11.7 million was recorded for the three and six months ended June 30, 2021,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of $5.9 million and $10.9 million was recorded for the three and six months ended June 30, 2020, respectively.</w:t>
      </w:r>
    </w:p>
    <w:p>
      <w:pPr>
        <w:spacing w:after="0" w:line="23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tab/>
        <w:t>GOODWILL AND INTANGIBLE ASSETS</w:t>
      </w:r>
    </w:p>
    <w:p>
      <w:pPr>
        <w:spacing w:after="0" w:line="229"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There were no additions to goodwill for the six months ended June 30, 2021 or twelve months ended December 31, 2020. No impairment of goodwill was identified for the three and six months ended June 30, 2021 and 2020.</w:t>
      </w:r>
    </w:p>
    <w:p>
      <w:pPr>
        <w:spacing w:after="0" w:line="170" w:lineRule="exact"/>
        <w:rPr>
          <w:sz w:val="20"/>
          <w:szCs w:val="20"/>
          <w:color w:val="auto"/>
        </w:rPr>
      </w:pPr>
    </w:p>
    <w:p>
      <w:pPr>
        <w:ind w:right="1040" w:firstLine="405"/>
        <w:spacing w:after="0" w:line="277" w:lineRule="auto"/>
        <w:rPr>
          <w:sz w:val="20"/>
          <w:szCs w:val="20"/>
          <w:color w:val="auto"/>
        </w:rPr>
      </w:pPr>
      <w:r>
        <w:rPr>
          <w:rFonts w:ascii="Arial" w:cs="Arial" w:eastAsia="Arial" w:hAnsi="Arial"/>
          <w:sz w:val="18"/>
          <w:szCs w:val="18"/>
          <w:color w:val="auto"/>
        </w:rPr>
        <w:t>Intangible assets subject to amortization consisted of the follow as of June 30, 2021 and December 31, 2020, respectively (in thousands, except years):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center"/>
              <w:ind w:right="177"/>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Weighted</w:t>
            </w:r>
          </w:p>
        </w:tc>
      </w:tr>
      <w:tr>
        <w:trPr>
          <w:trHeight w:val="189"/>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6"/>
                <w:szCs w:val="16"/>
                <w:color w:val="auto"/>
              </w:rPr>
            </w:pPr>
          </w:p>
        </w:tc>
        <w:tc>
          <w:tcPr>
            <w:tcW w:w="1160" w:type="dxa"/>
            <w:vAlign w:val="bottom"/>
          </w:tcPr>
          <w:p>
            <w:pPr>
              <w:jc w:val="center"/>
              <w:ind w:right="197"/>
              <w:spacing w:after="0"/>
              <w:rPr>
                <w:sz w:val="20"/>
                <w:szCs w:val="20"/>
                <w:color w:val="auto"/>
              </w:rPr>
            </w:pPr>
            <w:r>
              <w:rPr>
                <w:rFonts w:ascii="Arial" w:cs="Arial" w:eastAsia="Arial" w:hAnsi="Arial"/>
                <w:sz w:val="14"/>
                <w:szCs w:val="14"/>
                <w:b w:val="1"/>
                <w:bCs w:val="1"/>
                <w:color w:val="auto"/>
                <w:w w:val="97"/>
              </w:rPr>
              <w:t>Carrying</w:t>
            </w:r>
          </w:p>
        </w:tc>
        <w:tc>
          <w:tcPr>
            <w:tcW w:w="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Average Useful Life</w:t>
            </w:r>
          </w:p>
        </w:tc>
      </w:tr>
      <w:tr>
        <w:trPr>
          <w:trHeight w:val="240"/>
        </w:trPr>
        <w:tc>
          <w:tcPr>
            <w:tcW w:w="526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20"/>
                <w:szCs w:val="20"/>
                <w:color w:val="auto"/>
              </w:rPr>
            </w:pPr>
          </w:p>
        </w:tc>
        <w:tc>
          <w:tcPr>
            <w:tcW w:w="1160" w:type="dxa"/>
            <w:vAlign w:val="bottom"/>
          </w:tcPr>
          <w:p>
            <w:pPr>
              <w:jc w:val="center"/>
              <w:ind w:right="177"/>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r>
      <w:tr>
        <w:trPr>
          <w:trHeight w:val="25"/>
        </w:trPr>
        <w:tc>
          <w:tcPr>
            <w:tcW w:w="5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15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3.2</w:t>
            </w: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Trademarks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3,238</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3.2</w:t>
            </w: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5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1.0</w:t>
            </w: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Non-competition agreements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79"/>
              </w:rPr>
              <w:t>0</w:t>
            </w: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89"/>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 –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7,595</w:t>
            </w: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559"/>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center"/>
              <w:ind w:right="177"/>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Weighted</w:t>
            </w:r>
          </w:p>
        </w:tc>
      </w:tr>
      <w:tr>
        <w:trPr>
          <w:trHeight w:val="189"/>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6"/>
                <w:szCs w:val="16"/>
                <w:color w:val="auto"/>
              </w:rPr>
            </w:pPr>
          </w:p>
        </w:tc>
        <w:tc>
          <w:tcPr>
            <w:tcW w:w="1160" w:type="dxa"/>
            <w:vAlign w:val="bottom"/>
          </w:tcPr>
          <w:p>
            <w:pPr>
              <w:jc w:val="center"/>
              <w:ind w:right="197"/>
              <w:spacing w:after="0"/>
              <w:rPr>
                <w:sz w:val="20"/>
                <w:szCs w:val="20"/>
                <w:color w:val="auto"/>
              </w:rPr>
            </w:pPr>
            <w:r>
              <w:rPr>
                <w:rFonts w:ascii="Arial" w:cs="Arial" w:eastAsia="Arial" w:hAnsi="Arial"/>
                <w:sz w:val="14"/>
                <w:szCs w:val="14"/>
                <w:b w:val="1"/>
                <w:bCs w:val="1"/>
                <w:color w:val="auto"/>
                <w:w w:val="97"/>
              </w:rPr>
              <w:t>Carrying</w:t>
            </w:r>
          </w:p>
        </w:tc>
        <w:tc>
          <w:tcPr>
            <w:tcW w:w="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Average Useful Life</w:t>
            </w:r>
          </w:p>
        </w:tc>
      </w:tr>
      <w:tr>
        <w:trPr>
          <w:trHeight w:val="227"/>
        </w:trPr>
        <w:tc>
          <w:tcPr>
            <w:tcW w:w="52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9"/>
                <w:szCs w:val="19"/>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9"/>
                <w:szCs w:val="19"/>
                <w:color w:val="auto"/>
              </w:rPr>
            </w:pPr>
          </w:p>
        </w:tc>
        <w:tc>
          <w:tcPr>
            <w:tcW w:w="1160" w:type="dxa"/>
            <w:vAlign w:val="bottom"/>
          </w:tcPr>
          <w:p>
            <w:pPr>
              <w:jc w:val="center"/>
              <w:ind w:right="177"/>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r>
      <w:tr>
        <w:trPr>
          <w:trHeight w:val="25"/>
        </w:trPr>
        <w:tc>
          <w:tcPr>
            <w:tcW w:w="5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4,778</w:t>
            </w:r>
          </w:p>
        </w:tc>
        <w:tc>
          <w:tcPr>
            <w:tcW w:w="15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3.7</w:t>
            </w: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Trademarks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3,748</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3.7</w:t>
            </w:r>
          </w:p>
        </w:tc>
      </w:tr>
      <w:tr>
        <w:trPr>
          <w:trHeight w:val="27"/>
        </w:trPr>
        <w:tc>
          <w:tcPr>
            <w:tcW w:w="52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0</w:t>
            </w: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Non-competition agreements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79"/>
              </w:rPr>
              <w:t>0</w:t>
            </w:r>
          </w:p>
        </w:tc>
      </w:tr>
      <w:tr>
        <w:trPr>
          <w:trHeight w:val="27"/>
        </w:trPr>
        <w:tc>
          <w:tcPr>
            <w:tcW w:w="52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88"/>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 –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8,526</w:t>
            </w: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Company also has domain name intangible assets, which are not subject to amortization, with a carrying amount of $0.2 million as of both June 30, 2021 and December 31, 2020, respectively.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Amortization expense for intangible assets was $0.6 million and $1.2 million for the three and six months ended June 30, 2021,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intangible assets was $1.1 million and $2.2 million for the three and six months ended June 30, 2020, respectively.</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2021, expected amortization of intangible assets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Years</w:t>
            </w:r>
          </w:p>
        </w:tc>
        <w:tc>
          <w:tcPr>
            <w:tcW w:w="200" w:type="dxa"/>
            <w:vAlign w:val="bottom"/>
          </w:tcPr>
          <w:p>
            <w:pPr>
              <w:spacing w:after="0"/>
              <w:rPr>
                <w:sz w:val="16"/>
                <w:szCs w:val="16"/>
                <w:color w:val="auto"/>
              </w:rPr>
            </w:pPr>
          </w:p>
        </w:tc>
        <w:tc>
          <w:tcPr>
            <w:tcW w:w="1240" w:type="dxa"/>
            <w:vAlign w:val="bottom"/>
          </w:tcPr>
          <w:p>
            <w:pPr>
              <w:jc w:val="right"/>
              <w:ind w:right="173"/>
              <w:spacing w:after="0"/>
              <w:rPr>
                <w:sz w:val="20"/>
                <w:szCs w:val="20"/>
                <w:color w:val="auto"/>
              </w:rPr>
            </w:pPr>
            <w:r>
              <w:rPr>
                <w:rFonts w:ascii="Arial" w:cs="Arial" w:eastAsia="Arial" w:hAnsi="Arial"/>
                <w:sz w:val="14"/>
                <w:szCs w:val="14"/>
                <w:b w:val="1"/>
                <w:bCs w:val="1"/>
                <w:color w:val="auto"/>
                <w:w w:val="99"/>
              </w:rPr>
              <w:t>(In thousands)</w:t>
            </w:r>
          </w:p>
        </w:tc>
      </w:tr>
      <w:tr>
        <w:trPr>
          <w:trHeight w:val="26"/>
        </w:trPr>
        <w:tc>
          <w:tcPr>
            <w:tcW w:w="9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r>
      <w:tr>
        <w:trPr>
          <w:trHeight w:val="243"/>
        </w:trPr>
        <w:tc>
          <w:tcPr>
            <w:tcW w:w="9720" w:type="dxa"/>
            <w:vAlign w:val="bottom"/>
          </w:tcPr>
          <w:p>
            <w:pPr>
              <w:ind w:left="2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2,428</w:t>
            </w:r>
          </w:p>
        </w:tc>
      </w:tr>
      <w:tr>
        <w:trPr>
          <w:trHeight w:val="27"/>
        </w:trPr>
        <w:tc>
          <w:tcPr>
            <w:tcW w:w="9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r>
      <w:tr>
        <w:trPr>
          <w:trHeight w:val="243"/>
        </w:trPr>
        <w:tc>
          <w:tcPr>
            <w:tcW w:w="9720" w:type="dxa"/>
            <w:vAlign w:val="bottom"/>
          </w:tcPr>
          <w:p>
            <w:pPr>
              <w:ind w:left="20"/>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1,566</w:t>
            </w:r>
          </w:p>
        </w:tc>
      </w:tr>
      <w:tr>
        <w:trPr>
          <w:trHeight w:val="27"/>
        </w:trPr>
        <w:tc>
          <w:tcPr>
            <w:tcW w:w="9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7,595</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tab/>
        <w:t>SHAREHOLDERS’ EQUITY</w:t>
      </w:r>
    </w:p>
    <w:p>
      <w:pPr>
        <w:spacing w:after="0" w:line="22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February 9, 2021, the Company completed an underwritten public offering (the “February 2021 Offering”) in which the Company sold 32,817,421 shares of its common stock at a public offering price of $27.00 per share, including the exercise in full by the underwriters of their option to purchase up to 4,280,533 additional shares of common stock, which was completed on February 11, 2021. The Company received aggregate net proceeds from the February 2021 Offering of approximately $859.5 million after deducting underwriting discounts and commissions and offering expenses payable by the Company upon closing. The February 2021 Offering satisfied the liquidity event vesting condition of certain restricted stock units ("RSUs"). For further information on the RSUs, see “</w:t>
      </w:r>
      <w:r>
        <w:rPr>
          <w:rFonts w:ascii="Arial" w:cs="Arial" w:eastAsia="Arial" w:hAnsi="Arial"/>
          <w:sz w:val="18"/>
          <w:szCs w:val="18"/>
          <w:i w:val="1"/>
          <w:iCs w:val="1"/>
          <w:color w:val="auto"/>
        </w:rPr>
        <w:t>Note 12 — Share-Based Awards”.</w:t>
      </w:r>
    </w:p>
    <w:p>
      <w:pPr>
        <w:spacing w:after="0" w:line="1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SHARE-BASED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RSUs</w:t>
      </w:r>
    </w:p>
    <w:p>
      <w:pPr>
        <w:spacing w:after="0" w:line="225" w:lineRule="exact"/>
        <w:rPr>
          <w:sz w:val="20"/>
          <w:szCs w:val="20"/>
          <w:color w:val="auto"/>
        </w:rPr>
      </w:pPr>
    </w:p>
    <w:p>
      <w:pPr>
        <w:jc w:val="both"/>
        <w:ind w:right="280" w:firstLine="360"/>
        <w:spacing w:after="0" w:line="263" w:lineRule="auto"/>
        <w:rPr>
          <w:sz w:val="20"/>
          <w:szCs w:val="20"/>
          <w:color w:val="auto"/>
        </w:rPr>
      </w:pPr>
      <w:r>
        <w:rPr>
          <w:rFonts w:ascii="Arial" w:cs="Arial" w:eastAsia="Arial" w:hAnsi="Arial"/>
          <w:sz w:val="18"/>
          <w:szCs w:val="18"/>
          <w:color w:val="auto"/>
        </w:rPr>
        <w:t>Option awards are generally granted with an exercise price equal to the fair value of the Company’s common stock at the date of grant. Options are exercisable over a maximum term of 10 years from the date of grant and generally vest over a period of four years. Incentive stock options granted to a 10% shareholder are exercisable over a maximum term of five years from the date of grant.</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stock option activity for the six months ended June 30, 2021,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5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left="328"/>
              <w:spacing w:after="0"/>
              <w:rPr>
                <w:sz w:val="20"/>
                <w:szCs w:val="20"/>
                <w:color w:val="auto"/>
              </w:rPr>
            </w:pPr>
            <w:r>
              <w:rPr>
                <w:rFonts w:ascii="Arial" w:cs="Arial" w:eastAsia="Arial" w:hAnsi="Arial"/>
                <w:sz w:val="14"/>
                <w:szCs w:val="14"/>
                <w:b w:val="1"/>
                <w:bCs w:val="1"/>
                <w:color w:val="auto"/>
                <w:w w:val="94"/>
              </w:rPr>
              <w:t>Weighted-</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6"/>
                <w:szCs w:val="16"/>
                <w:color w:val="auto"/>
              </w:rPr>
            </w:pPr>
          </w:p>
        </w:tc>
        <w:tc>
          <w:tcPr>
            <w:tcW w:w="124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r>
      <w:tr>
        <w:trPr>
          <w:trHeight w:val="189"/>
        </w:trPr>
        <w:tc>
          <w:tcPr>
            <w:tcW w:w="52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6"/>
                <w:szCs w:val="16"/>
                <w:color w:val="auto"/>
              </w:rPr>
            </w:pPr>
          </w:p>
        </w:tc>
        <w:tc>
          <w:tcPr>
            <w:tcW w:w="1040" w:type="dxa"/>
            <w:vAlign w:val="bottom"/>
          </w:tcPr>
          <w:p>
            <w:pPr>
              <w:jc w:val="center"/>
              <w:ind w:left="328"/>
              <w:spacing w:after="0"/>
              <w:rPr>
                <w:sz w:val="20"/>
                <w:szCs w:val="20"/>
                <w:color w:val="auto"/>
              </w:rPr>
            </w:pPr>
            <w:r>
              <w:rPr>
                <w:rFonts w:ascii="Arial" w:cs="Arial" w:eastAsia="Arial" w:hAnsi="Arial"/>
                <w:sz w:val="14"/>
                <w:szCs w:val="14"/>
                <w:b w:val="1"/>
                <w:bCs w:val="1"/>
                <w:color w:val="auto"/>
                <w:w w:val="94"/>
              </w:rPr>
              <w:t>Average</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6"/>
                <w:szCs w:val="16"/>
                <w:color w:val="auto"/>
              </w:rPr>
            </w:pPr>
          </w:p>
        </w:tc>
        <w:tc>
          <w:tcPr>
            <w:tcW w:w="124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Intrinsic</w:t>
            </w:r>
          </w:p>
        </w:tc>
      </w:tr>
      <w:tr>
        <w:trPr>
          <w:trHeight w:val="189"/>
        </w:trPr>
        <w:tc>
          <w:tcPr>
            <w:tcW w:w="52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6"/>
                <w:szCs w:val="16"/>
                <w:color w:val="auto"/>
              </w:rPr>
            </w:pPr>
          </w:p>
        </w:tc>
        <w:tc>
          <w:tcPr>
            <w:tcW w:w="1040" w:type="dxa"/>
            <w:vAlign w:val="bottom"/>
          </w:tcPr>
          <w:p>
            <w:pPr>
              <w:jc w:val="center"/>
              <w:ind w:left="328"/>
              <w:spacing w:after="0"/>
              <w:rPr>
                <w:sz w:val="20"/>
                <w:szCs w:val="20"/>
                <w:color w:val="auto"/>
              </w:rPr>
            </w:pPr>
            <w:r>
              <w:rPr>
                <w:rFonts w:ascii="Arial" w:cs="Arial" w:eastAsia="Arial" w:hAnsi="Arial"/>
                <w:sz w:val="14"/>
                <w:szCs w:val="14"/>
                <w:b w:val="1"/>
                <w:bCs w:val="1"/>
                <w:color w:val="auto"/>
                <w:w w:val="90"/>
              </w:rPr>
              <w:t>Exercise</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6"/>
                <w:szCs w:val="16"/>
                <w:color w:val="auto"/>
              </w:rPr>
            </w:pPr>
          </w:p>
        </w:tc>
        <w:tc>
          <w:tcPr>
            <w:tcW w:w="1240" w:type="dxa"/>
            <w:vAlign w:val="bottom"/>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189"/>
        </w:trPr>
        <w:tc>
          <w:tcPr>
            <w:tcW w:w="52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1040" w:type="dxa"/>
            <w:vAlign w:val="bottom"/>
          </w:tcPr>
          <w:p>
            <w:pPr>
              <w:jc w:val="center"/>
              <w:ind w:left="328"/>
              <w:spacing w:after="0"/>
              <w:rPr>
                <w:sz w:val="20"/>
                <w:szCs w:val="20"/>
                <w:color w:val="auto"/>
              </w:rPr>
            </w:pPr>
            <w:r>
              <w:rPr>
                <w:rFonts w:ascii="Arial" w:cs="Arial" w:eastAsia="Arial" w:hAnsi="Arial"/>
                <w:sz w:val="14"/>
                <w:szCs w:val="14"/>
                <w:b w:val="1"/>
                <w:bCs w:val="1"/>
                <w:color w:val="auto"/>
                <w:w w:val="93"/>
              </w:rPr>
              <w:t>Price</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Term (in years)</w:t>
            </w:r>
          </w:p>
        </w:tc>
        <w:tc>
          <w:tcPr>
            <w:tcW w:w="200" w:type="dxa"/>
            <w:vAlign w:val="bottom"/>
          </w:tcPr>
          <w:p>
            <w:pPr>
              <w:spacing w:after="0"/>
              <w:rPr>
                <w:sz w:val="16"/>
                <w:szCs w:val="16"/>
                <w:color w:val="auto"/>
              </w:rPr>
            </w:pPr>
          </w:p>
        </w:tc>
        <w:tc>
          <w:tcPr>
            <w:tcW w:w="1240" w:type="dxa"/>
            <w:vAlign w:val="bottom"/>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r>
      <w:tr>
        <w:trPr>
          <w:trHeight w:val="80"/>
        </w:trPr>
        <w:tc>
          <w:tcPr>
            <w:tcW w:w="5220" w:type="dxa"/>
            <w:vAlign w:val="bottom"/>
            <w:tcBorders>
              <w:bottom w:val="single" w:sz="8" w:color="CCEEFF"/>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r>
      <w:tr>
        <w:trPr>
          <w:trHeight w:val="243"/>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2020</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24,158</w:t>
            </w:r>
          </w:p>
        </w:tc>
        <w:tc>
          <w:tcPr>
            <w:tcW w:w="114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1.91</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502,767</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tcPr>
          <w:p>
            <w:pPr>
              <w:jc w:val="right"/>
              <w:spacing w:after="0"/>
              <w:rPr>
                <w:sz w:val="20"/>
                <w:szCs w:val="20"/>
                <w:color w:val="auto"/>
              </w:rPr>
            </w:pPr>
            <w:r>
              <w:rPr>
                <w:rFonts w:ascii="Arial" w:cs="Arial" w:eastAsia="Arial" w:hAnsi="Arial"/>
                <w:sz w:val="18"/>
                <w:szCs w:val="18"/>
                <w:color w:val="auto"/>
              </w:rPr>
              <w:t>(4,242)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1.63</w:t>
            </w: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2.72</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Expired</w:t>
            </w: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3.02</w:t>
            </w: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89"/>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Balance-June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19,741</w:t>
            </w:r>
          </w:p>
        </w:tc>
        <w:tc>
          <w:tcPr>
            <w:tcW w:w="114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1.84</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310,914</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244"/>
        </w:trPr>
        <w:tc>
          <w:tcPr>
            <w:tcW w:w="5220" w:type="dxa"/>
            <w:vAlign w:val="bottom"/>
          </w:tcPr>
          <w:p>
            <w:pPr>
              <w:ind w:left="20"/>
              <w:spacing w:after="0"/>
              <w:rPr>
                <w:sz w:val="20"/>
                <w:szCs w:val="20"/>
                <w:color w:val="auto"/>
              </w:rPr>
            </w:pPr>
            <w:r>
              <w:rPr>
                <w:rFonts w:ascii="Arial" w:cs="Arial" w:eastAsia="Arial" w:hAnsi="Arial"/>
                <w:sz w:val="18"/>
                <w:szCs w:val="18"/>
                <w:color w:val="auto"/>
              </w:rPr>
              <w:t>Exercisable-June 30, 2021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16,305</w:t>
            </w:r>
          </w:p>
        </w:tc>
        <w:tc>
          <w:tcPr>
            <w:tcW w:w="114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5"/>
              </w:rPr>
              <w:t>1.66</w:t>
            </w:r>
          </w:p>
        </w:tc>
        <w:tc>
          <w:tcPr>
            <w:tcW w:w="8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261,938</w:t>
            </w:r>
          </w:p>
        </w:tc>
      </w:tr>
      <w:tr>
        <w:trPr>
          <w:trHeight w:val="20"/>
        </w:trPr>
        <w:tc>
          <w:tcPr>
            <w:tcW w:w="5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options granted during the six months ended June 30, 2021.</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Beginning in 2021, RSUs typically vest upon a service-based requirement, generally over a four year period. Prior to 2021, certain awards also had a performance condition to vesting, which was satisfied upon completion of the February 2021 Offering and triggered the recognition of compensation expense for certain RSUs for which the time-based vesting condition had been satisfied or partially satisfied. Subsequent to the February 2021 Offering, the RSUs are only subject to time-based vesting conditions. The vesting requirements of the RSUs typically have a maximum term of seven years from the date of grant.</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RSU activity for the six months ended June 30, 2021,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Weighted-</w:t>
            </w:r>
          </w:p>
        </w:tc>
      </w:tr>
      <w:tr>
        <w:trPr>
          <w:trHeight w:val="189"/>
        </w:trPr>
        <w:tc>
          <w:tcPr>
            <w:tcW w:w="82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38"/>
              <w:spacing w:after="0"/>
              <w:rPr>
                <w:sz w:val="20"/>
                <w:szCs w:val="20"/>
                <w:color w:val="auto"/>
              </w:rPr>
            </w:pPr>
            <w:r>
              <w:rPr>
                <w:rFonts w:ascii="Arial" w:cs="Arial" w:eastAsia="Arial" w:hAnsi="Arial"/>
                <w:sz w:val="14"/>
                <w:szCs w:val="14"/>
                <w:b w:val="1"/>
                <w:bCs w:val="1"/>
                <w:color w:val="auto"/>
                <w:w w:val="90"/>
              </w:rPr>
              <w:t>Average</w:t>
            </w:r>
          </w:p>
        </w:tc>
      </w:tr>
      <w:tr>
        <w:trPr>
          <w:trHeight w:val="189"/>
        </w:trPr>
        <w:tc>
          <w:tcPr>
            <w:tcW w:w="82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6"/>
              </w:rPr>
              <w:t>RSUs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8"/>
              <w:spacing w:after="0"/>
              <w:rPr>
                <w:sz w:val="20"/>
                <w:szCs w:val="20"/>
                <w:color w:val="auto"/>
              </w:rPr>
            </w:pPr>
            <w:r>
              <w:rPr>
                <w:rFonts w:ascii="Arial" w:cs="Arial" w:eastAsia="Arial" w:hAnsi="Arial"/>
                <w:sz w:val="14"/>
                <w:szCs w:val="14"/>
                <w:b w:val="1"/>
                <w:bCs w:val="1"/>
                <w:color w:val="auto"/>
                <w:w w:val="99"/>
              </w:rPr>
              <w:t>Grant-Date</w:t>
            </w:r>
          </w:p>
        </w:tc>
      </w:tr>
      <w:tr>
        <w:trPr>
          <w:trHeight w:val="189"/>
        </w:trPr>
        <w:tc>
          <w:tcPr>
            <w:tcW w:w="82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8"/>
              <w:spacing w:after="0"/>
              <w:rPr>
                <w:sz w:val="20"/>
                <w:szCs w:val="20"/>
                <w:color w:val="auto"/>
              </w:rPr>
            </w:pPr>
            <w:r>
              <w:rPr>
                <w:rFonts w:ascii="Arial" w:cs="Arial" w:eastAsia="Arial" w:hAnsi="Arial"/>
                <w:sz w:val="14"/>
                <w:szCs w:val="14"/>
                <w:b w:val="1"/>
                <w:bCs w:val="1"/>
                <w:color w:val="auto"/>
                <w:w w:val="95"/>
              </w:rPr>
              <w:t>Fair Value</w:t>
            </w:r>
          </w:p>
        </w:tc>
      </w:tr>
      <w:tr>
        <w:trPr>
          <w:trHeight w:val="66"/>
        </w:trPr>
        <w:tc>
          <w:tcPr>
            <w:tcW w:w="8280" w:type="dxa"/>
            <w:vAlign w:val="bottom"/>
            <w:tcBorders>
              <w:bottom w:val="single" w:sz="8" w:color="CCEEFF"/>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outstanding-December 31, 2020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46,525</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24,470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20.96</w:t>
            </w:r>
          </w:p>
        </w:tc>
      </w:tr>
      <w:tr>
        <w:trPr>
          <w:trHeight w:val="27"/>
        </w:trPr>
        <w:tc>
          <w:tcPr>
            <w:tcW w:w="8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spacing w:after="0"/>
              <w:rPr>
                <w:sz w:val="20"/>
                <w:szCs w:val="20"/>
                <w:color w:val="auto"/>
              </w:rPr>
            </w:pPr>
            <w:r>
              <w:rPr>
                <w:rFonts w:ascii="Arial" w:cs="Arial" w:eastAsia="Arial" w:hAnsi="Arial"/>
                <w:sz w:val="18"/>
                <w:szCs w:val="18"/>
                <w:color w:val="auto"/>
              </w:rPr>
              <w:t>(547)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8.93</w:t>
            </w:r>
          </w:p>
        </w:tc>
      </w:tr>
      <w:tr>
        <w:trPr>
          <w:trHeight w:val="27"/>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8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outstanding-June 30,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55,548</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225"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The Company has granted Restricted Shares to certain continuing employees, primarily in connection with acquisitions. The Restricted Shares vest upon satisfaction of a service condition, which generally ranges from three to four years.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Restricted Shares activity for the six months ended June 30, 2021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37"/>
              <w:spacing w:after="0"/>
              <w:rPr>
                <w:sz w:val="20"/>
                <w:szCs w:val="20"/>
                <w:color w:val="auto"/>
              </w:rPr>
            </w:pPr>
            <w:r>
              <w:rPr>
                <w:rFonts w:ascii="Arial" w:cs="Arial" w:eastAsia="Arial" w:hAnsi="Arial"/>
                <w:sz w:val="14"/>
                <w:szCs w:val="14"/>
                <w:b w:val="1"/>
                <w:bCs w:val="1"/>
                <w:color w:val="auto"/>
                <w:w w:val="90"/>
              </w:rPr>
              <w:t>Average</w:t>
            </w:r>
          </w:p>
        </w:tc>
      </w:tr>
      <w:tr>
        <w:trPr>
          <w:trHeight w:val="189"/>
        </w:trPr>
        <w:tc>
          <w:tcPr>
            <w:tcW w:w="82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 Shares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7"/>
              <w:spacing w:after="0"/>
              <w:rPr>
                <w:sz w:val="20"/>
                <w:szCs w:val="20"/>
                <w:color w:val="auto"/>
              </w:rPr>
            </w:pPr>
            <w:r>
              <w:rPr>
                <w:rFonts w:ascii="Arial" w:cs="Arial" w:eastAsia="Arial" w:hAnsi="Arial"/>
                <w:sz w:val="14"/>
                <w:szCs w:val="14"/>
                <w:b w:val="1"/>
                <w:bCs w:val="1"/>
                <w:color w:val="auto"/>
                <w:w w:val="99"/>
              </w:rPr>
              <w:t>Grant-Date</w:t>
            </w:r>
          </w:p>
        </w:tc>
      </w:tr>
      <w:tr>
        <w:trPr>
          <w:trHeight w:val="189"/>
        </w:trPr>
        <w:tc>
          <w:tcPr>
            <w:tcW w:w="82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7"/>
              <w:spacing w:after="0"/>
              <w:rPr>
                <w:sz w:val="20"/>
                <w:szCs w:val="20"/>
                <w:color w:val="auto"/>
              </w:rPr>
            </w:pPr>
            <w:r>
              <w:rPr>
                <w:rFonts w:ascii="Arial" w:cs="Arial" w:eastAsia="Arial" w:hAnsi="Arial"/>
                <w:sz w:val="14"/>
                <w:szCs w:val="14"/>
                <w:b w:val="1"/>
                <w:bCs w:val="1"/>
                <w:color w:val="auto"/>
                <w:w w:val="95"/>
              </w:rPr>
              <w:t>Fair Value</w:t>
            </w:r>
          </w:p>
        </w:tc>
      </w:tr>
      <w:tr>
        <w:trPr>
          <w:trHeight w:val="80"/>
        </w:trPr>
        <w:tc>
          <w:tcPr>
            <w:tcW w:w="828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Unvested-December 31, 2020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63"/>
        </w:trPr>
        <w:tc>
          <w:tcPr>
            <w:tcW w:w="8280" w:type="dxa"/>
            <w:vAlign w:val="bottom"/>
          </w:tcPr>
          <w:p>
            <w:pPr>
              <w:ind w:left="20"/>
              <w:spacing w:after="0"/>
              <w:rPr>
                <w:sz w:val="20"/>
                <w:szCs w:val="20"/>
                <w:color w:val="auto"/>
              </w:rPr>
            </w:pPr>
            <w:r>
              <w:rPr>
                <w:rFonts w:ascii="Arial" w:cs="Arial" w:eastAsia="Arial" w:hAnsi="Arial"/>
                <w:sz w:val="18"/>
                <w:szCs w:val="18"/>
                <w:color w:val="auto"/>
              </w:rPr>
              <w:t>Unvested-June 30, 2021</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28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outstanding-June 30,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ind w:right="340" w:firstLine="405"/>
        <w:spacing w:after="0" w:line="263" w:lineRule="auto"/>
        <w:rPr>
          <w:sz w:val="20"/>
          <w:szCs w:val="20"/>
          <w:color w:val="auto"/>
        </w:rPr>
      </w:pPr>
      <w:r>
        <w:rPr>
          <w:rFonts w:ascii="Arial" w:cs="Arial" w:eastAsia="Arial" w:hAnsi="Arial"/>
          <w:sz w:val="18"/>
          <w:szCs w:val="18"/>
          <w:color w:val="auto"/>
        </w:rPr>
        <w:t>Stock-based compensation expense is allocated based on the cost center to which the award holder belongs. The following table summarizes total stock-based compensation expense by function as presented in the condensed consolidated statements of operations for the three and six months ended June 30, 2021 and 2020,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80" w:type="dxa"/>
            <w:vAlign w:val="bottom"/>
            <w:gridSpan w:val="3"/>
          </w:tcPr>
          <w:p>
            <w:pPr>
              <w:jc w:val="right"/>
              <w:ind w:right="19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86"/>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80" w:type="dxa"/>
            <w:vAlign w:val="bottom"/>
            <w:gridSpan w:val="3"/>
          </w:tcPr>
          <w:p>
            <w:pPr>
              <w:jc w:val="right"/>
              <w:ind w:right="596"/>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6"/>
                <w:szCs w:val="16"/>
                <w:color w:val="auto"/>
              </w:rPr>
            </w:pPr>
          </w:p>
        </w:tc>
      </w:tr>
      <w:tr>
        <w:trPr>
          <w:trHeight w:val="25"/>
        </w:trPr>
        <w:tc>
          <w:tcPr>
            <w:tcW w:w="5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4"/>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ind w:right="494"/>
              <w:spacing w:after="0"/>
              <w:rPr>
                <w:sz w:val="20"/>
                <w:szCs w:val="20"/>
                <w:color w:val="auto"/>
              </w:rPr>
            </w:pPr>
            <w:r>
              <w:rPr>
                <w:rFonts w:ascii="Arial" w:cs="Arial" w:eastAsia="Arial" w:hAnsi="Arial"/>
                <w:sz w:val="14"/>
                <w:szCs w:val="14"/>
                <w:b w:val="1"/>
                <w:bCs w:val="1"/>
                <w:color w:val="auto"/>
                <w:w w:val="89"/>
              </w:rPr>
              <w:t>2020</w:t>
            </w:r>
          </w:p>
        </w:tc>
      </w:tr>
      <w:tr>
        <w:trPr>
          <w:trHeight w:val="25"/>
        </w:trPr>
        <w:tc>
          <w:tcPr>
            <w:tcW w:w="5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155,707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2,032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352,743</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3,586</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Sales, marketing and operations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8,270</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756</w:t>
            </w:r>
          </w:p>
        </w:tc>
      </w:tr>
      <w:tr>
        <w:trPr>
          <w:trHeight w:val="27"/>
        </w:trPr>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6,645</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1,234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42,035</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2,298</w:t>
            </w:r>
          </w:p>
        </w:tc>
      </w:tr>
      <w:tr>
        <w:trPr>
          <w:trHeight w:val="264"/>
        </w:trPr>
        <w:tc>
          <w:tcPr>
            <w:tcW w:w="524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164,216</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3,670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403,048</w:t>
            </w:r>
          </w:p>
        </w:tc>
        <w:tc>
          <w:tcPr>
            <w:tcW w:w="8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6,640</w:t>
            </w:r>
          </w:p>
        </w:tc>
      </w:tr>
      <w:tr>
        <w:trPr>
          <w:trHeight w:val="20"/>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During the six months ended June 30, 2021, the Company issued market condition RSUs to certain executives with a grant-date fair value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$22.4 million, which will be recognized over a requisite service period ranging from six months to three years. There were no market condition RSUs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granted in the three months ended June 30, 2021. The Company recognized</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color w:val="auto"/>
        </w:rPr>
        <w:t>$117.7 million and $250.9 million of compensation expense during the three and six months ended June 30, 2021, respectively, related to all market condition awards outstanding. In June 2021, the market condition for two market condition awards was satisfied, which resulted in the accelerated recognition of $2.2 million of stock based compensation expense in the three months ended June 30, 2021.</w:t>
      </w:r>
    </w:p>
    <w:p>
      <w:pPr>
        <w:spacing w:after="0" w:line="165" w:lineRule="exact"/>
        <w:rPr>
          <w:sz w:val="20"/>
          <w:szCs w:val="20"/>
          <w:color w:val="auto"/>
        </w:rPr>
      </w:pPr>
    </w:p>
    <w:p>
      <w:pPr>
        <w:ind w:right="540" w:firstLine="405"/>
        <w:spacing w:after="0" w:line="342" w:lineRule="auto"/>
        <w:rPr>
          <w:sz w:val="20"/>
          <w:szCs w:val="20"/>
          <w:color w:val="auto"/>
        </w:rPr>
      </w:pPr>
      <w:r>
        <w:rPr>
          <w:rFonts w:ascii="Arial" w:cs="Arial" w:eastAsia="Arial" w:hAnsi="Arial"/>
          <w:sz w:val="16"/>
          <w:szCs w:val="16"/>
          <w:color w:val="auto"/>
        </w:rPr>
        <w:t>As of June 30, 2021, there was $613.9 million of unamortized stock-based compensation costs related to unvested RSUs, stock options, and Restricted Shares. The unamortized compensation costs are expected to be recognized over a weighted-average period of approximately three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options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Black-Scholes Model used to value stock options incorporates the following assumptions: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Common Stock</w:t>
      </w:r>
    </w:p>
    <w:p>
      <w:pPr>
        <w:spacing w:after="0" w:line="225"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Prior to the Company's common stock becoming publicly traded, the fair value of the common stock underlying the stock option awards was determined by the board of directors. Given the absence of a public trading market, the board of directors considered numerous objective and subjective factors to determine the fair value of the Company’s common stock at each meeting at which awards were approved. These factors included, but were not limited to (i) contemporaneous third-party valuations of common stock; (ii) the rights, preferences and privileges of convertible preferred stock relative to common stock; (iii) the lack of marketability of common stock; (iv) stage and development of the Company’s business; (v) general economic conditions and (vi) the likelihood of achieving a liquidity event, such as an initial public offering or sale, given prevailing market conditions.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Volatility</w:t>
      </w:r>
    </w:p>
    <w:p>
      <w:pPr>
        <w:spacing w:after="0" w:line="225"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expected stock price volatilities are estimated based on the historical and implied volatilities of comparable publicly traded companies as the Company does not have sufficient history of trading its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Risk-Free Interest Rate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risk-free interest rates are based on U.S. Treasury yields in effect at the grant date for notes with comparable terms as the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Life</w:t>
      </w:r>
    </w:p>
    <w:p>
      <w:pPr>
        <w:spacing w:after="0" w:line="225" w:lineRule="exact"/>
        <w:rPr>
          <w:sz w:val="20"/>
          <w:szCs w:val="20"/>
          <w:color w:val="auto"/>
        </w:rPr>
      </w:pPr>
    </w:p>
    <w:p>
      <w:pPr>
        <w:jc w:val="both"/>
        <w:ind w:right="200" w:firstLine="405"/>
        <w:spacing w:after="0" w:line="263" w:lineRule="auto"/>
        <w:rPr>
          <w:sz w:val="20"/>
          <w:szCs w:val="20"/>
          <w:color w:val="auto"/>
        </w:rPr>
      </w:pPr>
      <w:r>
        <w:rPr>
          <w:rFonts w:ascii="Arial" w:cs="Arial" w:eastAsia="Arial" w:hAnsi="Arial"/>
          <w:sz w:val="18"/>
          <w:szCs w:val="18"/>
          <w:color w:val="auto"/>
        </w:rPr>
        <w:t>The expected term of options granted to employees is determined using the simplified method, which allows the Company to estimate the expected life as the midpoint between the vesting period and the contractual term, as the Company's historical share option exercise experience does not provide a reasonable basis upon which to estimate the expected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Yield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expected dividend yield assumption is based on the Company’s current expectations about its anticipated dividend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RSUs and Restricted Stock</w:t>
      </w:r>
    </w:p>
    <w:p>
      <w:pPr>
        <w:spacing w:after="0" w:line="22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Prior to the Business Combination, given the absence of a public trading market, the Company’s board of directors considered numerous objective and subjective factors to determine the fair value of common stock at each meeting at which awards were approved. These factors include, but were not limited to, (i) contemporaneous valuations of common stock performed by an independent valuation specialist; (ii) developments in the Company’s business and stage of development; the Company’s operational and financial performance and condition; (iii) issuances of preferred stock and the rights and preferences of preferred stock relative to common stock; (iv) current condition of capital markets and the likelihood of achieving a liquidity event, such as an initial public offering or sale of the Company; and (v) and the lack of marketability of the Company’s common stock. For financial reporting purposes, the Company considers the amount of time between the valuation</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date and the grant date to determine whether to use the latest common stock valuation or a straight-line interpolation between the two valuation dates. The determination includes an evaluation of whether the subsequent valuation indicates that any significant change in valuation had occurred between the previous valuation and the grant date.</w:t>
      </w:r>
    </w:p>
    <w:p>
      <w:pPr>
        <w:spacing w:after="0" w:line="18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and Sponsor Warrants</w:t>
      </w:r>
    </w:p>
    <w:p>
      <w:pPr>
        <w:spacing w:after="0" w:line="225"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Prior to the Business Combination, SCH issued 6,133,333 Sponsor Warrants and 13,800,000 Public Warrants (collectively “Warrants”). Upon Closing, the Company assumed the Warrants. Each whole warrant entitles the holder to purchase one share of the Company’s common stock at a price of $11.50 per share, subject to adjustments. The Warrants are exercisable at any time commencing the later of a) 30 days after the completion of the Business Combination and b) 12 months from the date of the closing of the SCH’s initial public offering on April 30, 2020, and terminating five years after the Business Combination.</w:t>
      </w:r>
    </w:p>
    <w:p>
      <w:pPr>
        <w:spacing w:after="0" w:line="188"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Once the Public Warrants become exercisable, the Company may redeem the outstanding warrants, in whole and not in part, upon a minimum of 30 days’ prior written notice of redemption (“Redemption Period”). There are two scenarios in which the Company may redeem the Warrants. For purposes of the redemption scenarios, “Reference Value” shall mean the last reported sales price of the Company’s common stock for any twenty trading days within the thirty trading-day period ending on the third trading day prior to the date on which notice of the redemption is given.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may redeem the outstanding Warrants for cash at a price of $0.01 per warrant if the Reference Value equals or exceeds $18.00 per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 The warrant holders have the right to exercise their outstanding warrants prior to the scheduled redemption date during the Redemption Period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$11.50 per share. The Sponsor Warrants are exempt from redemption if the Reference Value is at or above $18.00 and the Sponsor Warrants continue to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held by the original warrant holder (“Sponsor") or a permitted transferee.</w:t>
      </w:r>
    </w:p>
    <w:p>
      <w:pPr>
        <w:spacing w:after="0" w:line="21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Company may redeem the outstanding Warrants at a price of $0.10 per warrant if the Reference Value equals or exceeds $10.00 per share. If the Reference Value is less than $18.00, the Sponsor Warrants must also be concurrently called for redemption with the Public Warrants. The warrant holders have the right to exercise their outstanding warrants prior to the scheduled redemption date during the Redemption Period on a cashless basis. The cashless exercise entitles the warrant holders to receive a set number of shares based on the redemption date and the redemption fair value as defined in the warrant agreement.</w:t>
      </w:r>
    </w:p>
    <w:p>
      <w:pPr>
        <w:spacing w:after="0" w:line="188"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In connection with the Business Combination, on January 12, 2021, the Company filed a Registration Statement on Form S-1. This Registration Statement relates to the issuance of an aggregate of up to 19,933,333 shares of common stock issuable upon the exercise of its publicly-traded warrants. As of June 30, 2021, there were 19.4 million warrants outstanding and 0.5 million warrants have been exercised. As of June 30, 2021, the Company had current warrant liabilities of $38.7 million related to the Sponsor Warrants and recorded a Derivative and warrant fair value adjustment of $24.0 million and $8.7 million for the change in fair value of the Sponsor Warrants for the three and six months ended June 30, 2021, respectively. On June 9, 2021, the Company filed a notice of redemption of all outstanding Public Warrants and Sponsor Warrants. The end of the redemption period was July 9, 2021, at which time the Company redeemed all unexercised warrants at a price of $0.10 per Warrant. See “Note 18 — Subsequent Events” for further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to Purchase Series D Preferred Stock</w:t>
      </w:r>
    </w:p>
    <w:p>
      <w:pPr>
        <w:spacing w:after="0" w:line="225" w:lineRule="exact"/>
        <w:rPr>
          <w:sz w:val="20"/>
          <w:szCs w:val="20"/>
          <w:color w:val="auto"/>
        </w:rPr>
      </w:pPr>
    </w:p>
    <w:p>
      <w:pPr>
        <w:jc w:val="both"/>
        <w:ind w:right="120" w:firstLine="405"/>
        <w:spacing w:after="0" w:line="263" w:lineRule="auto"/>
        <w:rPr>
          <w:sz w:val="20"/>
          <w:szCs w:val="20"/>
          <w:color w:val="auto"/>
        </w:rPr>
      </w:pPr>
      <w:r>
        <w:rPr>
          <w:rFonts w:ascii="Arial" w:cs="Arial" w:eastAsia="Arial" w:hAnsi="Arial"/>
          <w:sz w:val="18"/>
          <w:szCs w:val="18"/>
          <w:color w:val="auto"/>
        </w:rPr>
        <w:t>On June 12, 2018, the Company issued warrants to purchase 485,262 shares of Series D Preferred Stock at a price of $0.006 (“Penny Warrants”). On November 12, 2020, the Penny Warrants were exercised and the Company issued 485,262 shares of Series D Preferred Stock in exchange for proceeds of $3.0 thousand. As of June 30, 2021, there were no Penny Warrants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 to Issue Warrants</w:t>
      </w:r>
    </w:p>
    <w:p>
      <w:pPr>
        <w:spacing w:after="0" w:line="22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In June 2018, the Company entered into a commitment to issue warrants (“Warrant Commitment”). The Warrant Commitment obligates the Company to issue warrants on an annual basis until 2025 (“Issuance Date”). The Warrant</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Commitment and the Company’s obligation to issue warrants was terminated upon the consummation of the Business Combination through notice provided by the Company and acknowledged by the counterparty.</w:t>
      </w:r>
    </w:p>
    <w:p>
      <w:pPr>
        <w:spacing w:after="0" w:line="170"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On each Warrant Commitment Issuance date in June 2019 and June 2020, the Company issued warrants to purchase 121,356 shares and 242,713 shares of Series E Preferred Stock at a price of $5.92 per share (“Series E Warrants”). On November 7, 2020 the Series E Warrants were exercised and the Company issued 364,069 shares of Series E in exchange for proceeds of $2.2 million. As of June 30, 2021, there were no Series E Warrants or Warrant Commitments outstanding.</w:t>
      </w:r>
    </w:p>
    <w:p>
      <w:pPr>
        <w:spacing w:after="0" w:line="187" w:lineRule="exact"/>
        <w:rPr>
          <w:sz w:val="20"/>
          <w:szCs w:val="20"/>
          <w:color w:val="auto"/>
        </w:rPr>
      </w:pPr>
    </w:p>
    <w:p>
      <w:pPr>
        <w:ind w:right="140" w:firstLine="405"/>
        <w:spacing w:after="0" w:line="301" w:lineRule="auto"/>
        <w:rPr>
          <w:sz w:val="20"/>
          <w:szCs w:val="20"/>
          <w:color w:val="auto"/>
        </w:rPr>
      </w:pPr>
      <w:r>
        <w:rPr>
          <w:rFonts w:ascii="Arial" w:cs="Arial" w:eastAsia="Arial" w:hAnsi="Arial"/>
          <w:sz w:val="16"/>
          <w:szCs w:val="16"/>
          <w:color w:val="auto"/>
        </w:rPr>
        <w:t>The Penny Warrants, the Warrant Commitment, and the Series E Warrants have been determined to be liabilities under ASC 480 as the underlying preferred shares have certain liquidation preferences in the event of a deemed liquidation. For the Penny Warrants, the Warrant Commitment, and the Series E Warrants, the Company recorded no warrant fair value adjustments for the three and six months ended June 30, 2021 and a (decrease) increase to the warrant fair value adjustments of $(0.1) million and $0.9 million for the three and six months ended June 30, 2020, respectively.</w:t>
      </w:r>
    </w:p>
    <w:p>
      <w:pPr>
        <w:spacing w:after="0" w:line="15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tab/>
        <w:t>INCOME TAXES</w:t>
      </w:r>
    </w:p>
    <w:p>
      <w:pPr>
        <w:spacing w:after="0" w:line="22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Company’s provision for income taxes has not been historically significant to the business as the Company has incurred operating losses to date. Due to projected and actual losses in the current and prior years, the Company believes that based on the weight of available evidence, it is more likely than not that all of the deferred tax assets will not be realized and recorded a full valuation allowance on its net deferred tax assets as of June 30, 2021 and December 31, 2020.</w:t>
      </w:r>
    </w:p>
    <w:p>
      <w:pPr>
        <w:spacing w:after="0" w:line="187"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The Company’s provision for income taxes, which was primarily composed of state tax expense, was $0.2 million and $0.3 million for the three and six months ended June 30, 2021, respectively, with an effective tax rate of (0.13)% and (0.07)%, respectively. The Company's provision for income taxes was $0.1 million and $0.2 million for the three and six months ended June 30, 2020, respectively, with an effective tax rate of (0.14)% and (0.17)%, respectively. The effective tax rate differs from the U.S. statutory tax rate primarily due to the recording of a full valuation allowance against the net deferred tax assets.</w:t>
      </w:r>
    </w:p>
    <w:p>
      <w:pPr>
        <w:spacing w:after="0" w:line="18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RELATED PARTIES</w:t>
      </w:r>
    </w:p>
    <w:p>
      <w:pPr>
        <w:spacing w:after="0" w:line="229"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Prior to the Business Combination, one of the Preferred Stock investors held more than a 10% interest in the Company and had one seat as a member of the board of directors and another seat as an observer of the board of directors.</w:t>
      </w:r>
    </w:p>
    <w:p>
      <w:pPr>
        <w:spacing w:after="0" w:line="170"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In 2018, an executive early exercised their option to purchase 1,479,459 shares of unvested common stock at a price per share of $1.01 by issuing a promissory note to the Company for a total price of $1.5 million with an interest rate of 2.31% per annum. On June 29, 2021, the outstanding balance under the promissory note of $1.6 million was repaid in full.</w:t>
      </w:r>
    </w:p>
    <w:p>
      <w:pPr>
        <w:spacing w:after="0" w:line="184"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 xml:space="preserve">The Warrant Commitment and the subsequent Series E Warrants were issued to a counterparty that has an equity interest in the Company and a seat on the Company’s board of directors. The board member has significant influence with respect to the counterparty to the Warrant Commitment. The issuance of the Warrant Commitment and Series E Warrants was in exchange for on-going advisory services that the counterparty provided to the Company. See </w:t>
      </w:r>
      <w:r>
        <w:rPr>
          <w:rFonts w:ascii="Arial" w:cs="Arial" w:eastAsia="Arial" w:hAnsi="Arial"/>
          <w:sz w:val="18"/>
          <w:szCs w:val="18"/>
          <w:i w:val="1"/>
          <w:iCs w:val="1"/>
          <w:color w:val="auto"/>
        </w:rPr>
        <w:t>“Note 13 — Warrants”</w:t>
      </w:r>
      <w:r>
        <w:rPr>
          <w:rFonts w:ascii="Arial" w:cs="Arial" w:eastAsia="Arial" w:hAnsi="Arial"/>
          <w:sz w:val="18"/>
          <w:szCs w:val="18"/>
          <w:color w:val="auto"/>
        </w:rPr>
        <w:t xml:space="preserve"> for further information.</w:t>
      </w:r>
    </w:p>
    <w:p>
      <w:pPr>
        <w:spacing w:after="0" w:line="18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NET LOSS PER SHARE</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Basic net loss per share is computed based on the weighted average number of shares of common stock outstanding during the period. Diluted net loss per share is computed based on the weighted average number of common shares outstanding plus the effect of dilutive potential common shares outstanding during the period using the treasury stock method. During the periods when there is a net loss, potentially dilutive common stock equivalents have been excluded from the calculation of diluted net loss per share as their effect is anti-dilutive. No dividends were declared or paid for the three and six months ended June 30, 2021 or 2020.</w:t>
      </w:r>
    </w:p>
    <w:p>
      <w:pPr>
        <w:spacing w:after="0" w:line="21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For applicable periods, the company uses the two-class method to calculate net loss per share and apply the more dilutive of the two-class method, treasury stock method or if-converted method to calculate diluted net loss per share. Undistributed earnings for each period are allocated to participating securities, including the Preferred Stock for applicable periods, based on the contractual participation rights of the security to share in the current earnings as if all current period earnings had been distributed. As there is no contractual obligation for the Preferred Stock to share in losses, the Company’s</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5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basic net loss per share is computed by dividing the net loss attributable to common shareholders by the weighted-average shares of common stock outstanding during periods with undistributed losses.</w:t>
      </w:r>
    </w:p>
    <w:p>
      <w:pPr>
        <w:spacing w:after="0" w:line="1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sets forth the computation of the Company’s basic and diluted net loss per share attributable to common shareholders for the three and six months ended June 30, 2021 and 2020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86"/>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6"/>
                <w:szCs w:val="16"/>
                <w:color w:val="auto"/>
              </w:rPr>
            </w:pPr>
          </w:p>
        </w:tc>
      </w:tr>
      <w:tr>
        <w:trPr>
          <w:trHeight w:val="26"/>
        </w:trPr>
        <w:tc>
          <w:tcPr>
            <w:tcW w:w="5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4"/>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ind w:right="495"/>
              <w:spacing w:after="0"/>
              <w:rPr>
                <w:sz w:val="20"/>
                <w:szCs w:val="20"/>
                <w:color w:val="auto"/>
              </w:rPr>
            </w:pPr>
            <w:r>
              <w:rPr>
                <w:rFonts w:ascii="Arial" w:cs="Arial" w:eastAsia="Arial" w:hAnsi="Arial"/>
                <w:sz w:val="14"/>
                <w:szCs w:val="14"/>
                <w:b w:val="1"/>
                <w:bCs w:val="1"/>
                <w:color w:val="auto"/>
                <w:w w:val="89"/>
              </w:rPr>
              <w:t>2020</w:t>
            </w:r>
          </w:p>
        </w:tc>
      </w:tr>
      <w:tr>
        <w:trPr>
          <w:trHeight w:val="26"/>
        </w:trPr>
        <w:tc>
          <w:tcPr>
            <w:tcW w:w="5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loss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shareholders – basic and diluted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(143,805)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(414,241)</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(118,115)</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27"/>
        </w:trPr>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 and diluted</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588,374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576,941</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84,308</w:t>
            </w:r>
          </w:p>
        </w:tc>
      </w:tr>
      <w:tr>
        <w:trPr>
          <w:trHeight w:val="263"/>
        </w:trPr>
        <w:tc>
          <w:tcPr>
            <w:tcW w:w="5240" w:type="dxa"/>
            <w:vAlign w:val="bottom"/>
          </w:tcPr>
          <w:p>
            <w:pPr>
              <w:ind w:left="20"/>
              <w:spacing w:after="0"/>
              <w:rPr>
                <w:sz w:val="20"/>
                <w:szCs w:val="20"/>
                <w:color w:val="auto"/>
              </w:rPr>
            </w:pPr>
            <w:r>
              <w:rPr>
                <w:rFonts w:ascii="Arial" w:cs="Arial" w:eastAsia="Arial" w:hAnsi="Arial"/>
                <w:sz w:val="18"/>
                <w:szCs w:val="18"/>
                <w:color w:val="auto"/>
              </w:rPr>
              <w:t>Basic and diluted net loss per share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8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1"/>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preferred dividends declared or accumulated for the period.</w:t>
      </w:r>
    </w:p>
    <w:p>
      <w:pPr>
        <w:spacing w:after="0" w:line="225"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The following securities were not included in the computation of diluted shares outstanding because the effect would be anti-dilutive, or issuance of such shares is contingent upon the satisfaction of certain conditions which were not satisfied by the end of the period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304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2080" w:type="dxa"/>
            <w:vAlign w:val="bottom"/>
            <w:gridSpan w:val="3"/>
          </w:tcPr>
          <w:p>
            <w:pPr>
              <w:jc w:val="center"/>
              <w:ind w:left="795"/>
              <w:spacing w:after="0"/>
              <w:rPr>
                <w:sz w:val="20"/>
                <w:szCs w:val="20"/>
                <w:color w:val="auto"/>
              </w:rPr>
            </w:pPr>
            <w:r>
              <w:rPr>
                <w:rFonts w:ascii="Arial" w:cs="Arial" w:eastAsia="Arial" w:hAnsi="Arial"/>
                <w:sz w:val="14"/>
                <w:szCs w:val="14"/>
                <w:b w:val="1"/>
                <w:bCs w:val="1"/>
                <w:color w:val="auto"/>
                <w:w w:val="92"/>
              </w:rPr>
              <w:t>Six Months Ended</w:t>
            </w:r>
          </w:p>
        </w:tc>
        <w:tc>
          <w:tcPr>
            <w:tcW w:w="880" w:type="dxa"/>
            <w:vAlign w:val="bottom"/>
          </w:tcPr>
          <w:p>
            <w:pPr>
              <w:spacing w:after="0"/>
              <w:rPr>
                <w:sz w:val="14"/>
                <w:szCs w:val="14"/>
                <w:color w:val="auto"/>
              </w:rPr>
            </w:pPr>
          </w:p>
        </w:tc>
      </w:tr>
      <w:tr>
        <w:trPr>
          <w:trHeight w:val="186"/>
        </w:trPr>
        <w:tc>
          <w:tcPr>
            <w:tcW w:w="5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gridSpan w:val="3"/>
          </w:tcPr>
          <w:p>
            <w:pPr>
              <w:jc w:val="center"/>
              <w:ind w:left="92"/>
              <w:spacing w:after="0"/>
              <w:rPr>
                <w:sz w:val="20"/>
                <w:szCs w:val="20"/>
                <w:color w:val="auto"/>
              </w:rPr>
            </w:pPr>
            <w:r>
              <w:rPr>
                <w:rFonts w:ascii="Arial" w:cs="Arial" w:eastAsia="Arial" w:hAnsi="Arial"/>
                <w:sz w:val="14"/>
                <w:szCs w:val="14"/>
                <w:b w:val="1"/>
                <w:bCs w:val="1"/>
                <w:color w:val="auto"/>
                <w:w w:val="92"/>
              </w:rPr>
              <w:t>June 30,</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3"/>
          </w:tcPr>
          <w:p>
            <w:pPr>
              <w:jc w:val="center"/>
              <w:ind w:left="795"/>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Pr>
          <w:p>
            <w:pPr>
              <w:spacing w:after="0"/>
              <w:rPr>
                <w:sz w:val="16"/>
                <w:szCs w:val="16"/>
                <w:color w:val="auto"/>
              </w:rPr>
            </w:pPr>
          </w:p>
        </w:tc>
      </w:tr>
      <w:tr>
        <w:trPr>
          <w:trHeight w:val="25"/>
        </w:trPr>
        <w:tc>
          <w:tcPr>
            <w:tcW w:w="5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4"/>
        </w:trPr>
        <w:tc>
          <w:tcPr>
            <w:tcW w:w="6100" w:type="dxa"/>
            <w:vAlign w:val="bottom"/>
            <w:gridSpan w:val="2"/>
          </w:tcPr>
          <w:p>
            <w:pPr>
              <w:ind w:left="5820"/>
              <w:spacing w:after="0"/>
              <w:rPr>
                <w:sz w:val="20"/>
                <w:szCs w:val="20"/>
                <w:color w:val="auto"/>
              </w:rPr>
            </w:pPr>
            <w:r>
              <w:rPr>
                <w:rFonts w:ascii="Arial" w:cs="Arial" w:eastAsia="Arial" w:hAnsi="Arial"/>
                <w:sz w:val="14"/>
                <w:szCs w:val="14"/>
                <w:b w:val="1"/>
                <w:bCs w:val="1"/>
                <w:color w:val="auto"/>
                <w:w w:val="83"/>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4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ind w:right="492"/>
              <w:spacing w:after="0"/>
              <w:rPr>
                <w:sz w:val="20"/>
                <w:szCs w:val="20"/>
                <w:color w:val="auto"/>
              </w:rPr>
            </w:pPr>
            <w:r>
              <w:rPr>
                <w:rFonts w:ascii="Arial" w:cs="Arial" w:eastAsia="Arial" w:hAnsi="Arial"/>
                <w:sz w:val="14"/>
                <w:szCs w:val="14"/>
                <w:b w:val="1"/>
                <w:bCs w:val="1"/>
                <w:color w:val="auto"/>
                <w:w w:val="89"/>
              </w:rPr>
              <w:t>2020</w:t>
            </w:r>
          </w:p>
        </w:tc>
      </w:tr>
      <w:tr>
        <w:trPr>
          <w:trHeight w:val="25"/>
        </w:trPr>
        <w:tc>
          <w:tcPr>
            <w:tcW w:w="5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19,429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19,429</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r>
      <w:tr>
        <w:trPr>
          <w:trHeight w:val="243"/>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Series D Preferred Stock Warrants</w:t>
            </w:r>
          </w:p>
        </w:tc>
        <w:tc>
          <w:tcPr>
            <w:tcW w:w="10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20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7"/>
        </w:trPr>
        <w:tc>
          <w:tcPr>
            <w:tcW w:w="5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Series E Preferred Stock Warrants</w:t>
            </w:r>
          </w:p>
        </w:tc>
        <w:tc>
          <w:tcPr>
            <w:tcW w:w="106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43"/>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RSUs</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55,548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27,265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55,548</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27,265</w:t>
            </w:r>
          </w:p>
        </w:tc>
      </w:tr>
      <w:tr>
        <w:trPr>
          <w:trHeight w:val="27"/>
        </w:trPr>
        <w:tc>
          <w:tcPr>
            <w:tcW w:w="5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19,741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31,155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19,741</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31,155</w:t>
            </w:r>
          </w:p>
        </w:tc>
      </w:tr>
      <w:tr>
        <w:trPr>
          <w:trHeight w:val="243"/>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Unvested Shares from Early Exercise</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Restricted Shares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2,767</w:t>
            </w:r>
          </w:p>
        </w:tc>
      </w:tr>
      <w:tr>
        <w:trPr>
          <w:trHeight w:val="243"/>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0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314,424</w:t>
            </w:r>
          </w:p>
        </w:tc>
        <w:tc>
          <w:tcPr>
            <w:tcW w:w="100" w:type="dxa"/>
            <w:vAlign w:val="bottom"/>
          </w:tcPr>
          <w:p>
            <w:pPr>
              <w:spacing w:after="0"/>
              <w:rPr>
                <w:sz w:val="21"/>
                <w:szCs w:val="21"/>
                <w:color w:val="auto"/>
              </w:rPr>
            </w:pPr>
          </w:p>
        </w:tc>
        <w:tc>
          <w:tcPr>
            <w:tcW w:w="20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314,424</w:t>
            </w:r>
          </w:p>
        </w:tc>
      </w:tr>
      <w:tr>
        <w:trPr>
          <w:trHeight w:val="27"/>
        </w:trPr>
        <w:tc>
          <w:tcPr>
            <w:tcW w:w="5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3"/>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anti-dilutive securities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96,263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379,929</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96,263</w:t>
            </w: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379,929</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tab/>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Lock Commitments</w:t>
      </w:r>
    </w:p>
    <w:p>
      <w:pPr>
        <w:spacing w:after="0" w:line="225" w:lineRule="exact"/>
        <w:rPr>
          <w:sz w:val="20"/>
          <w:szCs w:val="20"/>
          <w:color w:val="auto"/>
        </w:rPr>
      </w:pPr>
    </w:p>
    <w:p>
      <w:pPr>
        <w:jc w:val="both"/>
        <w:ind w:right="80" w:firstLine="405"/>
        <w:spacing w:after="0" w:line="263" w:lineRule="auto"/>
        <w:rPr>
          <w:sz w:val="20"/>
          <w:szCs w:val="20"/>
          <w:color w:val="auto"/>
        </w:rPr>
      </w:pPr>
      <w:r>
        <w:rPr>
          <w:rFonts w:ascii="Arial" w:cs="Arial" w:eastAsia="Arial" w:hAnsi="Arial"/>
          <w:sz w:val="18"/>
          <w:szCs w:val="18"/>
          <w:color w:val="auto"/>
        </w:rPr>
        <w:t xml:space="preserve">The Company entered into interest rate lock commitments with prospective borrowers whereby the Company commits to lend a certain loan amount under specific terms and interest rate to the borrower. These commitments are treated as derivatives and are carried at fair value. See </w:t>
      </w:r>
      <w:r>
        <w:rPr>
          <w:rFonts w:ascii="Arial" w:cs="Arial" w:eastAsia="Arial" w:hAnsi="Arial"/>
          <w:sz w:val="18"/>
          <w:szCs w:val="18"/>
          <w:i w:val="1"/>
          <w:iCs w:val="1"/>
          <w:color w:val="auto"/>
        </w:rPr>
        <w:t>“Note 5 —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for more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2021, the Company was in contract to purchase 8,158 homes for an aggregate purchase price of $2,962.3 million.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OPENDOOR TECHNOLOGIES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225"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During the six months ended June 30, 2021, the Company did not enter into any material new leases, lease renewals, or lease modifications. On September 25, 2020, the Company exercised an option to early terminate the San Francisco headquarters lease, effective September 30, 2021. In September 2020, the Company did not anticipate returning to the San Francisco space, so the Company accelerated amortization of the right-of-use asset and incurred and paid early termination fees. In January 2021, the Company terminated the San Francisco lease prior to the anticipated termination date of September 30, 2021, which resulted in a $5.2 million gain recognized in the condensed consolidated statements of operations for the six months ended June 30,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From time to time, the Company may be subject to potential liability relating to the ownership and operations of the Company’s properties. Accruals are recorded when the outcome is probable and can be reasonably estimated.</w:t>
      </w:r>
    </w:p>
    <w:p>
      <w:pPr>
        <w:spacing w:after="0" w:line="170"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There are various claims and lawsuits arising in the normal course of business pending against the Company, some of which seek damages and other relief which, if granted, may require future cash expenditures. In addition, from time to time the Company receives inquiries and audit requests from various government agencies and fully cooperates with these requests. The Company does not believe that it is reasonably possible that the resolution of these matters would result in any liability that would materially affect the Company’s condensed consolidated results of operations or financial condition except as noted below.</w:t>
      </w:r>
    </w:p>
    <w:p>
      <w:pPr>
        <w:spacing w:after="0" w:line="188"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On December 23, 2020, the Federal Trade Commission (“FTC”) notified the Company that they intend to recommend that the agency pursue an enforcement action against the Company and certain of its officers, if the Company is unable to reach a negotiated settlement acceptable to all parties. This notice is related to an initial FTC civil investigative demand sent to the Company in August 2019 seeking documents and information relating primarily to statements in Opendoor’s advertising and website comparing selling homes to Opendoor with selling homes in a traditional manner using an agent and relating to statements that Opendoor’s offers reflect or are based on market prices. The Company is engaged in settlement negotiations with the FTC and has accrued an immaterial amount for this matter. Any settlement could result in material monetary remedies and/or compliance requirements that could have a materially adverse impact on its financial results. The Company cannot make an estimate of the possible loss or range of loss incremental to the amount accrued, if any, resulting from negotiations with the FTC at this time.</w:t>
      </w:r>
    </w:p>
    <w:p>
      <w:pPr>
        <w:spacing w:after="0" w:line="17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ind w:right="120" w:firstLine="405"/>
        <w:spacing w:after="0" w:line="291" w:lineRule="auto"/>
        <w:rPr>
          <w:sz w:val="20"/>
          <w:szCs w:val="20"/>
          <w:color w:val="auto"/>
        </w:rPr>
      </w:pPr>
      <w:r>
        <w:rPr>
          <w:rFonts w:ascii="Arial" w:cs="Arial" w:eastAsia="Arial" w:hAnsi="Arial"/>
          <w:sz w:val="16"/>
          <w:szCs w:val="16"/>
          <w:color w:val="auto"/>
        </w:rPr>
        <w:t>On July 9, 2021, the Company completed the redemption of all of its outstanding Public and Sponsor Warrants to purchase shares of the Company's common stock, par value $0.0001 per share, that were issued under the Warrant Agreement, dated April 27, 2020. Of the 13,799,947 Public Warrants that were outstanding as of the time of the Business Combination, 874,739 were exercised for cash at an exercise price of $11.50 per share of Common Stock and 12,521,776 were exercised on a cashless basis in exchange for an aggregate of 4,452,659 shares of Common Stock. In addition, of the 6,133,333 Private Warrants that were outstanding as of the date of the Business Combination, 1,073,333 were exercised for cash at an exercise price of $11.50 per share of Common Stock and 5,060,000 were exercised on a cashless basis in exchange for an aggregate of 1,799,336 shares of Common Stock. Total cash proceeds to the Company generated from exercises of the Warrants were $22.4 million.</w:t>
      </w:r>
    </w:p>
    <w:p>
      <w:pPr>
        <w:spacing w:after="0" w:line="166"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In connection with the redemption, the Public Warrants stopped trading on the Nasdaq Global Select Market and were delisted after close of market on July 9, 2021.</w:t>
      </w:r>
    </w:p>
    <w:p>
      <w:pPr>
        <w:spacing w:after="0" w:line="170"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On July 30, 2021, the Company entered into a senior revolving credit facility, Revolving Facility 2021-1, which has a final maturity date of October 31, 2022. As a result of entering in this new senior revolving credit facility and other amendments to existing credit facilities, the Company has an aggregate borrowing capacity of $3,980.0 million and fully committed borrowing capacity of $2,255.0 million for its senior credit facilities.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i w:val="1"/>
          <w:iCs w:val="1"/>
          <w:color w:val="auto"/>
        </w:rPr>
        <w:t>The following discussion and analysis provides information that our management believes is relevant to an assessment and understanding of our condensed consolidated results of operations and financial condition. The discussion should be read together with the historical condensed consolidated financial statements and related notes that appear in this Quarterly Report on Form 10-Q.</w:t>
      </w:r>
    </w:p>
    <w:p>
      <w:pPr>
        <w:spacing w:after="0" w:line="18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i w:val="1"/>
          <w:iCs w:val="1"/>
          <w:color w:val="auto"/>
        </w:rPr>
        <w:t>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“Risk Factors” or in other parts of this Quarterly Report on Form 10-Q, and in “Part I - Item 1A. Risk Factors” in the Company's Annual Report on Form 10-K for the year ended December 31, 2020 (the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Opendoor’s mission is to empower everyone with the freedom to move and make it possible to buy, sell and move at the tap of a button. We are transforming what has historically been a complex, uncertain, time-consuming and mostly offline process into a simple, online experience. Since our inception in 2014, we have built scalable pricing capabilities, technology-enabled centralized operations, and a suite of digital-first consumer products. These investments have enabled us to help customers buy or sell homes in over 100,000 transactions and expand our footprint to 39 markets across the country. Most importantly, we have scaled rapidly while delighting our customers with an experience that brings simplicity, certainty and speed to the home selling and buying process.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2021 Offering</w:t>
      </w:r>
    </w:p>
    <w:p>
      <w:pPr>
        <w:spacing w:after="0" w:line="22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On February 9, 2021, we completed an underwritten public offering (the “February 2021 Offering”) in which we sold 32,817,421 shares of our common stock at a public offering price of $27.00 per share, including the exercise in full by the underwriters of their option to purchase up to 4,280,533 additional shares of common stock, which was completed on February 11, 2021. We received aggregate net proceeds from the February 2021 Offering of approximately $859.5 million after deducting underwriting discounts and commissions and offering expenses payable by us. We currently intend to use the net proceeds from this offering to invest in increasing existing market penetration, to expand into new markets, and for working capital and general corporate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w:t>
      </w:r>
    </w:p>
    <w:p>
      <w:pPr>
        <w:spacing w:after="0" w:line="229" w:lineRule="exact"/>
        <w:rPr>
          <w:sz w:val="20"/>
          <w:szCs w:val="20"/>
          <w:color w:val="auto"/>
        </w:rPr>
      </w:pPr>
    </w:p>
    <w:p>
      <w:pPr>
        <w:jc w:val="both"/>
        <w:ind w:right="80" w:firstLine="405"/>
        <w:spacing w:after="0" w:line="259" w:lineRule="auto"/>
        <w:rPr>
          <w:sz w:val="20"/>
          <w:szCs w:val="20"/>
          <w:color w:val="auto"/>
        </w:rPr>
      </w:pPr>
      <w:r>
        <w:rPr>
          <w:rFonts w:ascii="Arial" w:cs="Arial" w:eastAsia="Arial" w:hAnsi="Arial"/>
          <w:sz w:val="18"/>
          <w:szCs w:val="18"/>
          <w:color w:val="auto"/>
        </w:rPr>
        <w:t>We entered into a Merger Agreement with SCH, a special purpose acquisition company, on September 15, 2020. Pursuant to the Merger Agreement, Merger Sub, a newly formed subsidiary of SCH, merged with and into Opendoor Labs Inc. Upon the consummation of the Closing on December 18, 2020, the separate corporate existence of Merger Sub ceased; Opendoor Labs Inc. survived and became a wholly owned subsidiary of SCH, which was renamed Opendoor Technologies Inc.</w:t>
      </w:r>
    </w:p>
    <w:p>
      <w:pPr>
        <w:spacing w:after="0" w:line="187"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The Business Combination was accounted for as a reverse recapitalization, in accordance with GAAP. Under the guidance in ASC 805, Opendoor Technologies was treated as the “acquired” company for financial reporting purposes. Opendoor Labs Inc. was deemed the accounting predecessor of the combined business, and Opendoor Technologies, as the parent company of the combined business, was the successor SEC registrant, meaning that our financial statements for previous periods will be disclosed in the registrant’s future periodic reports filed with the SEC. The Business Combination had a significant impact on our reported financial position and results as a consequence of the reverse recapitalization. The most significant changes in Opendoor Technologies’ reported financial position and results are a net increase in cash of $970 million. The increase in cash includes approximately $600 million in proceeds from the private placement (“PIPE Investment”) consummated substantially simultaneously with the Business Combination, offset by additional transaction costs for the Business Combination. The transaction costs for the Business Combination are approximately $44 million, of which $14.5 million represents deferred underwriter fees related to SCH’s initial public offering.</w:t>
      </w:r>
    </w:p>
    <w:p>
      <w:pPr>
        <w:spacing w:after="0" w:line="166"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As a result of the Business Combination, we became an SEC-registered and Nasdaq-listed company, and have hired additional personnel and implemented procedures and processes to address public company regulatory requirements and customary practices. We have incurred and expect to incur additional annual expenses as a public company for, among other things, directors’ and officers’ liability insurance, director fees, and additional internal and external accounting, legal and</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resources. We estimate that these incremental costs will be approximately $15 million for the year ending December 31, 2021.</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Impact of COVID-19</w:t>
      </w:r>
    </w:p>
    <w:p>
      <w:pPr>
        <w:spacing w:after="0" w:line="229" w:lineRule="exact"/>
        <w:rPr>
          <w:sz w:val="20"/>
          <w:szCs w:val="20"/>
          <w:color w:val="auto"/>
        </w:rPr>
      </w:pPr>
    </w:p>
    <w:p>
      <w:pPr>
        <w:ind w:right="280" w:firstLine="405"/>
        <w:spacing w:after="0" w:line="296" w:lineRule="auto"/>
        <w:rPr>
          <w:sz w:val="20"/>
          <w:szCs w:val="20"/>
          <w:color w:val="auto"/>
        </w:rPr>
      </w:pPr>
      <w:r>
        <w:rPr>
          <w:rFonts w:ascii="Arial" w:cs="Arial" w:eastAsia="Arial" w:hAnsi="Arial"/>
          <w:sz w:val="16"/>
          <w:szCs w:val="16"/>
          <w:color w:val="auto"/>
        </w:rPr>
        <w:t>In December 2019, a novel strain of coronavirus (“COVID-19”) was reported and subsequently spread worldwide. On March 11, 2020, the World Health Organization declared COVID-19 a pandemic. In response to the COVID-19 pandemic and the consequent health risks, we substantially ceased purchasing additional homes in March 2020 to safeguard the health and safety of our customers and employees. After ensuring our ability to close transactions safely, seeing the lifting of shelter-in-place mandates, and retooling certain operational processes to enable “contactless” transactions, we resumed making offers to purchase homes in select markets in May 2020. We resumed operations across all of our markets by the end of August 2020.</w:t>
      </w:r>
    </w:p>
    <w:p>
      <w:pPr>
        <w:spacing w:after="0" w:line="161"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 xml:space="preserve">Despite pausing new acquisitions in March 2020, we continued to sell down inventory at a healthy pace, leading to a low point in home inventory of $152 million as of September 30, 2020 compared to inventory of $1,312 million as of December 31, 2019. As our revenues are dependent on inventory levels available for sale, our top line was pressured due to limited inventory. Accordingly, we experienced sequential, quarter-over-quarter declines in revenue in the second, third and fourth quarters of 2020. We have been actively rebuilding our inventory since August 2020 and ended the second quarter of 2021 with $2,724 million in inventory. Likewise, we returned to sequential revenue growth in the first and second quarters of 2021 and we expect this trend to continue for the remainder of the year. See “— </w:t>
      </w:r>
      <w:r>
        <w:rPr>
          <w:rFonts w:ascii="Arial" w:cs="Arial" w:eastAsia="Arial" w:hAnsi="Arial"/>
          <w:sz w:val="16"/>
          <w:szCs w:val="16"/>
          <w:i w:val="1"/>
          <w:iCs w:val="1"/>
          <w:color w:val="auto"/>
        </w:rPr>
        <w:t>Components of Our Results of Operations — Revenue</w:t>
      </w:r>
      <w:r>
        <w:rPr>
          <w:rFonts w:ascii="Arial" w:cs="Arial" w:eastAsia="Arial" w:hAnsi="Arial"/>
          <w:sz w:val="16"/>
          <w:szCs w:val="16"/>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margin model</w:t>
      </w:r>
    </w:p>
    <w:p>
      <w:pPr>
        <w:spacing w:after="0" w:line="225"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We acquire homes directly from individual sellers and resell those homes to buyers, including both individual consumers and institutional investors. Upon acquiring a home, we typically make necessary renovations and repairs before listing it for sale on our website, our mobile app, Multiple Listing Services (“MLS”) and other online real estate portals. Our average hold period for homes purchased since January 2020, from acquisition to resale, ranged from 70 to 100 days and varied by market. Home sales comprise the vast majority of our revenues today, but we expect increasing contribution from adjacent services as our current offerings mature and we introduce additional services over time.</w:t>
      </w:r>
    </w:p>
    <w:p>
      <w:pPr>
        <w:spacing w:after="0" w:line="17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To achieve our long-term margin objectives, we must both maintain pricing accuracy as the business expands and increase customer adoption of our newer services, such as Opendoor Home Loans, Buy with Opendoor, and List with Opendoor. We also plan to achieve operating leverage by growing our revenue at a faster pace than our fixed cost base, which includes general and administrative as well as technology and development expenses. Given the size of the opportunity in front of us, we plan to invest aggressively in the near term and appropriately balance trade-offs between growth and margin as we scale.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Offers</w:t>
      </w:r>
    </w:p>
    <w:p>
      <w:pPr>
        <w:spacing w:after="0" w:line="225" w:lineRule="exact"/>
        <w:rPr>
          <w:sz w:val="20"/>
          <w:szCs w:val="20"/>
          <w:color w:val="auto"/>
        </w:rPr>
      </w:pPr>
    </w:p>
    <w:p>
      <w:pPr>
        <w:ind w:right="160" w:firstLine="405"/>
        <w:spacing w:after="0" w:line="301" w:lineRule="auto"/>
        <w:rPr>
          <w:sz w:val="20"/>
          <w:szCs w:val="20"/>
          <w:color w:val="auto"/>
        </w:rPr>
      </w:pPr>
      <w:r>
        <w:rPr>
          <w:rFonts w:ascii="Arial" w:cs="Arial" w:eastAsia="Arial" w:hAnsi="Arial"/>
          <w:sz w:val="16"/>
          <w:szCs w:val="16"/>
          <w:color w:val="auto"/>
        </w:rPr>
        <w:t>We generate demand for our services through organic awareness and word-of-mouth, paid media spend, and partnership channels such as our relationships with homebuilders and online portals. Home sellers can visit our website or mobile app and answer a few questions about their home’s condition, features and upgrades. For eligible homes, customers receive an initial home valuation range, which can be refreshed at any time through their personalized seller dashboard. The majority of our initial offers are algorithmically generated and do not require any human intervention.</w:t>
      </w:r>
    </w:p>
    <w:p>
      <w:pPr>
        <w:spacing w:after="0" w:line="157"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In order to finalize our offer, we conduct a free assessment to confirm all of the home details and identify any repairs that may need to be performed. We have developed purpose-built software to guide home assessment workflows and collect over 100 unique data points regarding a home’s condition and quality, which we incorporate as structured data into our underlying pricing models. Once completed, we finalize our offer, taking into consideration any necessary repairs, and produce the purchase agreement for the seller. Our objective is to provide a competitive cash offer to sellers and we believe this approach builds trust with our potential customers. Our business model is designed to generate margins from our service charge to sellers and adjacent products and services associated with a transaction, and not from the spread between acquisition price and resale price.</w:t>
      </w:r>
    </w:p>
    <w:p>
      <w:pPr>
        <w:spacing w:after="0" w:line="16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We closely track the number of potential sellers who accept the Opendoor offer versus listing their home on the MLS, and this conversion rate is an important factor for our growth.</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 w:right="37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acquisition and renovation</w:t>
      </w:r>
    </w:p>
    <w:p>
      <w:pPr>
        <w:spacing w:after="0" w:line="225" w:lineRule="exact"/>
        <w:rPr>
          <w:sz w:val="20"/>
          <w:szCs w:val="20"/>
          <w:color w:val="auto"/>
        </w:rPr>
      </w:pPr>
    </w:p>
    <w:p>
      <w:pPr>
        <w:ind w:right="80" w:firstLine="405"/>
        <w:spacing w:after="0" w:line="296" w:lineRule="auto"/>
        <w:rPr>
          <w:sz w:val="20"/>
          <w:szCs w:val="20"/>
          <w:color w:val="auto"/>
        </w:rPr>
      </w:pPr>
      <w:r>
        <w:rPr>
          <w:rFonts w:ascii="Arial" w:cs="Arial" w:eastAsia="Arial" w:hAnsi="Arial"/>
          <w:sz w:val="16"/>
          <w:szCs w:val="16"/>
          <w:color w:val="auto"/>
        </w:rPr>
        <w:t>Once a seller has received and accepted our final purchase offer, we enable the seller to close the transaction on a flexible timeline. This is a particularly important feature to sellers, as their home sale can accommodate other life events (including the purchase of their next home) and further differentiates our service from a traditional sale. Depending on the condition of the home, we leverage our vetted contractor network within each market to complete required repairs and upgrades. Our repair scopes are focused on high-return investments and ensuring the home is in market-ready condition. We continuously refine and adjust our repair strategies based on our operating experience in markets and reviewing neighborhood-level resale outcomes.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resale</w:t>
      </w:r>
    </w:p>
    <w:p>
      <w:pPr>
        <w:spacing w:after="0" w:line="225" w:lineRule="exact"/>
        <w:rPr>
          <w:sz w:val="20"/>
          <w:szCs w:val="20"/>
          <w:color w:val="auto"/>
        </w:rPr>
      </w:pPr>
    </w:p>
    <w:p>
      <w:pPr>
        <w:ind w:right="280" w:firstLine="405"/>
        <w:spacing w:after="0" w:line="279" w:lineRule="auto"/>
        <w:rPr>
          <w:sz w:val="20"/>
          <w:szCs w:val="20"/>
          <w:color w:val="auto"/>
        </w:rPr>
      </w:pPr>
      <w:r>
        <w:rPr>
          <w:rFonts w:ascii="Arial" w:cs="Arial" w:eastAsia="Arial" w:hAnsi="Arial"/>
          <w:sz w:val="17"/>
          <w:szCs w:val="17"/>
          <w:color w:val="auto"/>
        </w:rPr>
        <w:t>Post-renovation, we market our homes across a wide variety of channels to generate buyer awareness and demand. These include the Opendoor website and mobile app, local MLS and syndication across real estate portals. We also generate buyer awareness through Opendoor signage for listed properties. Efficiently turning our inventory, inclusive of repairing, listing, and reselling the home, is important to our financial performance, as we bear holding costs (including utilities, property taxes and insurance) and financing costs during our ownership period.</w:t>
      </w:r>
    </w:p>
    <w:p>
      <w:pPr>
        <w:spacing w:after="0" w:line="171" w:lineRule="exact"/>
        <w:rPr>
          <w:sz w:val="20"/>
          <w:szCs w:val="20"/>
          <w:color w:val="auto"/>
        </w:rPr>
      </w:pPr>
    </w:p>
    <w:p>
      <w:pPr>
        <w:ind w:right="140" w:firstLine="405"/>
        <w:spacing w:after="0" w:line="301" w:lineRule="auto"/>
        <w:rPr>
          <w:sz w:val="20"/>
          <w:szCs w:val="20"/>
          <w:color w:val="auto"/>
        </w:rPr>
      </w:pPr>
      <w:r>
        <w:rPr>
          <w:rFonts w:ascii="Arial" w:cs="Arial" w:eastAsia="Arial" w:hAnsi="Arial"/>
          <w:sz w:val="16"/>
          <w:szCs w:val="16"/>
          <w:color w:val="auto"/>
        </w:rPr>
        <w:t>As part of the listing and marketing process, we determine an appropriate pricing strategy for each home. Our proprietary pricing engine helps automate many of these steps, including relevant adjustments over time. We measure our inventory performance compared to local market trends, and our pricing models can incorporate granular, relative demand signals to optimize pricing and sell-through across the portfolio. Our resale models, in conjunction with our pricing team, aim to maximize resale margin while maintaining appropriate transaction velocity and overall inventory health.</w:t>
      </w:r>
    </w:p>
    <w:p>
      <w:pPr>
        <w:spacing w:after="0" w:line="157" w:lineRule="exact"/>
        <w:rPr>
          <w:sz w:val="20"/>
          <w:szCs w:val="20"/>
          <w:color w:val="auto"/>
        </w:rPr>
      </w:pPr>
    </w:p>
    <w:p>
      <w:pPr>
        <w:ind w:right="620" w:firstLine="405"/>
        <w:spacing w:after="0" w:line="308" w:lineRule="auto"/>
        <w:rPr>
          <w:sz w:val="20"/>
          <w:szCs w:val="20"/>
          <w:color w:val="auto"/>
        </w:rPr>
      </w:pPr>
      <w:r>
        <w:rPr>
          <w:rFonts w:ascii="Arial" w:cs="Arial" w:eastAsia="Arial" w:hAnsi="Arial"/>
          <w:sz w:val="17"/>
          <w:szCs w:val="17"/>
          <w:color w:val="auto"/>
        </w:rPr>
        <w:t>When we receive an acceptable offer on a given home, we enter into a resale contract. Buyers will then typically conduct an inspection on the property, finalize their mortgage application process and ultimately take possession of the home upon closing of the transaction.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Penetration in Existing Markets</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Residential real estate is one of the largest consumer markets, with approximately $1.9 trillion of home value transacted annually. Given we operate in a highly fragmented industry and offer a differentiated value proposition to the incumbent agent-led transaction, we believe there is significant opportunity to expand our share in our existing cities. By providing a consistent, high-quality and differentiated experience to our customers, we hope to continue to drive positive word-of-mouth, awareness and trust in our platform. We believe this creates a virtuous cycle, whereby more home sellers will request an offer from Opendoor, allowing us to deepen our market penetration.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into New Markets</w:t>
      </w:r>
    </w:p>
    <w:p>
      <w:pPr>
        <w:spacing w:after="0" w:line="225"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Since our inception in 2014, we have expanded into 39 markets as of June 30, 2021. The following table represents the number of markets as of the periods presented: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260" w:type="dxa"/>
            <w:vAlign w:val="bottom"/>
            <w:gridSpan w:val="2"/>
          </w:tcPr>
          <w:p>
            <w:pPr>
              <w:ind w:left="340"/>
              <w:spacing w:after="0"/>
              <w:rPr>
                <w:sz w:val="20"/>
                <w:szCs w:val="20"/>
                <w:color w:val="auto"/>
              </w:rPr>
            </w:pPr>
            <w:r>
              <w:rPr>
                <w:rFonts w:ascii="Arial" w:cs="Arial" w:eastAsia="Arial" w:hAnsi="Arial"/>
                <w:sz w:val="14"/>
                <w:szCs w:val="14"/>
                <w:b w:val="1"/>
                <w:bCs w:val="1"/>
                <w:color w:val="auto"/>
              </w:rPr>
              <w:t>June 30,</w:t>
            </w: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March 31,</w:t>
            </w:r>
          </w:p>
        </w:tc>
        <w:tc>
          <w:tcPr>
            <w:tcW w:w="900" w:type="dxa"/>
            <w:vAlign w:val="bottom"/>
          </w:tcPr>
          <w:p>
            <w:pPr>
              <w:spacing w:after="0"/>
              <w:rPr>
                <w:sz w:val="16"/>
                <w:szCs w:val="16"/>
                <w:color w:val="auto"/>
              </w:rPr>
            </w:pPr>
          </w:p>
        </w:tc>
        <w:tc>
          <w:tcPr>
            <w:tcW w:w="1940" w:type="dxa"/>
            <w:vAlign w:val="bottom"/>
            <w:gridSpan w:val="5"/>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whole numbers)</w:t>
            </w:r>
          </w:p>
        </w:tc>
        <w:tc>
          <w:tcPr>
            <w:tcW w:w="116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
                <w:szCs w:val="2"/>
                <w:color w:val="auto"/>
              </w:rPr>
            </w:pPr>
          </w:p>
        </w:tc>
        <w:tc>
          <w:tcPr>
            <w:tcW w:w="1160" w:type="dxa"/>
            <w:vAlign w:val="bottom"/>
            <w:vMerge w:val="restart"/>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70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15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
        </w:trPr>
        <w:tc>
          <w:tcPr>
            <w:tcW w:w="4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markets (at period end)</w:t>
            </w:r>
          </w:p>
        </w:tc>
        <w:tc>
          <w:tcPr>
            <w:tcW w:w="1160" w:type="dxa"/>
            <w:vAlign w:val="bottom"/>
            <w:shd w:val="clear" w:color="auto" w:fill="CCEEFF"/>
          </w:tcPr>
          <w:p>
            <w:pPr>
              <w:jc w:val="right"/>
              <w:ind w:right="402"/>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402"/>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21</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After launching 12 markets in 2018, we focused on centralizing our operations platform in 2019 for long-term scalability. We launched three additional markets in 2019 and did not launch any markets in 2020, primarily due to COVID-19. We plan to double the markets we serve by the end of 2021 and have launched 18 new markets in the first half of the year. We believe our centralized systems will allow for a higher velocity and lower cost market launch process in the future. We are able to launch a market with only a small field team focused on home assessments and subcontractor oversight, with all other key functions managed centrally, including marketing, customer sales and support and pricing.</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color w:val="auto"/>
        </w:rPr>
        <w:t>We view the first year of a market launch as an investment period during which we refine our pricing models, renovation strategies and cost structure. Historically, we have seen Contribution Margin for purchase cohorts in new markets reach positive, steady-state levels approximately one year after initial launch. The significant number of new market launches in 2018 contributed to our lower Contribution Margin in 2019; as those same markets matured, we were able to improve Contribution Margin performance in 2020.</w:t>
      </w:r>
    </w:p>
    <w:p>
      <w:pPr>
        <w:spacing w:after="0" w:line="187"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We are making substantial investments to support our market launches in 2021, which will impact both Contribution Margin and Adjusted EBITDA as these new markets mature.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Adjacent Services</w:t>
      </w:r>
    </w:p>
    <w:p>
      <w:pPr>
        <w:spacing w:after="0" w:line="22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believe home sellers and buyers value simplicity and convenience. To that end, we are building an online, integrated suite of home services, which currently include title insurance and escrow services, listing and real estate brokerage services, and mortgage services. We believe that vertically integrating services that are adjacent to the core real estate transaction will allow us to deliver a superior, seamless experience to the consumer. Our success with title insurance services helps validate our thesis that customers prefer an online, integrated experience. We expect that these adjacent services will also be accretive to our Contribution Margin.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will continue to evaluate new ways to improve our end-to-end solution and expect to invest in additional adjacent products and services over time.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economics</w:t>
      </w:r>
    </w:p>
    <w:p>
      <w:pPr>
        <w:spacing w:after="0" w:line="225"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We view Contribution Margin and Contribution Margin after Interest as key measures of unit economic performance. Our long-term financial performance depends, in part, on continuing to expand unit margins through the following initiatives:</w:t>
      </w:r>
    </w:p>
    <w:p>
      <w:pPr>
        <w:spacing w:after="0" w:line="62" w:lineRule="exact"/>
        <w:rPr>
          <w:sz w:val="20"/>
          <w:szCs w:val="20"/>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engine optimization and enhancements, especially as we enter new markets and expand our reach in existing markets.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Lowering platform costs through process refinement, greater automation and self-service, and more efficient forms of financing.</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introduction of additional services that supplement the core transaction margin profile.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residential real estate market is seasonal, with greater demand from home buyers in the spring and summer, and typically weaker demand in late fall and winter. We expect our financial results and working capital requirements to reflect seasonal variations over time, although our growth and market expansion have obscured the impact of seasonality in our historical financials and may continue to do so. That said, we generally expect stronger sequential revenue growth in the first quarter of the year versus the third and fourth quarters.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w:t>
      </w:r>
    </w:p>
    <w:p>
      <w:pPr>
        <w:spacing w:after="0" w:line="225" w:lineRule="exact"/>
        <w:rPr>
          <w:sz w:val="20"/>
          <w:szCs w:val="20"/>
          <w:color w:val="auto"/>
        </w:rPr>
      </w:pPr>
    </w:p>
    <w:p>
      <w:pPr>
        <w:ind w:right="240" w:firstLine="405"/>
        <w:spacing w:after="0" w:line="342" w:lineRule="auto"/>
        <w:rPr>
          <w:sz w:val="20"/>
          <w:szCs w:val="20"/>
          <w:color w:val="auto"/>
        </w:rPr>
      </w:pPr>
      <w:r>
        <w:rPr>
          <w:rFonts w:ascii="Arial" w:cs="Arial" w:eastAsia="Arial" w:hAnsi="Arial"/>
          <w:sz w:val="16"/>
          <w:szCs w:val="16"/>
          <w:color w:val="auto"/>
        </w:rPr>
        <w:t>We have invested significant time and resources into our pricing engine and inventory management systems. Our engineering, data science and pricing teams collectively focus on pricing accuracy for both home acquisition and disposition, as well as managing our inventory health across markets.</w:t>
      </w:r>
    </w:p>
    <w:p>
      <w:pPr>
        <w:spacing w:after="0" w:line="12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While residential real estate markets are subject to fluctuations, as with any market, we believe we are well-positioned to manage our inventory risk exposure due to the following:</w:t>
      </w:r>
    </w:p>
    <w:p>
      <w:pPr>
        <w:spacing w:after="0" w:line="62" w:lineRule="exact"/>
        <w:rPr>
          <w:sz w:val="20"/>
          <w:szCs w:val="20"/>
          <w:color w:val="auto"/>
        </w:rPr>
      </w:pPr>
    </w:p>
    <w:p>
      <w:pPr>
        <w:ind w:left="820" w:right="80" w:hanging="326"/>
        <w:spacing w:after="0" w:line="279" w:lineRule="auto"/>
        <w:tabs>
          <w:tab w:leader="none" w:pos="8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business model is based on transaction velocity and short-duration hold times, with our average days in possession typically ranging from 70 to 100 days for homes acquired since January 2020. We have historically concentrated our home purchases on the more liquid segments of the residential real estate market, thus limiting our duration risk. Moreover, residential real estate prices tend to move gradually relative to other asset classes, which meaningfully reduces our exposure to price fluctuations during our ownership period.</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354" w:lineRule="exact"/>
        <w:rPr>
          <w:sz w:val="20"/>
          <w:szCs w:val="20"/>
          <w:color w:val="auto"/>
        </w:rPr>
      </w:pPr>
    </w:p>
    <w:p>
      <w:pPr>
        <w:ind w:left="820" w:right="20" w:hanging="326"/>
        <w:spacing w:after="0" w:line="255"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pricing models and inventory management systems are designed to recalibrate to market signals on a daily basis. Accordingly, changing market conditions are reflected in our pricing for new acquisitions, leaving only previously-acquired inventory at risk to potential market volatility. In addition, we employ sophisticated resale pricing management systems that allow as to optimize sell-through and margin using real-time, local market demand information, including down to an individual home level. We believe that the quality and scale of information we utilize in our inventory management decisions provides us with a structural advantage over individual sellers or agents in the traditional home selling process.</w:t>
      </w:r>
    </w:p>
    <w:p>
      <w:pPr>
        <w:spacing w:after="0" w:line="84" w:lineRule="exact"/>
        <w:rPr>
          <w:rFonts w:ascii="Arial" w:cs="Arial" w:eastAsia="Arial" w:hAnsi="Arial"/>
          <w:sz w:val="18"/>
          <w:szCs w:val="18"/>
          <w:color w:val="auto"/>
        </w:rPr>
      </w:pPr>
    </w:p>
    <w:p>
      <w:pPr>
        <w:ind w:left="820" w:right="20" w:hanging="326"/>
        <w:spacing w:after="0" w:line="308" w:lineRule="auto"/>
        <w:tabs>
          <w:tab w:leader="none" w:pos="8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At any moment in time, a significant portion of our inventory is under resale contract; this means we have already found buyers for those homes and are in the process of closing the resale transactions. This further limits our exposure to the remaining homes in inventory.</w:t>
      </w:r>
    </w:p>
    <w:p>
      <w:pPr>
        <w:spacing w:after="0" w:line="38" w:lineRule="exact"/>
        <w:rPr>
          <w:rFonts w:ascii="Arial" w:cs="Arial" w:eastAsia="Arial" w:hAnsi="Arial"/>
          <w:sz w:val="17"/>
          <w:szCs w:val="17"/>
          <w:color w:val="auto"/>
        </w:rPr>
      </w:pPr>
    </w:p>
    <w:p>
      <w:pPr>
        <w:ind w:left="820" w:right="200" w:hanging="326"/>
        <w:spacing w:after="0" w:line="277"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listed homes are not occupied and are in resale condition given the repairs and renovations we perform. We believe that this increases the salability and liquidity of our portfolio.</w:t>
      </w:r>
    </w:p>
    <w:p>
      <w:pPr>
        <w:spacing w:after="0" w:line="62" w:lineRule="exact"/>
        <w:rPr>
          <w:rFonts w:ascii="Arial" w:cs="Arial" w:eastAsia="Arial" w:hAnsi="Arial"/>
          <w:sz w:val="18"/>
          <w:szCs w:val="18"/>
          <w:color w:val="auto"/>
        </w:rPr>
      </w:pPr>
    </w:p>
    <w:p>
      <w:pPr>
        <w:ind w:left="820" w:right="20" w:hanging="326"/>
        <w:spacing w:after="0" w:line="279" w:lineRule="auto"/>
        <w:tabs>
          <w:tab w:leader="none" w:pos="8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operations across 39 markets and multiple price and home types allow us to benefit from significant diversification effects. Individual buyers and sellers or local operators are exposed to price and behavioral effects that are associated with specific markets or home segments. Our scale and diverse coverage allow us to mitigate such exposures across a wider range of markets and home segments so that our overall risk per home decreases as we increase the breadth of markets, price points and home types that we operate in.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will continue to make substantial investments in our pricing systems and risk management functions.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Financing</w:t>
      </w:r>
    </w:p>
    <w:p>
      <w:pPr>
        <w:spacing w:after="0" w:line="225" w:lineRule="exact"/>
        <w:rPr>
          <w:sz w:val="20"/>
          <w:szCs w:val="20"/>
          <w:color w:val="auto"/>
        </w:rPr>
      </w:pPr>
    </w:p>
    <w:p>
      <w:pPr>
        <w:jc w:val="both"/>
        <w:ind w:right="100" w:firstLine="405"/>
        <w:spacing w:after="0" w:line="263" w:lineRule="auto"/>
        <w:rPr>
          <w:sz w:val="20"/>
          <w:szCs w:val="20"/>
          <w:color w:val="auto"/>
        </w:rPr>
      </w:pPr>
      <w:r>
        <w:rPr>
          <w:rFonts w:ascii="Arial" w:cs="Arial" w:eastAsia="Arial" w:hAnsi="Arial"/>
          <w:sz w:val="18"/>
          <w:szCs w:val="18"/>
          <w:color w:val="auto"/>
        </w:rPr>
        <w:t>Our business model is working capital intensive and inventory financing is a key enabler of our growth. We rely on our access to non-recourse asset-backed financing facilities, which consist of senior credit facilities and asset-backed mezzanine term debt facilities, to finance our home acquisitions. See “—</w:t>
      </w:r>
      <w:r>
        <w:rPr>
          <w:rFonts w:ascii="Arial" w:cs="Arial" w:eastAsia="Arial" w:hAnsi="Arial"/>
          <w:sz w:val="18"/>
          <w:szCs w:val="18"/>
          <w:i w:val="1"/>
          <w:iCs w:val="1"/>
          <w:color w:val="auto"/>
        </w:rPr>
        <w:t>Liquidity and Capital Resources — Debt and Financing Arrangements.</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addition to our results of operations below, we report certain financial measures that are not required by, or presented in accordance with,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generally accepted accounting principles (“GAAP”).</w:t>
      </w:r>
    </w:p>
    <w:p>
      <w:pPr>
        <w:spacing w:after="0" w:line="21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These measures have limitations as analytical tools when assessing our operating performance and should not be considered in isolation or as a substitute for GAAP measures, including gross profit and net income. We may calculate or present our non-GAAP financial measures differently than other companies who report measures with similar titles and, as a result, the non-GAAP financial measures we report may not be comparable with those of companies in our industry or in other industries.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Gross Profit, Contribution Profit and Contribution Profit After Interest</w:t>
      </w:r>
    </w:p>
    <w:p>
      <w:pPr>
        <w:spacing w:after="0" w:line="225"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To provide investors with additional information regarding our margins and return on inventory acquired, we have included Adjusted Gross Profit, Contribution Profit and Contribution Profit After Interest, which are non-GAAP financial measures. We believe that Adjusted Gross Profit, Contribution Profit and Contribution Profit After Interest are useful financial measures for investors as they are supplemental measures used by management in evaluating unit level economics and our operating performance in our key markets. Each of these measures is intended to present the economics related to homes sold during a given period. We do so by including revenue generated from homes sold (and adjacent services) in the period and only the expenses that are directly attributable to such home sales, even if such expenses were recognized in prior periods, and excluding expenses related to homes that remain in inventory as of the end of the period. Contribution Profit provides investors a measure to assess Opendoor’s ability to generate returns on homes sold during a reporting period after considering home purchase costs, renovation and repair costs, holding costs and selling costs. Contribution Profit After Interest further impacts gross profit by including interest costs attributable to homes sold during a reporting period. We believe these measures facilitate meaningful period over period comparisons and illustrate our ability to generate returns on assets sold after considering the costs directly related to the assets sold in a given period.</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Adjusted Gross Profit, Contribution Profit and Contribution Profit After Interest are supplemental measures of our operating performance and have limitations as analytical tools. For example, these measures include costs that were recorded in prior periods under GAAP and exclude, in connection with homes held in inventory at the end of the period, costs required to be recorded under GAAP in the same period. These measures also exclude the impact of certain restructuring costs that are required under GAAP. Accordingly, these measures should not be considered in isolation or as a substitute for analysis of our results as reported under GAAP. We include a reconciliation of these measures to the most directly comparable GAAP financial measure, which is gross profit.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Gross Profit / Margin</w:t>
      </w:r>
    </w:p>
    <w:p>
      <w:pPr>
        <w:spacing w:after="0" w:line="225" w:lineRule="exact"/>
        <w:rPr>
          <w:sz w:val="20"/>
          <w:szCs w:val="20"/>
          <w:color w:val="auto"/>
        </w:rPr>
      </w:pPr>
    </w:p>
    <w:p>
      <w:pPr>
        <w:jc w:val="both"/>
        <w:ind w:right="40" w:firstLine="405"/>
        <w:spacing w:after="0" w:line="257" w:lineRule="auto"/>
        <w:rPr>
          <w:sz w:val="20"/>
          <w:szCs w:val="20"/>
          <w:color w:val="auto"/>
        </w:rPr>
      </w:pPr>
      <w:r>
        <w:rPr>
          <w:rFonts w:ascii="Arial" w:cs="Arial" w:eastAsia="Arial" w:hAnsi="Arial"/>
          <w:sz w:val="18"/>
          <w:szCs w:val="18"/>
          <w:color w:val="auto"/>
        </w:rPr>
        <w:t>We calculate Adjusted Gross Profit as gross profit under GAAP adjusted for (1) inventory impairment in the current period, (2) inventory impairment in prior periods, and (3) restructuring in cost of revenue. Inventory impairment in the current period is calculated by adding back the inventory impairment charges recorded during the period on homes that remain in inventory at period end. Inventory impairment in prior periods is calculated by subtracting the inventory impairment charges recorded in prior periods on homes sold in the current period. We define Adjusted Gross Margin as Adjusted Gross Profit as a percentage of revenue.</w:t>
      </w:r>
    </w:p>
    <w:p>
      <w:pPr>
        <w:spacing w:after="0" w:line="188" w:lineRule="exact"/>
        <w:rPr>
          <w:sz w:val="20"/>
          <w:szCs w:val="20"/>
          <w:color w:val="auto"/>
        </w:rPr>
      </w:pPr>
    </w:p>
    <w:p>
      <w:pPr>
        <w:jc w:val="both"/>
        <w:ind w:right="380" w:firstLine="405"/>
        <w:spacing w:after="0" w:line="263" w:lineRule="auto"/>
        <w:rPr>
          <w:sz w:val="20"/>
          <w:szCs w:val="20"/>
          <w:color w:val="auto"/>
        </w:rPr>
      </w:pPr>
      <w:r>
        <w:rPr>
          <w:rFonts w:ascii="Arial" w:cs="Arial" w:eastAsia="Arial" w:hAnsi="Arial"/>
          <w:sz w:val="18"/>
          <w:szCs w:val="18"/>
          <w:color w:val="auto"/>
        </w:rPr>
        <w:t>We view this metric as an important measure of business performance as it captures gross margin performance isolated to homes sold in a given period and provides comparability across reporting periods. Adjusted Gross Profit helps management assess home pricing, service fees and renovation performance for a specific resale cohort.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 Profit / Margin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calculate Contribution Profit as Adjusted Gross Profit, minus (1) holding costs incurred in the current period on homes sold during the period,</w:t>
      </w:r>
    </w:p>
    <w:p>
      <w:pPr>
        <w:spacing w:after="0" w:line="46" w:lineRule="exact"/>
        <w:rPr>
          <w:sz w:val="20"/>
          <w:szCs w:val="20"/>
          <w:color w:val="auto"/>
        </w:rPr>
      </w:pPr>
    </w:p>
    <w:p>
      <w:pPr>
        <w:ind w:firstLine="8"/>
        <w:spacing w:after="0" w:line="281" w:lineRule="auto"/>
        <w:tabs>
          <w:tab w:leader="none" w:pos="2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holding costs incurred in prior periods on homes sold in the current period, and (3) direct selling costs incurred on homes sold during the current period. The composition of our holding costs is described in the footnotes to the reconciliation table below. Contribution Margin is Contribution Profit as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 percentage of revenue.</w:t>
      </w:r>
    </w:p>
    <w:p>
      <w:pPr>
        <w:spacing w:after="0" w:line="211"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We view this metric as an important measure of business performance as it captures the unit level performance isolated to homes sold in a given period and provides comparability across reporting periods. Contribution Profit helps management assess inflows and outflows directly associated with a specific resale cohort.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 Profit / Margin After Interest</w:t>
      </w:r>
    </w:p>
    <w:p>
      <w:pPr>
        <w:spacing w:after="0" w:line="225"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 xml:space="preserve">We define Contribution Profit After Interest as Contribution Profit, minus interest expense under our senior credit facilities incurred on the homes sold during the period. This may include interest expense recorded in periods prior to the period in which the sale occurred. Our senior credit facilities are secured by our homes in inventory. For our senior revolving credit facilities, drawdowns are made on a per-home basis at the time of purchase and are required to be repaid at the time the homes are sold. See “— </w:t>
      </w:r>
      <w:r>
        <w:rPr>
          <w:rFonts w:ascii="Arial" w:cs="Arial" w:eastAsia="Arial" w:hAnsi="Arial"/>
          <w:sz w:val="16"/>
          <w:szCs w:val="16"/>
          <w:i w:val="1"/>
          <w:iCs w:val="1"/>
          <w:color w:val="auto"/>
        </w:rPr>
        <w:t>Liquidity and Capital Resources — Debt and Financing Arrangements.</w:t>
      </w:r>
      <w:r>
        <w:rPr>
          <w:rFonts w:ascii="Arial" w:cs="Arial" w:eastAsia="Arial" w:hAnsi="Arial"/>
          <w:sz w:val="16"/>
          <w:szCs w:val="16"/>
          <w:color w:val="auto"/>
        </w:rPr>
        <w:t>” We do not include interest expense associated with our mezzanine term debt facilities in this calculation as we do not view such facilities as reflective of our expected long term capital structure and cost of financing. Contribution Margin After Interest is Contribution Profit After Interest as a percentage of revenue.</w:t>
      </w:r>
    </w:p>
    <w:p>
      <w:pPr>
        <w:spacing w:after="0" w:line="164"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We view this metric as an important measure of business performance. Contribution Profit After Interest helps management assess Contribution Margin performance, per above, when fully burdened with expected long-term costs of financing.</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The following table presents a reconciliation of our Adjusted Gross Profit, Contribution Profit and Contribution Profit After Interest to our gross profit, which is the most directly comparable GAAP measure, for the periods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jc w:val="right"/>
              <w:ind w:right="511"/>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jc w:val="right"/>
              <w:ind w:right="531"/>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6"/>
        </w:trPr>
        <w:tc>
          <w:tcPr>
            <w:tcW w:w="4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 (GAAP)</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158,771</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54,574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255,903</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145,621</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13.4 %</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13.2 %</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20" w:type="dxa"/>
            <w:vAlign w:val="bottom"/>
          </w:tcPr>
          <w:p>
            <w:pPr>
              <w:ind w:left="240"/>
              <w:spacing w:after="0"/>
              <w:rPr>
                <w:sz w:val="20"/>
                <w:szCs w:val="20"/>
                <w:color w:val="auto"/>
              </w:rPr>
            </w:pPr>
            <w:r>
              <w:rPr>
                <w:rFonts w:ascii="Arial" w:cs="Arial" w:eastAsia="Arial" w:hAnsi="Arial"/>
                <w:sz w:val="18"/>
                <w:szCs w:val="18"/>
                <w:color w:val="auto"/>
              </w:rPr>
              <w:t>Inventory impairment – Current Period</w:t>
            </w:r>
            <w:r>
              <w:rPr>
                <w:rFonts w:ascii="Arial" w:cs="Arial" w:eastAsia="Arial" w:hAnsi="Arial"/>
                <w:sz w:val="23"/>
                <w:szCs w:val="23"/>
                <w:color w:val="auto"/>
                <w:vertAlign w:val="superscript"/>
              </w:rPr>
              <w:t>(1)</w:t>
            </w:r>
          </w:p>
        </w:tc>
        <w:tc>
          <w:tcPr>
            <w:tcW w:w="360" w:type="dxa"/>
            <w:vAlign w:val="bottom"/>
          </w:tcPr>
          <w:p>
            <w:pPr>
              <w:spacing w:after="0"/>
              <w:rPr>
                <w:sz w:val="23"/>
                <w:szCs w:val="23"/>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922</w:t>
            </w: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928</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 impairment – Prior Periods</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(6,581)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(10,210)</w:t>
            </w:r>
          </w:p>
        </w:tc>
        <w:tc>
          <w:tcPr>
            <w:tcW w:w="0" w:type="dxa"/>
            <w:vAlign w:val="bottom"/>
          </w:tcPr>
          <w:p>
            <w:pPr>
              <w:spacing w:after="0"/>
              <w:rPr>
                <w:sz w:val="1"/>
                <w:szCs w:val="1"/>
                <w:color w:val="auto"/>
              </w:rPr>
            </w:pPr>
          </w:p>
        </w:tc>
      </w:tr>
      <w:tr>
        <w:trPr>
          <w:trHeight w:val="270"/>
        </w:trPr>
        <w:tc>
          <w:tcPr>
            <w:tcW w:w="4920" w:type="dxa"/>
            <w:vAlign w:val="bottom"/>
          </w:tcPr>
          <w:p>
            <w:pPr>
              <w:ind w:left="240"/>
              <w:spacing w:after="0"/>
              <w:rPr>
                <w:sz w:val="20"/>
                <w:szCs w:val="20"/>
                <w:color w:val="auto"/>
              </w:rPr>
            </w:pPr>
            <w:r>
              <w:rPr>
                <w:rFonts w:ascii="Arial" w:cs="Arial" w:eastAsia="Arial" w:hAnsi="Arial"/>
                <w:sz w:val="18"/>
                <w:szCs w:val="18"/>
                <w:color w:val="auto"/>
              </w:rPr>
              <w:t>Restructuring in cost of revenue</w:t>
            </w:r>
            <w:r>
              <w:rPr>
                <w:rFonts w:ascii="Arial" w:cs="Arial" w:eastAsia="Arial" w:hAnsi="Arial"/>
                <w:sz w:val="23"/>
                <w:szCs w:val="23"/>
                <w:color w:val="auto"/>
                <w:vertAlign w:val="superscript"/>
              </w:rPr>
              <w:t>(3)</w:t>
            </w:r>
          </w:p>
        </w:tc>
        <w:tc>
          <w:tcPr>
            <w:tcW w:w="36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3"/>
                <w:szCs w:val="23"/>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43"/>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159,674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51,125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256,712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139,973</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Adjusted Gross Margin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13.5 %</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13.3 %</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20" w:type="dxa"/>
            <w:vAlign w:val="bottom"/>
          </w:tcPr>
          <w:p>
            <w:pPr>
              <w:ind w:left="240"/>
              <w:spacing w:after="0"/>
              <w:rPr>
                <w:sz w:val="20"/>
                <w:szCs w:val="20"/>
                <w:color w:val="auto"/>
              </w:rPr>
            </w:pPr>
            <w:r>
              <w:rPr>
                <w:rFonts w:ascii="Arial" w:cs="Arial" w:eastAsia="Arial" w:hAnsi="Arial"/>
                <w:sz w:val="18"/>
                <w:szCs w:val="18"/>
                <w:color w:val="auto"/>
              </w:rPr>
              <w:t>Direct selling costs</w:t>
            </w:r>
            <w:r>
              <w:rPr>
                <w:rFonts w:ascii="Arial" w:cs="Arial" w:eastAsia="Arial" w:hAnsi="Arial"/>
                <w:sz w:val="23"/>
                <w:szCs w:val="23"/>
                <w:color w:val="auto"/>
                <w:vertAlign w:val="superscript"/>
              </w:rPr>
              <w:t>(4)</w:t>
            </w:r>
          </w:p>
        </w:tc>
        <w:tc>
          <w:tcPr>
            <w:tcW w:w="36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(26,813)</w:t>
            </w: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(22,128)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(44,153)</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(58,776)</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Holding costs on sales – Current Period</w:t>
            </w:r>
            <w:r>
              <w:rPr>
                <w:rFonts w:ascii="Arial" w:cs="Arial" w:eastAsia="Arial" w:hAnsi="Arial"/>
                <w:sz w:val="23"/>
                <w:szCs w:val="23"/>
                <w:color w:val="auto"/>
                <w:vertAlign w:val="superscript"/>
              </w:rPr>
              <w:t>(5)(6)</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(2,666)</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(2,383)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(7,216)</w:t>
            </w: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(11,680)</w:t>
            </w:r>
          </w:p>
        </w:tc>
        <w:tc>
          <w:tcPr>
            <w:tcW w:w="0" w:type="dxa"/>
            <w:vAlign w:val="bottom"/>
          </w:tcPr>
          <w:p>
            <w:pPr>
              <w:spacing w:after="0"/>
              <w:rPr>
                <w:sz w:val="1"/>
                <w:szCs w:val="1"/>
                <w:color w:val="auto"/>
              </w:rPr>
            </w:pPr>
          </w:p>
        </w:tc>
      </w:tr>
      <w:tr>
        <w:trPr>
          <w:trHeight w:val="270"/>
        </w:trPr>
        <w:tc>
          <w:tcPr>
            <w:tcW w:w="49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Holding costs on sales – Prior Periods</w:t>
            </w:r>
            <w:r>
              <w:rPr>
                <w:rFonts w:ascii="Arial" w:cs="Arial" w:eastAsia="Arial" w:hAnsi="Arial"/>
                <w:sz w:val="23"/>
                <w:szCs w:val="23"/>
                <w:color w:val="auto"/>
                <w:vertAlign w:val="superscript"/>
              </w:rPr>
              <w:t>(5)(7)</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(2,633)</w:t>
            </w:r>
          </w:p>
        </w:tc>
        <w:tc>
          <w:tcPr>
            <w:tcW w:w="8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(6,517)</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(1,635)</w:t>
            </w:r>
          </w:p>
        </w:tc>
        <w:tc>
          <w:tcPr>
            <w:tcW w:w="8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(10,864)</w:t>
            </w:r>
          </w:p>
        </w:tc>
        <w:tc>
          <w:tcPr>
            <w:tcW w:w="0" w:type="dxa"/>
            <w:vAlign w:val="bottom"/>
          </w:tcPr>
          <w:p>
            <w:pPr>
              <w:spacing w:after="0"/>
              <w:rPr>
                <w:sz w:val="1"/>
                <w:szCs w:val="1"/>
                <w:color w:val="auto"/>
              </w:rPr>
            </w:pPr>
          </w:p>
        </w:tc>
      </w:tr>
      <w:tr>
        <w:trPr>
          <w:trHeight w:val="243"/>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Contribution Profit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127,562</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20,097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203,708</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58,653</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Contribution Margin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10.8 %</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10.5 %</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20" w:type="dxa"/>
            <w:vAlign w:val="bottom"/>
          </w:tcPr>
          <w:p>
            <w:pPr>
              <w:ind w:left="240"/>
              <w:spacing w:after="0"/>
              <w:rPr>
                <w:sz w:val="20"/>
                <w:szCs w:val="20"/>
                <w:color w:val="auto"/>
              </w:rPr>
            </w:pPr>
            <w:r>
              <w:rPr>
                <w:rFonts w:ascii="Arial" w:cs="Arial" w:eastAsia="Arial" w:hAnsi="Arial"/>
                <w:sz w:val="18"/>
                <w:szCs w:val="18"/>
                <w:color w:val="auto"/>
              </w:rPr>
              <w:t>Interest on homes sold – Current Period</w:t>
            </w:r>
            <w:r>
              <w:rPr>
                <w:rFonts w:ascii="Arial" w:cs="Arial" w:eastAsia="Arial" w:hAnsi="Arial"/>
                <w:sz w:val="23"/>
                <w:szCs w:val="23"/>
                <w:color w:val="auto"/>
                <w:vertAlign w:val="superscript"/>
              </w:rPr>
              <w:t>(8)(9)</w:t>
            </w:r>
          </w:p>
        </w:tc>
        <w:tc>
          <w:tcPr>
            <w:tcW w:w="36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(3,110)</w:t>
            </w: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(6,892)</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(13,276)</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on homes sold – Prior Periods</w:t>
            </w:r>
            <w:r>
              <w:rPr>
                <w:rFonts w:ascii="Arial" w:cs="Arial" w:eastAsia="Arial" w:hAnsi="Arial"/>
                <w:sz w:val="23"/>
                <w:szCs w:val="23"/>
                <w:color w:val="auto"/>
                <w:vertAlign w:val="superscript"/>
              </w:rPr>
              <w:t>(8)(10)</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(1,587)</w:t>
            </w:r>
          </w:p>
        </w:tc>
        <w:tc>
          <w:tcPr>
            <w:tcW w:w="8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(5,309)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(1,040)</w:t>
            </w:r>
          </w:p>
        </w:tc>
        <w:tc>
          <w:tcPr>
            <w:tcW w:w="8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(10,329)</w:t>
            </w:r>
          </w:p>
        </w:tc>
        <w:tc>
          <w:tcPr>
            <w:tcW w:w="0" w:type="dxa"/>
            <w:vAlign w:val="bottom"/>
          </w:tcPr>
          <w:p>
            <w:pPr>
              <w:spacing w:after="0"/>
              <w:rPr>
                <w:sz w:val="1"/>
                <w:szCs w:val="1"/>
                <w:color w:val="auto"/>
              </w:rPr>
            </w:pPr>
          </w:p>
        </w:tc>
      </w:tr>
      <w:tr>
        <w:trPr>
          <w:trHeight w:val="237"/>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Contribution Profit After Interest</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33"/>
              <w:spacing w:after="0"/>
              <w:rPr>
                <w:sz w:val="20"/>
                <w:szCs w:val="20"/>
                <w:color w:val="auto"/>
              </w:rPr>
            </w:pPr>
            <w:r>
              <w:rPr>
                <w:rFonts w:ascii="Arial" w:cs="Arial" w:eastAsia="Arial" w:hAnsi="Arial"/>
                <w:sz w:val="18"/>
                <w:szCs w:val="18"/>
                <w:b w:val="1"/>
                <w:bCs w:val="1"/>
                <w:color w:val="auto"/>
              </w:rPr>
              <w:t>122,865</w:t>
            </w:r>
          </w:p>
        </w:tc>
        <w:tc>
          <w:tcPr>
            <w:tcW w:w="8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31"/>
              <w:spacing w:after="0"/>
              <w:rPr>
                <w:sz w:val="20"/>
                <w:szCs w:val="20"/>
                <w:color w:val="auto"/>
              </w:rPr>
            </w:pPr>
            <w:r>
              <w:rPr>
                <w:rFonts w:ascii="Arial" w:cs="Arial" w:eastAsia="Arial" w:hAnsi="Arial"/>
                <w:sz w:val="18"/>
                <w:szCs w:val="18"/>
                <w:b w:val="1"/>
                <w:bCs w:val="1"/>
                <w:color w:val="auto"/>
              </w:rPr>
              <w:t>11,633</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133"/>
              <w:spacing w:after="0"/>
              <w:rPr>
                <w:sz w:val="20"/>
                <w:szCs w:val="20"/>
                <w:color w:val="auto"/>
              </w:rPr>
            </w:pPr>
            <w:r>
              <w:rPr>
                <w:rFonts w:ascii="Arial" w:cs="Arial" w:eastAsia="Arial" w:hAnsi="Arial"/>
                <w:sz w:val="18"/>
                <w:szCs w:val="18"/>
                <w:b w:val="1"/>
                <w:bCs w:val="1"/>
                <w:color w:val="auto"/>
              </w:rPr>
              <w:t>195,776</w:t>
            </w:r>
          </w:p>
        </w:tc>
        <w:tc>
          <w:tcPr>
            <w:tcW w:w="8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31"/>
              <w:spacing w:after="0"/>
              <w:rPr>
                <w:sz w:val="20"/>
                <w:szCs w:val="20"/>
                <w:color w:val="auto"/>
              </w:rPr>
            </w:pPr>
            <w:r>
              <w:rPr>
                <w:rFonts w:ascii="Arial" w:cs="Arial" w:eastAsia="Arial" w:hAnsi="Arial"/>
                <w:sz w:val="18"/>
                <w:szCs w:val="18"/>
                <w:b w:val="1"/>
                <w:bCs w:val="1"/>
                <w:color w:val="auto"/>
              </w:rPr>
              <w:t>35,048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Contribution Margin After Interest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-1045210</wp:posOffset>
            </wp:positionV>
            <wp:extent cx="3060065" cy="180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060065" cy="180340"/>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w:t>
      </w:r>
    </w:p>
    <w:p>
      <w:pPr>
        <w:spacing w:after="0" w:line="90" w:lineRule="exact"/>
        <w:rPr>
          <w:sz w:val="20"/>
          <w:szCs w:val="20"/>
          <w:color w:val="auto"/>
        </w:rPr>
      </w:pPr>
    </w:p>
    <w:p>
      <w:pPr>
        <w:ind w:left="340" w:right="40" w:hanging="332"/>
        <w:spacing w:after="0" w:line="227" w:lineRule="auto"/>
        <w:tabs>
          <w:tab w:leader="none" w:pos="32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Inventory impairment — Current Period is the inventory valuation adjustments recorded during the period presented associated with homes that remain in inventory at period end.</w:t>
      </w:r>
    </w:p>
    <w:p>
      <w:pPr>
        <w:spacing w:after="0" w:line="94" w:lineRule="exact"/>
        <w:rPr>
          <w:rFonts w:ascii="Arial" w:cs="Arial" w:eastAsia="Arial" w:hAnsi="Arial"/>
          <w:sz w:val="23"/>
          <w:szCs w:val="23"/>
          <w:color w:val="auto"/>
          <w:vertAlign w:val="superscript"/>
        </w:rPr>
      </w:pPr>
    </w:p>
    <w:p>
      <w:pPr>
        <w:ind w:left="340" w:right="260" w:hanging="332"/>
        <w:spacing w:after="0" w:line="227" w:lineRule="auto"/>
        <w:tabs>
          <w:tab w:leader="none" w:pos="32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Inventory impairment — Prior Periods is the inventory valuation adjustments recorded in prior periods associated with homes that sold in the period presented.</w:t>
      </w:r>
    </w:p>
    <w:p>
      <w:pPr>
        <w:spacing w:after="0" w:line="94" w:lineRule="exact"/>
        <w:rPr>
          <w:rFonts w:ascii="Arial" w:cs="Arial" w:eastAsia="Arial" w:hAnsi="Arial"/>
          <w:sz w:val="23"/>
          <w:szCs w:val="23"/>
          <w:color w:val="auto"/>
          <w:vertAlign w:val="superscript"/>
        </w:rPr>
      </w:pPr>
    </w:p>
    <w:p>
      <w:pPr>
        <w:ind w:left="340" w:right="640" w:hanging="332"/>
        <w:spacing w:after="0" w:line="227" w:lineRule="auto"/>
        <w:tabs>
          <w:tab w:leader="none" w:pos="32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Restructuring in cost of revenue consists mainly of severance and employee termination benefits that were recorded to cost of revenue due to a reduction in workforce in Q2 2020 following the outbreak of the COVID-19 pandemic.</w:t>
      </w:r>
    </w:p>
    <w:p>
      <w:pPr>
        <w:spacing w:after="0" w:line="94" w:lineRule="exact"/>
        <w:rPr>
          <w:rFonts w:ascii="Arial" w:cs="Arial" w:eastAsia="Arial" w:hAnsi="Arial"/>
          <w:sz w:val="23"/>
          <w:szCs w:val="23"/>
          <w:color w:val="auto"/>
          <w:vertAlign w:val="superscript"/>
        </w:rPr>
      </w:pPr>
    </w:p>
    <w:p>
      <w:pPr>
        <w:ind w:left="340" w:right="220" w:hanging="332"/>
        <w:spacing w:after="0" w:line="227" w:lineRule="auto"/>
        <w:tabs>
          <w:tab w:leader="none" w:pos="32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Represents selling costs incurred related to homes sold in the relevant period. This primarily includes broker commissions, external title and escrow-related fees and transfer taxes.</w:t>
      </w:r>
    </w:p>
    <w:p>
      <w:pPr>
        <w:spacing w:after="0" w:line="94" w:lineRule="exact"/>
        <w:rPr>
          <w:rFonts w:ascii="Arial" w:cs="Arial" w:eastAsia="Arial" w:hAnsi="Arial"/>
          <w:sz w:val="23"/>
          <w:szCs w:val="23"/>
          <w:color w:val="auto"/>
          <w:vertAlign w:val="superscript"/>
        </w:rPr>
      </w:pPr>
    </w:p>
    <w:p>
      <w:pPr>
        <w:ind w:left="340" w:right="40" w:hanging="332"/>
        <w:spacing w:after="0" w:line="227" w:lineRule="auto"/>
        <w:tabs>
          <w:tab w:leader="none" w:pos="32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Holding costs include mainly property taxes, insurance, utilities, association dues, cleaning and maintenance costs. Holding costs are included in Sales, marketing, and operations on the condensed consolidated statements of operations.</w:t>
      </w:r>
    </w:p>
    <w:p>
      <w:pPr>
        <w:sectPr>
          <w:pgSz w:w="11900" w:h="16838" w:orient="portrait"/>
          <w:cols w:equalWidth="0" w:num="1">
            <w:col w:w="11240"/>
          </w:cols>
          <w:pgMar w:left="320" w:top="139" w:right="339" w:bottom="1440" w:gutter="0" w:footer="0" w:header="0"/>
        </w:sectPr>
      </w:pPr>
    </w:p>
    <w:p>
      <w:pPr>
        <w:spacing w:after="0" w:line="89"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Represents holding costs incurred in the period presented on homes sold in the period presented.</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Represents holding costs incurred in prior periods on homes sold in the period presented.</w:t>
      </w:r>
    </w:p>
    <w:p>
      <w:pPr>
        <w:spacing w:after="0" w:line="129" w:lineRule="exact"/>
        <w:rPr>
          <w:sz w:val="20"/>
          <w:szCs w:val="20"/>
          <w:color w:val="auto"/>
        </w:rPr>
      </w:pPr>
    </w:p>
    <w:p>
      <w:pPr>
        <w:sectPr>
          <w:pgSz w:w="11900" w:h="16838" w:orient="portrait"/>
          <w:cols w:equalWidth="0" w:num="2">
            <w:col w:w="140" w:space="180"/>
            <w:col w:w="10920"/>
          </w:cols>
          <w:pgMar w:left="320" w:top="139" w:right="339" w:bottom="1440" w:gutter="0" w:footer="0" w:header="0"/>
          <w:type w:val="continuous"/>
        </w:sectPr>
      </w:pPr>
    </w:p>
    <w:p>
      <w:pPr>
        <w:ind w:left="340" w:right="80" w:hanging="332"/>
        <w:spacing w:after="0" w:line="227" w:lineRule="auto"/>
        <w:tabs>
          <w:tab w:leader="none" w:pos="32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 xml:space="preserve">This does not include interest on mezzanine term debt facilities or other indebtedness. See “— </w:t>
      </w:r>
      <w:r>
        <w:rPr>
          <w:rFonts w:ascii="Arial" w:cs="Arial" w:eastAsia="Arial" w:hAnsi="Arial"/>
          <w:sz w:val="18"/>
          <w:szCs w:val="18"/>
          <w:i w:val="1"/>
          <w:iCs w:val="1"/>
          <w:color w:val="auto"/>
        </w:rPr>
        <w:t>Liquidity and Capital Resources — Debt and Financing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w:t>
      </w:r>
    </w:p>
    <w:p>
      <w:pPr>
        <w:spacing w:after="0" w:line="59"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Represents the interest expense under our senior credit facilities incurred on homes sold for the current period during the period.</w:t>
      </w:r>
    </w:p>
    <w:p>
      <w:pPr>
        <w:spacing w:after="0" w:line="68" w:lineRule="exact"/>
        <w:rPr>
          <w:rFonts w:ascii="Arial" w:cs="Arial" w:eastAsia="Arial" w:hAnsi="Arial"/>
          <w:sz w:val="23"/>
          <w:szCs w:val="23"/>
          <w:color w:val="auto"/>
          <w:vertAlign w:val="superscript"/>
        </w:rPr>
      </w:pPr>
    </w:p>
    <w:p>
      <w:pPr>
        <w:ind w:left="320" w:hanging="312"/>
        <w:spacing w:after="0" w:line="231" w:lineRule="auto"/>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Represents the interest expense under our senior credit facilities incurred on homes sold for the current period during prior periods.</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(Loss) and Adjusted EBITDA</w:t>
      </w:r>
    </w:p>
    <w:p>
      <w:pPr>
        <w:spacing w:after="0" w:line="225"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We also present Adjusted Net Income (Loss) and Adjusted EBITDA, which are non-GAAP financial measures that management uses to assess our underlying financial performance. These measures are also commonly used by investors and analysts to compare the underlying performance of companies in our industry. We believe these measures provide investors with meaningful period over period comparisons of our underlying performance, adjusted for certain charges that are non-recurring, non-cash, not directly related to our revenue-generating operations or not aligned to related revenue.</w:t>
      </w:r>
    </w:p>
    <w:p>
      <w:pPr>
        <w:spacing w:after="0" w:line="15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Adjusted Net Income (Loss) and Adjusted EBITDA are supplemental measures of our operating performance and have important limitations. For example, these measures exclude the impact of certain costs required to be recorded under GAAP. These measures also include impairment costs that were recorded in prior periods under GAAP and exclude, in connection with homes held in inventory at the end of the period, impairment costs required to be recorded under GAAP in the same period. These measures could differ substantially from similarly titled measures presented by other companies in our industry or companies in other industries. Accordingly, these measures should not be considered in isolation or as a substitute for analysis of our results as reported under GAAP. We include a reconciliation of these measures to the most directly comparable GAAP financial measure, which is net loss.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 (Loss)</w:t>
      </w:r>
    </w:p>
    <w:p>
      <w:pPr>
        <w:spacing w:after="0" w:line="225"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We calculate Adjusted Net Income (Loss) as GAAP net loss adjusted to exclude non-cash expenses of stock-based compensation, derivative and warrant fair value adjustment, intangible amortization, and payroll tax on initial RSU release. It also excludes non-recurring restructuring charges, gain on lease termination, and convertible note payment-in-kind (“PIK”) interest and issuance discount amortization. Adjusted Net Income (Loss) also aligns the timing of impairment charges recorded under GAAP to the period in which the related revenue is recorded in order to improve the comparability of this measure to our non-GAAP financial measures of unit economics, as described above. Our calculation of Adjusted Net Income (Loss) does not currently include the tax effects of the non-GAAP adjustments because our taxes and such tax effects have not been material to date.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ind w:right="260" w:firstLine="405"/>
        <w:spacing w:after="0" w:line="263" w:lineRule="auto"/>
        <w:rPr>
          <w:sz w:val="20"/>
          <w:szCs w:val="20"/>
          <w:color w:val="auto"/>
        </w:rPr>
      </w:pPr>
      <w:r>
        <w:rPr>
          <w:rFonts w:ascii="Arial" w:cs="Arial" w:eastAsia="Arial" w:hAnsi="Arial"/>
          <w:sz w:val="18"/>
          <w:szCs w:val="18"/>
          <w:color w:val="auto"/>
        </w:rPr>
        <w:t>We calculated Adjusted EBITDA as Adjusted Net Income (Loss) adjusted for depreciation and amortization, property financing and other interest expense, interest income, and income tax expense. Adjusted EBITDA is a supplemental performance measure that our management uses to assess our operating performance and the operating leverage in our business.</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9" w:right="39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following table presents a reconciliation of our Adjusted Net Income (Loss) and Adjusted EBITDA to our net loss, which is the most directly comparable GAAP measure, for the periods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right"/>
              <w:ind w:right="51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jc w:val="right"/>
              <w:ind w:right="531"/>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6"/>
        </w:trPr>
        <w:tc>
          <w:tcPr>
            <w:tcW w:w="4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(GAAP)</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(143,805)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(55,919)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(414,241)</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5"/>
              </w:rPr>
              <w:t>(118,115)</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164,216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3,669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403,048</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6,639</w:t>
            </w:r>
          </w:p>
        </w:tc>
        <w:tc>
          <w:tcPr>
            <w:tcW w:w="0" w:type="dxa"/>
            <w:vAlign w:val="bottom"/>
          </w:tcPr>
          <w:p>
            <w:pPr>
              <w:spacing w:after="0"/>
              <w:rPr>
                <w:sz w:val="1"/>
                <w:szCs w:val="1"/>
                <w:color w:val="auto"/>
              </w:rPr>
            </w:pPr>
          </w:p>
        </w:tc>
      </w:tr>
      <w:tr>
        <w:trPr>
          <w:trHeight w:val="270"/>
        </w:trPr>
        <w:tc>
          <w:tcPr>
            <w:tcW w:w="4900" w:type="dxa"/>
            <w:vAlign w:val="bottom"/>
          </w:tcPr>
          <w:p>
            <w:pPr>
              <w:ind w:left="180"/>
              <w:spacing w:after="0"/>
              <w:rPr>
                <w:sz w:val="20"/>
                <w:szCs w:val="20"/>
                <w:color w:val="auto"/>
              </w:rPr>
            </w:pPr>
            <w:r>
              <w:rPr>
                <w:rFonts w:ascii="Arial" w:cs="Arial" w:eastAsia="Arial" w:hAnsi="Arial"/>
                <w:sz w:val="18"/>
                <w:szCs w:val="18"/>
                <w:color w:val="auto"/>
              </w:rPr>
              <w:t>Derivative and warrant fair value adjustment</w:t>
            </w:r>
            <w:r>
              <w:rPr>
                <w:rFonts w:ascii="Arial" w:cs="Arial" w:eastAsia="Arial" w:hAnsi="Arial"/>
                <w:sz w:val="23"/>
                <w:szCs w:val="23"/>
                <w:color w:val="auto"/>
                <w:vertAlign w:val="superscript"/>
              </w:rPr>
              <w:t>(1)</w:t>
            </w:r>
          </w:p>
        </w:tc>
        <w:tc>
          <w:tcPr>
            <w:tcW w:w="360" w:type="dxa"/>
            <w:vAlign w:val="bottom"/>
          </w:tcPr>
          <w:p>
            <w:pPr>
              <w:spacing w:after="0"/>
              <w:rPr>
                <w:sz w:val="23"/>
                <w:szCs w:val="23"/>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(23,952)</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(8,680)</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70"/>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Intangibles amortization expense</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1,171</w:t>
            </w: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70"/>
        </w:trPr>
        <w:tc>
          <w:tcPr>
            <w:tcW w:w="4900" w:type="dxa"/>
            <w:vAlign w:val="bottom"/>
          </w:tcPr>
          <w:p>
            <w:pPr>
              <w:ind w:left="180"/>
              <w:spacing w:after="0"/>
              <w:rPr>
                <w:sz w:val="20"/>
                <w:szCs w:val="20"/>
                <w:color w:val="auto"/>
              </w:rPr>
            </w:pPr>
            <w:r>
              <w:rPr>
                <w:rFonts w:ascii="Arial" w:cs="Arial" w:eastAsia="Arial" w:hAnsi="Arial"/>
                <w:sz w:val="18"/>
                <w:szCs w:val="18"/>
                <w:color w:val="auto"/>
              </w:rPr>
              <w:t>Inventory impairment – Current Period</w:t>
            </w:r>
            <w:r>
              <w:rPr>
                <w:rFonts w:ascii="Arial" w:cs="Arial" w:eastAsia="Arial" w:hAnsi="Arial"/>
                <w:sz w:val="23"/>
                <w:szCs w:val="23"/>
                <w:color w:val="auto"/>
                <w:vertAlign w:val="superscript"/>
              </w:rPr>
              <w:t>(3)</w:t>
            </w:r>
          </w:p>
        </w:tc>
        <w:tc>
          <w:tcPr>
            <w:tcW w:w="36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928</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70"/>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 impairment — Prior Periods</w:t>
            </w:r>
            <w:r>
              <w:rPr>
                <w:rFonts w:ascii="Arial" w:cs="Arial" w:eastAsia="Arial" w:hAnsi="Arial"/>
                <w:sz w:val="23"/>
                <w:szCs w:val="23"/>
                <w:color w:val="auto"/>
                <w:vertAlign w:val="superscript"/>
              </w:rPr>
              <w:t>(4)</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(6,580)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(10,210)</w:t>
            </w:r>
          </w:p>
        </w:tc>
        <w:tc>
          <w:tcPr>
            <w:tcW w:w="0" w:type="dxa"/>
            <w:vAlign w:val="bottom"/>
          </w:tcPr>
          <w:p>
            <w:pPr>
              <w:spacing w:after="0"/>
              <w:rPr>
                <w:sz w:val="1"/>
                <w:szCs w:val="1"/>
                <w:color w:val="auto"/>
              </w:rPr>
            </w:pPr>
          </w:p>
        </w:tc>
      </w:tr>
      <w:tr>
        <w:trPr>
          <w:trHeight w:val="270"/>
        </w:trPr>
        <w:tc>
          <w:tcPr>
            <w:tcW w:w="4900" w:type="dxa"/>
            <w:vAlign w:val="bottom"/>
          </w:tcPr>
          <w:p>
            <w:pPr>
              <w:ind w:left="180"/>
              <w:spacing w:after="0"/>
              <w:rPr>
                <w:sz w:val="20"/>
                <w:szCs w:val="20"/>
                <w:color w:val="auto"/>
              </w:rPr>
            </w:pPr>
            <w:r>
              <w:rPr>
                <w:rFonts w:ascii="Arial" w:cs="Arial" w:eastAsia="Arial" w:hAnsi="Arial"/>
                <w:sz w:val="18"/>
                <w:szCs w:val="18"/>
                <w:color w:val="auto"/>
              </w:rPr>
              <w:t>Restructuring</w:t>
            </w:r>
            <w:r>
              <w:rPr>
                <w:rFonts w:ascii="Arial" w:cs="Arial" w:eastAsia="Arial" w:hAnsi="Arial"/>
                <w:sz w:val="23"/>
                <w:szCs w:val="23"/>
                <w:color w:val="auto"/>
                <w:vertAlign w:val="superscript"/>
              </w:rPr>
              <w:t>(5)</w:t>
            </w:r>
          </w:p>
        </w:tc>
        <w:tc>
          <w:tcPr>
            <w:tcW w:w="360" w:type="dxa"/>
            <w:vAlign w:val="bottom"/>
          </w:tcPr>
          <w:p>
            <w:pPr>
              <w:spacing w:after="0"/>
              <w:rPr>
                <w:sz w:val="23"/>
                <w:szCs w:val="23"/>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12,435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13,324</w:t>
            </w:r>
          </w:p>
        </w:tc>
        <w:tc>
          <w:tcPr>
            <w:tcW w:w="0" w:type="dxa"/>
            <w:vAlign w:val="bottom"/>
          </w:tcPr>
          <w:p>
            <w:pPr>
              <w:spacing w:after="0"/>
              <w:rPr>
                <w:sz w:val="1"/>
                <w:szCs w:val="1"/>
                <w:color w:val="auto"/>
              </w:rPr>
            </w:pPr>
          </w:p>
        </w:tc>
      </w:tr>
      <w:tr>
        <w:trPr>
          <w:trHeight w:val="270"/>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note PIK interest and discount amortization</w:t>
            </w:r>
            <w:r>
              <w:rPr>
                <w:rFonts w:ascii="Arial" w:cs="Arial" w:eastAsia="Arial" w:hAnsi="Arial"/>
                <w:sz w:val="23"/>
                <w:szCs w:val="23"/>
                <w:color w:val="auto"/>
                <w:vertAlign w:val="superscript"/>
              </w:rPr>
              <w:t>(6)</w:t>
            </w:r>
          </w:p>
        </w:tc>
        <w:tc>
          <w:tcPr>
            <w:tcW w:w="3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2,713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5,408</w:t>
            </w: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Gain on lease termination</w:t>
            </w:r>
          </w:p>
        </w:tc>
        <w:tc>
          <w:tcPr>
            <w:tcW w:w="36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(5,237)</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Payroll tax on initial RSU release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5,124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5,124</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(7)</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(399)</w:t>
            </w:r>
          </w:p>
        </w:tc>
        <w:tc>
          <w:tcPr>
            <w:tcW w:w="8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2,475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(41,506)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(18,326)</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(97,300)</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excluding amortization of</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intangibles and right of use assets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7,894</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5,850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16,328</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10,896</w:t>
            </w:r>
          </w:p>
        </w:tc>
        <w:tc>
          <w:tcPr>
            <w:tcW w:w="0" w:type="dxa"/>
            <w:vAlign w:val="bottom"/>
          </w:tcPr>
          <w:p>
            <w:pPr>
              <w:spacing w:after="0"/>
              <w:rPr>
                <w:sz w:val="1"/>
                <w:szCs w:val="1"/>
                <w:color w:val="auto"/>
              </w:rPr>
            </w:pPr>
          </w:p>
        </w:tc>
      </w:tr>
      <w:tr>
        <w:trPr>
          <w:trHeight w:val="270"/>
        </w:trPr>
        <w:tc>
          <w:tcPr>
            <w:tcW w:w="4900" w:type="dxa"/>
            <w:vAlign w:val="bottom"/>
          </w:tcPr>
          <w:p>
            <w:pPr>
              <w:ind w:left="180"/>
              <w:spacing w:after="0"/>
              <w:rPr>
                <w:sz w:val="20"/>
                <w:szCs w:val="20"/>
                <w:color w:val="auto"/>
              </w:rPr>
            </w:pPr>
            <w:r>
              <w:rPr>
                <w:rFonts w:ascii="Arial" w:cs="Arial" w:eastAsia="Arial" w:hAnsi="Arial"/>
                <w:sz w:val="18"/>
                <w:szCs w:val="18"/>
                <w:color w:val="auto"/>
              </w:rPr>
              <w:t>Property financing</w:t>
            </w:r>
            <w:r>
              <w:rPr>
                <w:rFonts w:ascii="Arial" w:cs="Arial" w:eastAsia="Arial" w:hAnsi="Arial"/>
                <w:sz w:val="23"/>
                <w:szCs w:val="23"/>
                <w:color w:val="auto"/>
                <w:vertAlign w:val="superscript"/>
              </w:rPr>
              <w:t>(8)</w:t>
            </w:r>
          </w:p>
        </w:tc>
        <w:tc>
          <w:tcPr>
            <w:tcW w:w="36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12,284</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8,564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19,264</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26,774</w:t>
            </w:r>
          </w:p>
        </w:tc>
        <w:tc>
          <w:tcPr>
            <w:tcW w:w="0" w:type="dxa"/>
            <w:vAlign w:val="bottom"/>
          </w:tcPr>
          <w:p>
            <w:pPr>
              <w:spacing w:after="0"/>
              <w:rPr>
                <w:sz w:val="1"/>
                <w:szCs w:val="1"/>
                <w:color w:val="auto"/>
              </w:rPr>
            </w:pPr>
          </w:p>
        </w:tc>
      </w:tr>
      <w:tr>
        <w:trPr>
          <w:trHeight w:val="270"/>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interest expense</w:t>
            </w:r>
            <w:r>
              <w:rPr>
                <w:rFonts w:ascii="Arial" w:cs="Arial" w:eastAsia="Arial" w:hAnsi="Arial"/>
                <w:sz w:val="23"/>
                <w:szCs w:val="23"/>
                <w:color w:val="auto"/>
                <w:vertAlign w:val="superscript"/>
              </w:rPr>
              <w:t>(9)</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3,542</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6,013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7,561</w:t>
            </w: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12,835</w:t>
            </w:r>
          </w:p>
        </w:tc>
        <w:tc>
          <w:tcPr>
            <w:tcW w:w="0" w:type="dxa"/>
            <w:vAlign w:val="bottom"/>
          </w:tcPr>
          <w:p>
            <w:pPr>
              <w:spacing w:after="0"/>
              <w:rPr>
                <w:sz w:val="1"/>
                <w:szCs w:val="1"/>
                <w:color w:val="auto"/>
              </w:rPr>
            </w:pPr>
          </w:p>
        </w:tc>
      </w:tr>
      <w:tr>
        <w:trPr>
          <w:trHeight w:val="270"/>
        </w:trPr>
        <w:tc>
          <w:tcPr>
            <w:tcW w:w="4900" w:type="dxa"/>
            <w:vAlign w:val="bottom"/>
          </w:tcPr>
          <w:p>
            <w:pPr>
              <w:ind w:left="180"/>
              <w:spacing w:after="0"/>
              <w:rPr>
                <w:sz w:val="20"/>
                <w:szCs w:val="20"/>
                <w:color w:val="auto"/>
              </w:rPr>
            </w:pPr>
            <w:r>
              <w:rPr>
                <w:rFonts w:ascii="Arial" w:cs="Arial" w:eastAsia="Arial" w:hAnsi="Arial"/>
                <w:sz w:val="18"/>
                <w:szCs w:val="18"/>
                <w:color w:val="auto"/>
              </w:rPr>
              <w:t>Interest income</w:t>
            </w:r>
            <w:r>
              <w:rPr>
                <w:rFonts w:ascii="Arial" w:cs="Arial" w:eastAsia="Arial" w:hAnsi="Arial"/>
                <w:sz w:val="23"/>
                <w:szCs w:val="23"/>
                <w:color w:val="auto"/>
                <w:vertAlign w:val="superscript"/>
              </w:rPr>
              <w:t>(10)</w:t>
            </w:r>
          </w:p>
        </w:tc>
        <w:tc>
          <w:tcPr>
            <w:tcW w:w="360" w:type="dxa"/>
            <w:vAlign w:val="bottom"/>
          </w:tcPr>
          <w:p>
            <w:pPr>
              <w:spacing w:after="0"/>
              <w:rPr>
                <w:sz w:val="23"/>
                <w:szCs w:val="23"/>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(1,673)</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(3,342)</w:t>
            </w:r>
          </w:p>
        </w:tc>
        <w:tc>
          <w:tcPr>
            <w:tcW w:w="0" w:type="dxa"/>
            <w:vAlign w:val="bottom"/>
          </w:tcPr>
          <w:p>
            <w:pPr>
              <w:spacing w:after="0"/>
              <w:rPr>
                <w:sz w:val="1"/>
                <w:szCs w:val="1"/>
                <w:color w:val="auto"/>
              </w:rPr>
            </w:pPr>
          </w:p>
        </w:tc>
      </w:tr>
      <w:tr>
        <w:trPr>
          <w:trHeight w:val="27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284</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25,579</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(21,661)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23,438</w:t>
            </w:r>
          </w:p>
        </w:tc>
        <w:tc>
          <w:tcPr>
            <w:tcW w:w="8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(49,938)</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Adjusted EBITDA Margin</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w:t>
      </w:r>
    </w:p>
    <w:p>
      <w:pPr>
        <w:spacing w:after="0" w:line="56"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Represents the gains and losses on our warrant liabilities, which are marked to fair value at the end of each period.</w:t>
      </w:r>
    </w:p>
    <w:p>
      <w:pPr>
        <w:spacing w:after="0" w:line="93" w:lineRule="exact"/>
        <w:rPr>
          <w:rFonts w:ascii="Arial" w:cs="Arial" w:eastAsia="Arial" w:hAnsi="Arial"/>
          <w:sz w:val="23"/>
          <w:szCs w:val="23"/>
          <w:color w:val="auto"/>
          <w:vertAlign w:val="superscript"/>
        </w:rPr>
      </w:pPr>
    </w:p>
    <w:p>
      <w:pPr>
        <w:jc w:val="both"/>
        <w:ind w:left="340" w:right="20" w:hanging="332"/>
        <w:spacing w:after="0" w:line="234" w:lineRule="auto"/>
        <w:tabs>
          <w:tab w:leader="none" w:pos="328"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Represents amortization of intangibles acquired in the OSN and Open Listings acquisitions which contribute to revenue generation and are recorded as part of purchase accounting. The acquired intangible assets have useful lives ranging from 2 to 5 years and amortization is expected until the intangible assets are fully amortized.</w:t>
      </w:r>
    </w:p>
    <w:p>
      <w:pPr>
        <w:spacing w:after="0" w:line="94" w:lineRule="exact"/>
        <w:rPr>
          <w:rFonts w:ascii="Arial" w:cs="Arial" w:eastAsia="Arial" w:hAnsi="Arial"/>
          <w:sz w:val="23"/>
          <w:szCs w:val="23"/>
          <w:color w:val="auto"/>
          <w:vertAlign w:val="superscript"/>
        </w:rPr>
      </w:pPr>
    </w:p>
    <w:p>
      <w:pPr>
        <w:ind w:left="340" w:right="60" w:hanging="332"/>
        <w:spacing w:after="0" w:line="227" w:lineRule="auto"/>
        <w:tabs>
          <w:tab w:leader="none" w:pos="328"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Inventory impairment — Current Period is the inventory impairment charge recorded during the period presented associated with homes that remain in inventory at period end.</w:t>
      </w:r>
    </w:p>
    <w:p>
      <w:pPr>
        <w:spacing w:after="0" w:line="94" w:lineRule="exact"/>
        <w:rPr>
          <w:rFonts w:ascii="Arial" w:cs="Arial" w:eastAsia="Arial" w:hAnsi="Arial"/>
          <w:sz w:val="23"/>
          <w:szCs w:val="23"/>
          <w:color w:val="auto"/>
          <w:vertAlign w:val="superscript"/>
        </w:rPr>
      </w:pPr>
    </w:p>
    <w:p>
      <w:pPr>
        <w:ind w:left="340" w:right="260" w:hanging="332"/>
        <w:spacing w:after="0" w:line="227" w:lineRule="auto"/>
        <w:tabs>
          <w:tab w:leader="none" w:pos="328"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Inventory impairment — Prior Periods is the inventory valuation adjustments recorded in prior periods associated with homes that sold in the period presented.</w:t>
      </w:r>
    </w:p>
    <w:p>
      <w:pPr>
        <w:spacing w:after="0" w:line="94" w:lineRule="exact"/>
        <w:rPr>
          <w:rFonts w:ascii="Arial" w:cs="Arial" w:eastAsia="Arial" w:hAnsi="Arial"/>
          <w:sz w:val="23"/>
          <w:szCs w:val="23"/>
          <w:color w:val="auto"/>
          <w:vertAlign w:val="superscript"/>
        </w:rPr>
      </w:pPr>
    </w:p>
    <w:p>
      <w:pPr>
        <w:ind w:left="340" w:right="20" w:hanging="332"/>
        <w:spacing w:after="0" w:line="234" w:lineRule="auto"/>
        <w:tabs>
          <w:tab w:leader="none" w:pos="328"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Restructuring costs consist mainly of employee termination benefits, relocation packages and retention bonuses as well as costs related to the exiting of certain non-cancelable leases. In 2020, these costs related mainly to a reduction in workforce implemented in April 2020 as well as our exercise of the early termination option related to our San Francisco headquarters.</w:t>
      </w:r>
    </w:p>
    <w:p>
      <w:pPr>
        <w:spacing w:after="0" w:line="60"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Includes non-cash payment-in-kind (“PIK”) interest and amortization of the discount on the convertible notes issued from July through</w:t>
      </w:r>
    </w:p>
    <w:p>
      <w:pPr>
        <w:spacing w:after="0" w:line="1" w:lineRule="exact"/>
        <w:rPr>
          <w:rFonts w:ascii="Arial" w:cs="Arial" w:eastAsia="Arial" w:hAnsi="Arial"/>
          <w:sz w:val="23"/>
          <w:szCs w:val="23"/>
          <w:color w:val="auto"/>
          <w:vertAlign w:val="superscript"/>
        </w:rPr>
      </w:pPr>
    </w:p>
    <w:p>
      <w:pPr>
        <w:jc w:val="both"/>
        <w:ind w:left="340" w:right="180"/>
        <w:spacing w:after="0" w:line="254" w:lineRule="auto"/>
        <w:rPr>
          <w:rFonts w:ascii="Arial" w:cs="Arial" w:eastAsia="Arial" w:hAnsi="Arial"/>
          <w:sz w:val="23"/>
          <w:szCs w:val="23"/>
          <w:color w:val="auto"/>
          <w:vertAlign w:val="superscript"/>
        </w:rPr>
      </w:pPr>
      <w:r>
        <w:rPr>
          <w:rFonts w:ascii="Arial" w:cs="Arial" w:eastAsia="Arial" w:hAnsi="Arial"/>
          <w:sz w:val="18"/>
          <w:szCs w:val="18"/>
          <w:color w:val="auto"/>
        </w:rPr>
        <w:t>November 2019. We exclude convertible note PIK interest and amortization from Adjusted Net Income (Loss) since these are non-cash in nature and were converted into equity in September 2020 when the Company entered into the Convertible Notes Exchange Agreement with the convertible note holders.</w:t>
      </w:r>
    </w:p>
    <w:p>
      <w:pPr>
        <w:spacing w:after="0" w:line="82" w:lineRule="exact"/>
        <w:rPr>
          <w:rFonts w:ascii="Arial" w:cs="Arial" w:eastAsia="Arial" w:hAnsi="Arial"/>
          <w:sz w:val="23"/>
          <w:szCs w:val="23"/>
          <w:color w:val="auto"/>
          <w:vertAlign w:val="superscript"/>
        </w:rPr>
      </w:pPr>
    </w:p>
    <w:p>
      <w:pPr>
        <w:ind w:left="340" w:right="600" w:hanging="332"/>
        <w:spacing w:after="0" w:line="227" w:lineRule="auto"/>
        <w:tabs>
          <w:tab w:leader="none" w:pos="328"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Includes primarily gain or loss on disposal of fixed assets, gain or loss on interest rate lock commitments, gain or loss on the sale of marketable securities, and sublease income.</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320"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Includes interest expense on our asset-backed debt facilities.</w:t>
      </w:r>
    </w:p>
    <w:p>
      <w:pPr>
        <w:spacing w:after="0" w:line="93" w:lineRule="exact"/>
        <w:rPr>
          <w:rFonts w:ascii="Arial" w:cs="Arial" w:eastAsia="Arial" w:hAnsi="Arial"/>
          <w:sz w:val="23"/>
          <w:szCs w:val="23"/>
          <w:color w:val="auto"/>
          <w:vertAlign w:val="superscript"/>
        </w:rPr>
      </w:pPr>
    </w:p>
    <w:p>
      <w:pPr>
        <w:ind w:left="340" w:right="380" w:hanging="332"/>
        <w:spacing w:after="0" w:line="227" w:lineRule="auto"/>
        <w:tabs>
          <w:tab w:leader="none" w:pos="32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Includes amortization of debt issuance costs and loan origination fees, commitment fees, unused fees, and other interest related costs on our asset-backed debt facilities.</w:t>
      </w:r>
    </w:p>
    <w:p>
      <w:pPr>
        <w:spacing w:after="0" w:line="59"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Consists mainly of interest earned on cash, cash equivalents and marketable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We generate revenue primarily from the sale of homes that we previously acquired from homeowners. In addition, we generate revenue from additional services we provide to both home sellers and buyers, which consists primarily of title insurance and escrow services, Buy with Opendoor, List with Opendoor and Opendoor Home Loans.</w:t>
      </w:r>
    </w:p>
    <w:p>
      <w:pPr>
        <w:spacing w:after="0" w:line="18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Due to the pause in home purchases following the outbreak of the COVID-19 pandemic, our inventory levels began to meaningfully decline in March 2020. We experienced sequential, quarter-over-quarter declines in revenue in the second, third, and fourth quarters of 2020. We resumed operations in all markets in August 2020 and have been actively rebuilding our inventory, leading to sequential growth in balances for the fourth quarter of 2020 and the first two quarters of 2021. Likewise, we returned to sequential revenue growth in the first quarter of 2021 and expect this trend to continue for the remainder of the year.</w:t>
      </w:r>
    </w:p>
    <w:p>
      <w:pPr>
        <w:spacing w:after="0" w:line="188"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Home sales revenue from selling residential real estate is recognized when title to and possession of the property has transferred to the buyer and we have no continuing involvement with the property, which is generally the close of escrow. The amount of revenue recognized for each home sale is equal to the sale price of the home net of any concessions.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80" w:firstLine="405"/>
        <w:spacing w:after="0" w:line="301" w:lineRule="auto"/>
        <w:rPr>
          <w:sz w:val="20"/>
          <w:szCs w:val="20"/>
          <w:color w:val="auto"/>
        </w:rPr>
      </w:pPr>
      <w:r>
        <w:rPr>
          <w:rFonts w:ascii="Arial" w:cs="Arial" w:eastAsia="Arial" w:hAnsi="Arial"/>
          <w:sz w:val="16"/>
          <w:szCs w:val="16"/>
          <w:color w:val="auto"/>
        </w:rPr>
        <w:t>Cost of revenue includes the property purchase price, acquisition costs, direct costs to renovate or repair the home and real estate inventory valuation adjustments, if any. These costs are accumulated in real estate inventory during the property holding period and charged to cost of revenue under the specific identification method when the property is sold. Additionally, for our revenue other than home sales revenue, cost of revenue consists of any costs incurred in delivering the service, including associated headcount expenses such as salaries, benefits and stock-based compensation.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Marketing and Operations Expense</w:t>
      </w:r>
    </w:p>
    <w:p>
      <w:pPr>
        <w:spacing w:after="0" w:line="225" w:lineRule="exact"/>
        <w:rPr>
          <w:sz w:val="20"/>
          <w:szCs w:val="20"/>
          <w:color w:val="auto"/>
        </w:rPr>
      </w:pPr>
    </w:p>
    <w:p>
      <w:pPr>
        <w:jc w:val="both"/>
        <w:ind w:right="80" w:firstLine="405"/>
        <w:spacing w:after="0" w:line="279" w:lineRule="auto"/>
        <w:rPr>
          <w:sz w:val="20"/>
          <w:szCs w:val="20"/>
          <w:color w:val="auto"/>
        </w:rPr>
      </w:pPr>
      <w:r>
        <w:rPr>
          <w:rFonts w:ascii="Arial" w:cs="Arial" w:eastAsia="Arial" w:hAnsi="Arial"/>
          <w:sz w:val="17"/>
          <w:szCs w:val="17"/>
          <w:color w:val="auto"/>
        </w:rPr>
        <w:t>Sales, marketing and operations expense consists primarily of resale broker commissions (paid to the home buyers’ real estate agents, if applicable), resale closing costs, holding costs related to real estate inventory including utilities, property taxes and maintenance, and expenses associated with product marketing, promotions and brand-building. Sales, marketing and operations expense also includes any headcount expenses in support of sales, marketing, and real estate operations such as salaries, benefits and stock-based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440" w:firstLine="405"/>
        <w:spacing w:after="0" w:line="308" w:lineRule="auto"/>
        <w:rPr>
          <w:sz w:val="20"/>
          <w:szCs w:val="20"/>
          <w:color w:val="auto"/>
        </w:rPr>
      </w:pPr>
      <w:r>
        <w:rPr>
          <w:rFonts w:ascii="Arial" w:cs="Arial" w:eastAsia="Arial" w:hAnsi="Arial"/>
          <w:sz w:val="17"/>
          <w:szCs w:val="17"/>
          <w:color w:val="auto"/>
        </w:rPr>
        <w:t>General and administrative expense consists primarily of headcount expenses, including salaries, benefits and stock-based compensation for our executive, finance, human resources, legal and administrative personnel, third-party professional services fees and rent expense.</w:t>
      </w:r>
    </w:p>
    <w:p>
      <w:pPr>
        <w:spacing w:after="0" w:line="146"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incurred a significant increase in stock-based compensation in the first half of 2021 as a result of certain performance-based awards and historical RSUs satisfying their liquidity event vesting conditions. The increase in stock-based compensation impacts each line item within Other operating expenses. We expect stock based compensation to decline beginning in the third quarter of 2021 given that a majority of the expense related to certain performance-based awards has been recognized as of June 30, 2021.</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 Expense</w:t>
      </w:r>
    </w:p>
    <w:p>
      <w:pPr>
        <w:spacing w:after="0" w:line="225" w:lineRule="exact"/>
        <w:rPr>
          <w:sz w:val="20"/>
          <w:szCs w:val="20"/>
          <w:color w:val="auto"/>
        </w:rPr>
      </w:pPr>
    </w:p>
    <w:p>
      <w:pPr>
        <w:ind w:right="300" w:firstLine="405"/>
        <w:spacing w:after="0" w:line="311" w:lineRule="auto"/>
        <w:rPr>
          <w:sz w:val="20"/>
          <w:szCs w:val="20"/>
          <w:color w:val="auto"/>
        </w:rPr>
      </w:pPr>
      <w:r>
        <w:rPr>
          <w:rFonts w:ascii="Arial" w:cs="Arial" w:eastAsia="Arial" w:hAnsi="Arial"/>
          <w:sz w:val="16"/>
          <w:szCs w:val="16"/>
          <w:color w:val="auto"/>
        </w:rPr>
        <w:t>Technology and development expense consists primarily of headcount expenses, including salaries, benefits and stock-based compensation for employees in the design, development, testing, maintenance and operation of our mobile applications, websites, tools and applications that support our products. Technology and development expense also includes amortization of capitalized software development costs.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and Warrant Fair Value Adjustment</w:t>
      </w:r>
    </w:p>
    <w:p>
      <w:pPr>
        <w:spacing w:after="0" w:line="225" w:lineRule="exact"/>
        <w:rPr>
          <w:sz w:val="20"/>
          <w:szCs w:val="20"/>
          <w:color w:val="auto"/>
        </w:rPr>
      </w:pPr>
    </w:p>
    <w:p>
      <w:pPr>
        <w:jc w:val="both"/>
        <w:ind w:right="160" w:firstLine="405"/>
        <w:spacing w:after="0" w:line="263" w:lineRule="auto"/>
        <w:rPr>
          <w:sz w:val="20"/>
          <w:szCs w:val="20"/>
          <w:color w:val="auto"/>
        </w:rPr>
      </w:pPr>
      <w:r>
        <w:rPr>
          <w:rFonts w:ascii="Arial" w:cs="Arial" w:eastAsia="Arial" w:hAnsi="Arial"/>
          <w:sz w:val="18"/>
          <w:szCs w:val="18"/>
          <w:color w:val="auto"/>
        </w:rPr>
        <w:t>Derivative and warrant fair value adjustment consists of unrealized and realized gains and losses as a result of marking our warrants and embedded derivatives related to the Convertible Notes to fair value at the end of each reporting period and subsequent settlement through exercise of warrants and conversion of the Convertible Notes to equity.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 xml:space="preserve">Interest expense consists primarily of interest paid or payable and the amortization of debt discounts and debt issuance costs. Interest expense varies period over period, primarily due to fluctuations in our inventory volumes and changes in LIBOR, which impact the interest incurred on our senior revolving credit facilities (see “— </w:t>
      </w:r>
      <w:r>
        <w:rPr>
          <w:rFonts w:ascii="Arial" w:cs="Arial" w:eastAsia="Arial" w:hAnsi="Arial"/>
          <w:sz w:val="18"/>
          <w:szCs w:val="18"/>
          <w:i w:val="1"/>
          <w:iCs w:val="1"/>
          <w:color w:val="auto"/>
        </w:rPr>
        <w:t>Liquidity and Capital Resources — Debt and Financing Arrangements</w:t>
      </w:r>
      <w:r>
        <w:rPr>
          <w:rFonts w:ascii="Arial" w:cs="Arial" w:eastAsia="Arial" w:hAnsi="Arial"/>
          <w:sz w:val="18"/>
          <w:szCs w:val="18"/>
          <w:color w:val="auto"/>
        </w:rPr>
        <w:t>”).</w:t>
      </w:r>
    </w:p>
    <w:p>
      <w:pPr>
        <w:spacing w:after="0" w:line="184"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We expect our overall interest expense to increase as inventory increases. Subject to market interest rate drivers, we will evaluate opportunities to reduce our borrowing costs over the long-term, including through limiting our reliance on the higher cost mezzanine term debt facilities and exploring new sources of financing.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 Net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income-net consists primarily of interest income from our investment in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100" w:firstLine="405"/>
        <w:spacing w:after="0" w:line="301" w:lineRule="auto"/>
        <w:rPr>
          <w:sz w:val="20"/>
          <w:szCs w:val="20"/>
          <w:color w:val="auto"/>
        </w:rPr>
      </w:pPr>
      <w:r>
        <w:rPr>
          <w:rFonts w:ascii="Arial" w:cs="Arial" w:eastAsia="Arial" w:hAnsi="Arial"/>
          <w:sz w:val="16"/>
          <w:szCs w:val="16"/>
          <w:color w:val="auto"/>
        </w:rPr>
        <w:t>We record income taxes using the asset and liability method. Under this method, deferred income tax assets and liabilities are recorded based on the estimated future tax effects of differences between the financial statement and income tax basis of existing assets and liabilities. These differences are measured using the enacted statutory tax rates that are expected to apply to taxable income for the years in which differences are expected to reverse. We recognize the effect on deferred income taxes of a change in tax rates in income in the period that includes the enactment date.</w:t>
      </w:r>
    </w:p>
    <w:p>
      <w:pPr>
        <w:spacing w:after="0" w:line="157" w:lineRule="exact"/>
        <w:rPr>
          <w:sz w:val="20"/>
          <w:szCs w:val="20"/>
          <w:color w:val="auto"/>
        </w:rPr>
      </w:pPr>
    </w:p>
    <w:p>
      <w:pPr>
        <w:jc w:val="both"/>
        <w:ind w:right="460" w:firstLine="405"/>
        <w:spacing w:after="0" w:line="286" w:lineRule="auto"/>
        <w:rPr>
          <w:sz w:val="20"/>
          <w:szCs w:val="20"/>
          <w:color w:val="auto"/>
        </w:rPr>
      </w:pPr>
      <w:r>
        <w:rPr>
          <w:rFonts w:ascii="Arial" w:cs="Arial" w:eastAsia="Arial" w:hAnsi="Arial"/>
          <w:sz w:val="17"/>
          <w:szCs w:val="17"/>
          <w:color w:val="auto"/>
        </w:rPr>
        <w:t>We record a valuation allowance to reduce our deferred tax assets and liabilities to the net amount that we believe is more likely than not to be realized. We consider all available evidence, both positive and negative, including historical levels of income, expectations and risks associated with estimates of future taxable income and ongoing tax planning strategies in assessing the need for a valuation allowance.</w:t>
      </w:r>
    </w:p>
    <w:p>
      <w:pPr>
        <w:spacing w:after="0" w:line="200" w:lineRule="exact"/>
        <w:rPr>
          <w:sz w:val="20"/>
          <w:szCs w:val="20"/>
          <w:color w:val="auto"/>
        </w:rPr>
      </w:pPr>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9" w:right="41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set forth our results of operations for each of the periods presented: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center"/>
              <w:ind w:left="553"/>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jc w:val="right"/>
              <w:ind w:right="52"/>
              <w:spacing w:after="0"/>
              <w:rPr>
                <w:sz w:val="20"/>
                <w:szCs w:val="20"/>
                <w:color w:val="auto"/>
              </w:rPr>
            </w:pPr>
            <w:r>
              <w:rPr>
                <w:rFonts w:ascii="Arial" w:cs="Arial" w:eastAsia="Arial" w:hAnsi="Arial"/>
                <w:sz w:val="14"/>
                <w:szCs w:val="14"/>
                <w:b w:val="1"/>
                <w:bCs w:val="1"/>
                <w:color w:val="auto"/>
              </w:rPr>
              <w:t>Change in</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5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jc w:val="right"/>
              <w:ind w:right="1052"/>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5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1,185,386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739,827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8"/>
                <w:szCs w:val="18"/>
                <w:color w:val="auto"/>
              </w:rPr>
              <w:t>445,559</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1,026,615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685,253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492"/>
              <w:spacing w:after="0"/>
              <w:rPr>
                <w:sz w:val="20"/>
                <w:szCs w:val="20"/>
                <w:color w:val="auto"/>
              </w:rPr>
            </w:pPr>
            <w:r>
              <w:rPr>
                <w:rFonts w:ascii="Arial" w:cs="Arial" w:eastAsia="Arial" w:hAnsi="Arial"/>
                <w:sz w:val="18"/>
                <w:szCs w:val="18"/>
                <w:color w:val="auto"/>
              </w:rPr>
              <w:t>341,362</w:t>
            </w:r>
          </w:p>
        </w:tc>
        <w:tc>
          <w:tcPr>
            <w:tcW w:w="94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8"/>
                <w:szCs w:val="18"/>
                <w:color w:val="auto"/>
              </w:rPr>
              <w:t>104,197</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191 %</w:t>
            </w:r>
          </w:p>
        </w:tc>
        <w:tc>
          <w:tcPr>
            <w:tcW w:w="0" w:type="dxa"/>
            <w:vAlign w:val="bottom"/>
          </w:tcPr>
          <w:p>
            <w:pPr>
              <w:spacing w:after="0"/>
              <w:rPr>
                <w:sz w:val="1"/>
                <w:szCs w:val="1"/>
                <w:color w:val="auto"/>
              </w:rPr>
            </w:pPr>
          </w:p>
        </w:tc>
      </w:tr>
      <w:tr>
        <w:trPr>
          <w:trHeight w:val="237"/>
        </w:trPr>
        <w:tc>
          <w:tcPr>
            <w:tcW w:w="55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marketing and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8"/>
                <w:szCs w:val="18"/>
                <w:color w:val="auto"/>
              </w:rPr>
              <w:t>49,260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190,611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492"/>
              <w:spacing w:after="0"/>
              <w:rPr>
                <w:sz w:val="20"/>
                <w:szCs w:val="20"/>
                <w:color w:val="auto"/>
              </w:rPr>
            </w:pPr>
            <w:r>
              <w:rPr>
                <w:rFonts w:ascii="Arial" w:cs="Arial" w:eastAsia="Arial" w:hAnsi="Arial"/>
                <w:sz w:val="18"/>
                <w:szCs w:val="18"/>
                <w:color w:val="auto"/>
              </w:rPr>
              <w:t>161,288</w:t>
            </w:r>
          </w:p>
        </w:tc>
        <w:tc>
          <w:tcPr>
            <w:tcW w:w="940" w:type="dxa"/>
            <w:vAlign w:val="bottom"/>
          </w:tcPr>
          <w:p>
            <w:pPr>
              <w:jc w:val="right"/>
              <w:spacing w:after="0"/>
              <w:rPr>
                <w:sz w:val="20"/>
                <w:szCs w:val="20"/>
                <w:color w:val="auto"/>
              </w:rPr>
            </w:pPr>
            <w:r>
              <w:rPr>
                <w:rFonts w:ascii="Arial" w:cs="Arial" w:eastAsia="Arial" w:hAnsi="Arial"/>
                <w:sz w:val="18"/>
                <w:szCs w:val="18"/>
                <w:color w:val="auto"/>
              </w:rPr>
              <w:t>550 %</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8"/>
                <w:szCs w:val="18"/>
                <w:color w:val="auto"/>
              </w:rPr>
              <w:t>7,550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37"/>
        </w:trPr>
        <w:tc>
          <w:tcPr>
            <w:tcW w:w="55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311,524</w:t>
            </w:r>
          </w:p>
        </w:tc>
        <w:tc>
          <w:tcPr>
            <w:tcW w:w="100" w:type="dxa"/>
            <w:vAlign w:val="bottom"/>
            <w:tcBorders>
              <w:top w:val="single" w:sz="8" w:color="CCEEFF"/>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93,426</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492"/>
              <w:spacing w:after="0"/>
              <w:rPr>
                <w:sz w:val="20"/>
                <w:szCs w:val="20"/>
                <w:color w:val="auto"/>
              </w:rPr>
            </w:pPr>
            <w:r>
              <w:rPr>
                <w:rFonts w:ascii="Arial" w:cs="Arial" w:eastAsia="Arial" w:hAnsi="Arial"/>
                <w:sz w:val="18"/>
                <w:szCs w:val="18"/>
                <w:color w:val="auto"/>
              </w:rPr>
              <w:t>218,098</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233 %</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(113,901)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293 %</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Derivative and warrant fair value adjustment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492"/>
              <w:spacing w:after="0"/>
              <w:rPr>
                <w:sz w:val="20"/>
                <w:szCs w:val="20"/>
                <w:color w:val="auto"/>
              </w:rPr>
            </w:pPr>
            <w:r>
              <w:rPr>
                <w:rFonts w:ascii="Arial" w:cs="Arial" w:eastAsia="Arial" w:hAnsi="Arial"/>
                <w:sz w:val="18"/>
                <w:szCs w:val="18"/>
                <w:color w:val="auto"/>
              </w:rPr>
              <w:t>23,830</w:t>
            </w:r>
          </w:p>
        </w:tc>
        <w:tc>
          <w:tcPr>
            <w:tcW w:w="9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8"/>
                <w:szCs w:val="18"/>
                <w:color w:val="auto"/>
              </w:rPr>
              <w:t>1,464</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Other income-net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492"/>
              <w:spacing w:after="0"/>
              <w:rPr>
                <w:sz w:val="20"/>
                <w:szCs w:val="20"/>
                <w:color w:val="auto"/>
              </w:rPr>
            </w:pPr>
            <w:r>
              <w:rPr>
                <w:rFonts w:ascii="Arial" w:cs="Arial" w:eastAsia="Arial" w:hAnsi="Arial"/>
                <w:sz w:val="18"/>
                <w:szCs w:val="18"/>
                <w:color w:val="auto"/>
              </w:rPr>
              <w:t>832</w:t>
            </w:r>
          </w:p>
        </w:tc>
        <w:tc>
          <w:tcPr>
            <w:tcW w:w="940" w:type="dxa"/>
            <w:vAlign w:val="bottom"/>
          </w:tcPr>
          <w:p>
            <w:pPr>
              <w:jc w:val="right"/>
              <w:spacing w:after="0"/>
              <w:rPr>
                <w:sz w:val="20"/>
                <w:szCs w:val="20"/>
                <w:color w:val="auto"/>
              </w:rPr>
            </w:pPr>
            <w:r>
              <w:rPr>
                <w:rFonts w:ascii="Arial" w:cs="Arial" w:eastAsia="Arial" w:hAnsi="Arial"/>
                <w:sz w:val="18"/>
                <w:szCs w:val="18"/>
                <w:color w:val="auto"/>
              </w:rPr>
              <w:t>462 %</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(87,775)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452"/>
              <w:spacing w:after="0"/>
              <w:rPr>
                <w:sz w:val="20"/>
                <w:szCs w:val="20"/>
                <w:color w:val="auto"/>
              </w:rPr>
            </w:pPr>
            <w:r>
              <w:rPr>
                <w:rFonts w:ascii="Arial" w:cs="Arial" w:eastAsia="Arial" w:hAnsi="Arial"/>
                <w:sz w:val="18"/>
                <w:szCs w:val="18"/>
                <w:color w:val="auto"/>
              </w:rPr>
              <w:t>(111)</w:t>
            </w:r>
          </w:p>
        </w:tc>
        <w:tc>
          <w:tcPr>
            <w:tcW w:w="940" w:type="dxa"/>
            <w:vAlign w:val="bottom"/>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(143,805)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(55,919)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(87,886)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N/M - Not meaningful.</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5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5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Six Months Ended</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center"/>
              <w:ind w:left="553"/>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jc w:val="right"/>
              <w:ind w:right="52"/>
              <w:spacing w:after="0"/>
              <w:rPr>
                <w:sz w:val="20"/>
                <w:szCs w:val="20"/>
                <w:color w:val="auto"/>
              </w:rPr>
            </w:pPr>
            <w:r>
              <w:rPr>
                <w:rFonts w:ascii="Arial" w:cs="Arial" w:eastAsia="Arial" w:hAnsi="Arial"/>
                <w:sz w:val="14"/>
                <w:szCs w:val="14"/>
                <w:b w:val="1"/>
                <w:bCs w:val="1"/>
                <w:color w:val="auto"/>
              </w:rPr>
              <w:t>Change in</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5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jc w:val="right"/>
              <w:ind w:right="1052"/>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5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1,932,660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1,995,622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(62,962)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1,676,757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1,850,001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452"/>
              <w:spacing w:after="0"/>
              <w:rPr>
                <w:sz w:val="20"/>
                <w:szCs w:val="20"/>
                <w:color w:val="auto"/>
              </w:rPr>
            </w:pPr>
            <w:r>
              <w:rPr>
                <w:rFonts w:ascii="Arial" w:cs="Arial" w:eastAsia="Arial" w:hAnsi="Arial"/>
                <w:sz w:val="18"/>
                <w:szCs w:val="18"/>
                <w:color w:val="auto"/>
              </w:rPr>
              <w:t>(173,244)</w:t>
            </w: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255,903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8"/>
                <w:szCs w:val="18"/>
                <w:color w:val="auto"/>
              </w:rPr>
              <w:t>110,282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37"/>
        </w:trPr>
        <w:tc>
          <w:tcPr>
            <w:tcW w:w="55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marketing and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8"/>
                <w:szCs w:val="18"/>
                <w:color w:val="auto"/>
              </w:rPr>
              <w:t>36,637</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412,695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58,906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492"/>
              <w:spacing w:after="0"/>
              <w:rPr>
                <w:sz w:val="20"/>
                <w:szCs w:val="20"/>
                <w:color w:val="auto"/>
              </w:rPr>
            </w:pPr>
            <w:r>
              <w:rPr>
                <w:rFonts w:ascii="Arial" w:cs="Arial" w:eastAsia="Arial" w:hAnsi="Arial"/>
                <w:sz w:val="18"/>
                <w:szCs w:val="18"/>
                <w:color w:val="auto"/>
              </w:rPr>
              <w:t>353,789</w:t>
            </w:r>
          </w:p>
        </w:tc>
        <w:tc>
          <w:tcPr>
            <w:tcW w:w="940" w:type="dxa"/>
            <w:vAlign w:val="bottom"/>
          </w:tcPr>
          <w:p>
            <w:pPr>
              <w:jc w:val="right"/>
              <w:spacing w:after="0"/>
              <w:rPr>
                <w:sz w:val="20"/>
                <w:szCs w:val="20"/>
                <w:color w:val="auto"/>
              </w:rPr>
            </w:pPr>
            <w:r>
              <w:rPr>
                <w:rFonts w:ascii="Arial" w:cs="Arial" w:eastAsia="Arial" w:hAnsi="Arial"/>
                <w:sz w:val="18"/>
                <w:szCs w:val="18"/>
                <w:color w:val="auto"/>
              </w:rPr>
              <w:t>601 %</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32,625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8"/>
                <w:szCs w:val="18"/>
                <w:color w:val="auto"/>
              </w:rPr>
              <w:t>42,440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37"/>
        </w:trPr>
        <w:tc>
          <w:tcPr>
            <w:tcW w:w="55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653,351</w:t>
            </w:r>
          </w:p>
        </w:tc>
        <w:tc>
          <w:tcPr>
            <w:tcW w:w="100" w:type="dxa"/>
            <w:vAlign w:val="bottom"/>
            <w:tcBorders>
              <w:top w:val="single" w:sz="8" w:color="CCEEFF"/>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220,485</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492"/>
              <w:spacing w:after="0"/>
              <w:rPr>
                <w:sz w:val="20"/>
                <w:szCs w:val="20"/>
                <w:color w:val="auto"/>
              </w:rPr>
            </w:pPr>
            <w:r>
              <w:rPr>
                <w:rFonts w:ascii="Arial" w:cs="Arial" w:eastAsia="Arial" w:hAnsi="Arial"/>
                <w:sz w:val="18"/>
                <w:szCs w:val="18"/>
                <w:color w:val="auto"/>
              </w:rPr>
              <w:t>432,866</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196 %</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(397,448)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(322,584)</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431 %</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Derivative and warrant fair value adjustment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492"/>
              <w:spacing w:after="0"/>
              <w:rPr>
                <w:sz w:val="20"/>
                <w:szCs w:val="20"/>
                <w:color w:val="auto"/>
              </w:rPr>
            </w:pPr>
            <w:r>
              <w:rPr>
                <w:rFonts w:ascii="Arial" w:cs="Arial" w:eastAsia="Arial" w:hAnsi="Arial"/>
                <w:sz w:val="18"/>
                <w:szCs w:val="18"/>
                <w:color w:val="auto"/>
              </w:rPr>
              <w:t>9,570</w:t>
            </w:r>
          </w:p>
        </w:tc>
        <w:tc>
          <w:tcPr>
            <w:tcW w:w="9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8"/>
                <w:szCs w:val="18"/>
                <w:color w:val="auto"/>
              </w:rPr>
              <w:t>18,192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Other income-net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452"/>
              <w:spacing w:after="0"/>
              <w:rPr>
                <w:sz w:val="20"/>
                <w:szCs w:val="20"/>
                <w:color w:val="auto"/>
              </w:rPr>
            </w:pPr>
            <w:r>
              <w:rPr>
                <w:rFonts w:ascii="Arial" w:cs="Arial" w:eastAsia="Arial" w:hAnsi="Arial"/>
                <w:sz w:val="18"/>
                <w:szCs w:val="18"/>
                <w:color w:val="auto"/>
              </w:rPr>
              <w:t>(1,219)</w:t>
            </w: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(413,957)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(296,041)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251 %</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452"/>
              <w:spacing w:after="0"/>
              <w:rPr>
                <w:sz w:val="20"/>
                <w:szCs w:val="20"/>
                <w:color w:val="auto"/>
              </w:rPr>
            </w:pPr>
            <w:r>
              <w:rPr>
                <w:rFonts w:ascii="Arial" w:cs="Arial" w:eastAsia="Arial" w:hAnsi="Arial"/>
                <w:sz w:val="18"/>
                <w:szCs w:val="18"/>
                <w:color w:val="auto"/>
              </w:rPr>
              <w:t>(85)</w:t>
            </w:r>
          </w:p>
        </w:tc>
        <w:tc>
          <w:tcPr>
            <w:tcW w:w="940" w:type="dxa"/>
            <w:vAlign w:val="bottom"/>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(414,241)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(118,115)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(296,126)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251 %</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-3839845</wp:posOffset>
            </wp:positionV>
            <wp:extent cx="4440555"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440555"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-4191000</wp:posOffset>
            </wp:positionV>
            <wp:extent cx="4440555"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440555"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-4893945</wp:posOffset>
            </wp:positionV>
            <wp:extent cx="4440555"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44055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-5939790</wp:posOffset>
            </wp:positionV>
            <wp:extent cx="4440555" cy="179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440555"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-6120130</wp:posOffset>
            </wp:positionV>
            <wp:extent cx="35401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40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4440555" cy="180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440555"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4440555" cy="1797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440555"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-1439545</wp:posOffset>
            </wp:positionV>
            <wp:extent cx="4440555"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44055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-2485390</wp:posOffset>
            </wp:positionV>
            <wp:extent cx="4440555" cy="179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440555"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-2665095</wp:posOffset>
            </wp:positionV>
            <wp:extent cx="35401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Revenue increased by $445.6 million, or 60%, for the three months ended June 30, 2021 compared to the three months ended June 30, 2020. The increase in revenue was primarily attributable to higher sales volumes, driven by our efforts to rebuild inventory, as well as higher average revenue per home. We sold 3,481 homes during the three months ended June 30, 2021, compared to 2,924 homes during the three months ended June 30, 2020, representing an increase of 19%, while revenue per home sold increased 35% between periods. Average resale prices were positively impacted by home price appreciation and buybox expansion.</w:t>
      </w:r>
    </w:p>
    <w:p>
      <w:pPr>
        <w:sectPr>
          <w:pgSz w:w="11900" w:h="16838" w:orient="portrait"/>
          <w:cols w:equalWidth="0" w:num="1">
            <w:col w:w="11180"/>
          </w:cols>
          <w:pgMar w:left="320" w:top="139" w:right="399" w:bottom="547"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9" w:right="399" w:bottom="547"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40" w:firstLine="405"/>
        <w:spacing w:after="0" w:line="291" w:lineRule="auto"/>
        <w:rPr>
          <w:sz w:val="20"/>
          <w:szCs w:val="20"/>
          <w:color w:val="auto"/>
        </w:rPr>
      </w:pPr>
      <w:r>
        <w:rPr>
          <w:rFonts w:ascii="Arial" w:cs="Arial" w:eastAsia="Arial" w:hAnsi="Arial"/>
          <w:sz w:val="16"/>
          <w:szCs w:val="16"/>
          <w:color w:val="auto"/>
        </w:rPr>
        <w:t xml:space="preserve">Revenue decreased by $63.0 million, or 3%, for the six months ended June 30, 2021 compared to the six months ended June 30, 2020. The decrease in revenue was primarily attributable to lower sales volumes in the first quarter of 2021 compared to the first quarter of 2020, reflecting the decline in inventory levels in response to the COVID-19 pandemic. See “— </w:t>
      </w:r>
      <w:r>
        <w:rPr>
          <w:rFonts w:ascii="Arial" w:cs="Arial" w:eastAsia="Arial" w:hAnsi="Arial"/>
          <w:sz w:val="16"/>
          <w:szCs w:val="16"/>
          <w:i w:val="1"/>
          <w:iCs w:val="1"/>
          <w:color w:val="auto"/>
        </w:rPr>
        <w:t>Business Impact of COVID-19</w:t>
      </w:r>
      <w:r>
        <w:rPr>
          <w:rFonts w:ascii="Arial" w:cs="Arial" w:eastAsia="Arial" w:hAnsi="Arial"/>
          <w:sz w:val="16"/>
          <w:szCs w:val="16"/>
          <w:color w:val="auto"/>
        </w:rPr>
        <w:t>”. During the second quarter of 2021, we returned to pre-COVID inventory levels and revenue increased by $445.6 million or 60% for the three months ended June 30, 2021 compared to the three months ended June 30, 2020, reflecting higher sales volumes as well as higher revenue per home. We sold 5,943 homes during the six months ended June 30, 2021, compared to 7,832 homes during the six months ended June 30, 2020, representing a decrease of 24%, while revenue per home sold increased 28% between periods. Average resale prices were positively impacted by home price appreciation and buybox expansion.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jc w:val="both"/>
        <w:ind w:right="180" w:firstLine="405"/>
        <w:spacing w:after="0" w:line="286" w:lineRule="auto"/>
        <w:rPr>
          <w:sz w:val="20"/>
          <w:szCs w:val="20"/>
          <w:color w:val="auto"/>
        </w:rPr>
      </w:pPr>
      <w:r>
        <w:rPr>
          <w:rFonts w:ascii="Arial" w:cs="Arial" w:eastAsia="Arial" w:hAnsi="Arial"/>
          <w:sz w:val="17"/>
          <w:szCs w:val="17"/>
          <w:color w:val="auto"/>
        </w:rPr>
        <w:t>Cost of revenue increased by $341.4 million, or 50%, for the three months ended June 30, 2021 compared to the three months ended June 30, 2020. This increase was primarily attributable to higher sales volumes and a 26% increase in cost of revenue per home as a result of inventory mix and buybox expansion. The increase in cost of revenue per home is consistent with the 35% increase in revenue per home.</w:t>
      </w:r>
    </w:p>
    <w:p>
      <w:pPr>
        <w:spacing w:after="0" w:line="165"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Cost of revenue decreased by $173.2 million, or 9%, for the six months ended June 30, 2021 compared to the six months ended June 30, 2020. This decrease in cost of revenue was primarily attributable to lower sales volumes, offset by a 20% increase in cost of revenue per home as a result of inventory mix and buybox expansion.</w:t>
      </w:r>
    </w:p>
    <w:p>
      <w:pPr>
        <w:spacing w:after="0" w:line="184" w:lineRule="exact"/>
        <w:rPr>
          <w:sz w:val="20"/>
          <w:szCs w:val="20"/>
          <w:color w:val="auto"/>
        </w:rPr>
      </w:pPr>
    </w:p>
    <w:p>
      <w:pPr>
        <w:ind w:right="120" w:firstLine="405"/>
        <w:spacing w:after="0" w:line="275" w:lineRule="auto"/>
        <w:rPr>
          <w:sz w:val="20"/>
          <w:szCs w:val="20"/>
          <w:color w:val="auto"/>
        </w:rPr>
      </w:pPr>
      <w:r>
        <w:rPr>
          <w:rFonts w:ascii="Arial" w:cs="Arial" w:eastAsia="Arial" w:hAnsi="Arial"/>
          <w:sz w:val="17"/>
          <w:szCs w:val="17"/>
          <w:color w:val="auto"/>
        </w:rPr>
        <w:t xml:space="preserve">Gross profit margin improved from 7.4% to 13.4% for the three months ended June 30, 2020 and June 30, 2021, respectively. For the same periods, Adjusted Gross Margin improved from 6.9% to 13.5%. Gross margin improvement was primarily due to a combination of healthy inventory mix, home price appreciation and the effectiveness of our inventory resale systems. In addition, we saw gains in home renovation efficiency and margins associated with adjacent services. Contribution Margin increased from 2.7% to 10.8% for the same periods, due largely to a higher Adjusted Gross Margin as well as improvements in direct selling and holding costs. See “— </w:t>
      </w:r>
      <w:r>
        <w:rPr>
          <w:rFonts w:ascii="Arial" w:cs="Arial" w:eastAsia="Arial" w:hAnsi="Arial"/>
          <w:sz w:val="17"/>
          <w:szCs w:val="17"/>
          <w:i w:val="1"/>
          <w:iCs w:val="1"/>
          <w:color w:val="auto"/>
        </w:rPr>
        <w:t>Non-GAAP Financial Measures</w:t>
      </w:r>
      <w:r>
        <w:rPr>
          <w:rFonts w:ascii="Arial" w:cs="Arial" w:eastAsia="Arial" w:hAnsi="Arial"/>
          <w:sz w:val="17"/>
          <w:szCs w:val="17"/>
          <w:color w:val="auto"/>
        </w:rPr>
        <w:t>.”</w:t>
      </w:r>
    </w:p>
    <w:p>
      <w:pPr>
        <w:spacing w:after="0" w:line="176" w:lineRule="exact"/>
        <w:rPr>
          <w:sz w:val="20"/>
          <w:szCs w:val="20"/>
          <w:color w:val="auto"/>
        </w:rPr>
      </w:pPr>
    </w:p>
    <w:p>
      <w:pPr>
        <w:ind w:right="120" w:firstLine="405"/>
        <w:spacing w:after="0" w:line="275" w:lineRule="auto"/>
        <w:rPr>
          <w:sz w:val="20"/>
          <w:szCs w:val="20"/>
          <w:color w:val="auto"/>
        </w:rPr>
      </w:pPr>
      <w:r>
        <w:rPr>
          <w:rFonts w:ascii="Arial" w:cs="Arial" w:eastAsia="Arial" w:hAnsi="Arial"/>
          <w:sz w:val="17"/>
          <w:szCs w:val="17"/>
          <w:color w:val="auto"/>
        </w:rPr>
        <w:t xml:space="preserve">Gross profit margin improved from 7.3% to 13.2% for the six months ended June 30, 2020 and June 30, 2021, respectively. For the same periods, Adjusted Gross Margin improved from 7.0% to 13.3%. Gross margin improvement was primarily due to a combination of healthy inventory mix, home price appreciation and the effectiveness of our inventory resale systems. In addition, we saw gains in home renovation efficiency and margins associated with adjacent services. Contribution Margin increased from 2.9% to 10.5% for the same periods, due largely to a higher Adjusted Gross Margin as well as improvements in direct selling and holding costs. See “— </w:t>
      </w:r>
      <w:r>
        <w:rPr>
          <w:rFonts w:ascii="Arial" w:cs="Arial" w:eastAsia="Arial" w:hAnsi="Arial"/>
          <w:sz w:val="17"/>
          <w:szCs w:val="17"/>
          <w:i w:val="1"/>
          <w:iCs w:val="1"/>
          <w:color w:val="auto"/>
        </w:rPr>
        <w:t>Non-GAAP Financial Measures</w:t>
      </w:r>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Expenses</w:t>
      </w:r>
    </w:p>
    <w:p>
      <w:pPr>
        <w:spacing w:after="0" w:line="225" w:lineRule="exact"/>
        <w:rPr>
          <w:sz w:val="20"/>
          <w:szCs w:val="20"/>
          <w:color w:val="auto"/>
        </w:rPr>
      </w:pPr>
    </w:p>
    <w:p>
      <w:pPr>
        <w:ind w:right="300" w:firstLine="405"/>
        <w:spacing w:after="0" w:line="257" w:lineRule="auto"/>
        <w:rPr>
          <w:sz w:val="20"/>
          <w:szCs w:val="20"/>
          <w:color w:val="auto"/>
        </w:rPr>
      </w:pPr>
      <w:r>
        <w:rPr>
          <w:rFonts w:ascii="Arial" w:cs="Arial" w:eastAsia="Arial" w:hAnsi="Arial"/>
          <w:sz w:val="18"/>
          <w:szCs w:val="18"/>
          <w:i w:val="1"/>
          <w:iCs w:val="1"/>
          <w:color w:val="auto"/>
        </w:rPr>
        <w:t>Sales, Marketing and Operations</w:t>
      </w:r>
      <w:r>
        <w:rPr>
          <w:rFonts w:ascii="Arial" w:cs="Arial" w:eastAsia="Arial" w:hAnsi="Arial"/>
          <w:sz w:val="18"/>
          <w:szCs w:val="18"/>
          <w:color w:val="auto"/>
        </w:rPr>
        <w:t>. Sales, marketing and operations increased by $49.3 million, or 104%, for the three months ended June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June 30, 2020. The increase was primarily attributable to a $33.4 million increase in advertising expense as we increased marketing in an effort to ramp up acquisition volumes in both existing and new markets. In addition, property holding costs increased by $6.3 million consistent with increased inventory levels and headcount expenses, including salaries, benefits and stock-based compensation increased $6.3 million consistent with the increase in headcount.</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Sales, marketing and operations increased by $36.6 million, or 28%, for the six months ended June 30, 2021 compared to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30, 2020. The increase was primarily attributable to a $45.8 million increase in advertising expense as we increased marketing in an effort to ramp up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acquisition volumes in both existing and new markets. In addition, stock based compensation increased $7.5 million reflecting both an increase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headcount as well as the recognition of stock based compensation beginning in the first quarter of 2021 when the February 2021 Offering satisfied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liquidity event vesting condition of certain RSUs. The increases were partially offset by a $13.6 million decrease in resale broker commissions due to lower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volumes, lower broker commission rates, and a higher mix of institutional buyers. In addition, severance costs decreased by $6.0 million as a result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workforce restructuring in the second quarter of 2020.</w:t>
      </w:r>
    </w:p>
    <w:p>
      <w:pPr>
        <w:spacing w:after="0" w:line="211"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increased by $161.3 million, or 550%, for the three months ended June 30, 2021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2020. The increase was primarily attributable to $153.7 million of additional stock based compensation from the commencement of expense recognition of certain performance awards following</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consummation of the Business Combination in December 2020 as well as the expense recognition of certain restricted stock units ("RSUs") upon the fulfillment of the liquidity event vesting condition satisfied by the February 2021 Offering.</w:t>
      </w:r>
    </w:p>
    <w:p>
      <w:pPr>
        <w:spacing w:after="0" w:line="17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General and administrative increased by $353.8 million, or 601%, for the six months ended June 30, 2021 compared to the six months ended June 30, 2020. The increase was primarily attributable to $349.2 million of additional stock based compensation from the commencement of expense recognition of certain performance awards following the consummation of the Business Combination in December 2020 as well as the expense recognition of certain RSUs upon the fulfillment of the liquidity event vesting condition satisfied by the February 2021 Offering.</w:t>
      </w:r>
    </w:p>
    <w:p>
      <w:pPr>
        <w:spacing w:after="0" w:line="17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i w:val="1"/>
          <w:iCs w:val="1"/>
          <w:color w:val="auto"/>
        </w:rPr>
        <w:t>Technology and Development</w:t>
      </w:r>
      <w:r>
        <w:rPr>
          <w:rFonts w:ascii="Arial" w:cs="Arial" w:eastAsia="Arial" w:hAnsi="Arial"/>
          <w:sz w:val="18"/>
          <w:szCs w:val="18"/>
          <w:color w:val="auto"/>
        </w:rPr>
        <w:t>. Technology and development increased by $7.6 million, or 45%, for the three months ended June 30, 2021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three months ended June 30, 2020. The increase was primarily attributable to a $5.4 million increase in stock based compensation reflecting both an increase in headcount as well as the recognition of stock based compensation beginning in the first quarter of 2021 when the February 2021 Offering satisfied the liquidity event vesting condition of certain RSUs.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Technology and development increased by $42.4 million, or 130%, for the six months ended June 30, 2021 compared to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2020. The increase was primarily attributable to a $39.7 million increase in stock based compensation reflecting both an increase in headcount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well as the recognition of stock based compensation beginning in the first quarter of 2021 when the February 2021 Offering satisfied the liquidity event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vesting condition of certain RSUs.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and Warrant Fair Value Adjustment</w:t>
      </w:r>
    </w:p>
    <w:p>
      <w:pPr>
        <w:spacing w:after="0" w:line="225"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Derivative and warrant fair value adjustment increased by $23.8 million for the three months ended June 30, 2021 compared to the three months ended June 30, 2020. The gain for the three months ended June 30, 2021 was attributable to a decrease in the fair value of the Sponsor Warrants of $24.0 million which is primarily attributable to the decline in the Company's stock price over this period. In June 2021, we announced the redemption of all outstanding warrants to purchase shares of the Company’s common stock on July 9, 2021.</w:t>
      </w:r>
    </w:p>
    <w:p>
      <w:pPr>
        <w:spacing w:after="0" w:line="18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Derivative and warrant fair value adjustment increased by $9.6 million for the six months ended June 30, 2021 compared to the six months ended June 30, 2020. The gain for the six months ended June 30, 2021 was primarily attributable to a decrease in the fair value of the Sponsor Warrants of $8.7 million which is primarily attributable to the decline in the Company's stock price over this period. In June 2021, we announced the redemption of all outstanding warrants to purchase shares of the Company’s common stock on July 9,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expense decreased by a nominal amount for the three months ended June 30, 2021 compared to the three months ended June 30, 2020.</w:t>
      </w:r>
    </w:p>
    <w:p>
      <w:pPr>
        <w:spacing w:after="0" w:line="248"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Interest expense decreased by $18.2 million, or 40%, for the six months ended June 30, 2021 compared to the six months ended June 30, 2020. The decrease was primarily attributable to a 19% decrease in the average outstanding balance of our higher interest bearing mezzanine term loans and lower interest rates on our senior credit facilities, partially offset by a 16% increase in the average outstanding balance of our senior credit facilities due to the increase in inventory levels. The decrease in interest expense is also due to the elimination of interest expense related to the Convertible Notes which were converted into equity in September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 Net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Other income – net increased by a nominal amount for the three months ended June 30, 2021 compared to the three months ended June 30, 2020.</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Other income – net decreased by a nominal amount for the six months ended June 30, 2021 compared to the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 w:right="37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Income tax expense increased by a nominal amount for the three and six months ended June 30, 2021 compared to the three and six months ended June 30,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Our principal sources of liquidity have historically consisted of cash generated from our operations and from financing activities. As of June 30, 2021, we had cash and cash equivalents of $1,557.8 million, marketable securities of $200.1 million and total outstanding balances on our credit facilities and other secured borrowings of $2,289.9 million. In addition, we had undrawn borrowing capacity of $2,038.5 million under our asset-backed senior credit facilities (as described further below), of which $437.5 million is fully committed.</w:t>
      </w:r>
    </w:p>
    <w:p>
      <w:pPr>
        <w:spacing w:after="0" w:line="18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 have incurred losses from inception through June 30, 2021 and expect to incur additional losses for the foreseeable future. Our ability to service our debt, fund working capital, capital expenditures and business development efforts will depend on our ability to generate cash from operating activities, which is subject to our future operating success, and obtain inventory acquisition financing on reasonable terms, which is subject to factors beyond our control, including general economic, political and financial market conditions.</w:t>
      </w:r>
    </w:p>
    <w:p>
      <w:pPr>
        <w:spacing w:after="0" w:line="187"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We expect our working capital requirements to continue to increase in the immediate future, as we seek to increase our inventory and expand into more markets across the United States. We believe our cash, cash equivalents, and marketable securities together with cash we expect to generate from future operations and borrowings, will be sufficient to meet our working capital and capital expenditure requirements for a period of at least twelve months from the date of this Quarterly Report on Form 10-Q. The discussion below does not include transactions that occurred subsequent to June 30, 2021. See “</w:t>
      </w:r>
      <w:r>
        <w:rPr>
          <w:rFonts w:ascii="Arial" w:cs="Arial" w:eastAsia="Arial" w:hAnsi="Arial"/>
          <w:sz w:val="17"/>
          <w:szCs w:val="17"/>
          <w:i w:val="1"/>
          <w:iCs w:val="1"/>
          <w:color w:val="auto"/>
        </w:rPr>
        <w:t>Part I – Item 1. Financial Statements – Notes to Condensed Consolidated Financial Statements – Note 18. Subsequent Events</w:t>
      </w:r>
      <w:r>
        <w:rPr>
          <w:rFonts w:ascii="Arial" w:cs="Arial" w:eastAsia="Arial" w:hAnsi="Arial"/>
          <w:sz w:val="17"/>
          <w:szCs w:val="17"/>
          <w:color w:val="auto"/>
        </w:rPr>
        <w:t>” for additional information regarding transactions subsequent to the balance sheet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Financing Arrangements</w:t>
      </w:r>
    </w:p>
    <w:p>
      <w:pPr>
        <w:spacing w:after="0" w:line="225"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Our financing activities include short-term borrowing under our asset-backed senior revolving credit facilities, the issuance of long-term asset-backed senior and mezzanine term debt, borrowing under our mortgage repurchase financing, and new issuances of equity. Historically, we have required access to external financing resources in order to fund growth, expansion into new markets and strategic initiatives and we expect this to continue in the future. Our access to capital markets can be impacted by factors outside our control, including economic conditions.</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primarily use non-recourse asset-backed financing facilities, consisting of asset-backed senior credit facilities and asset-backed mezzanine debt facilities to provide financing for our real estate inventory purchases and renovations. Our business is capital intensive and maintaining adequate liquidity and capital resources is needed as we continue to scale and accumulate additional inventory. While there can be no assurances that these trends will continue, we have observed increased availability and engagement for this lending product across a variety of financial institutions and we have seen improved terms and an increase in our borrowing capacity over the last two years. We actively manage our relationships with multiple financial institutions and seek to optimize duration, flexibility, efficiency and cost of funds.</w:t>
      </w:r>
    </w:p>
    <w:p>
      <w:pPr>
        <w:spacing w:after="0" w:line="192"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Our asset-backed facilities are each collateralized by a specified pool of assets, consisting of real estate inventory, restricted cash and equity interests in certain consolidated subsidiaries of Opendoor that directly or indirectly own our real estate inventory.</w:t>
      </w:r>
    </w:p>
    <w:p>
      <w:pPr>
        <w:spacing w:after="0" w:line="170"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Our real estate-owning subsidiaries’ assets and credit generally are not available to satisfy the debts and other obligations of any other Opendoor entities except to the extent other Opendoor entities are also a party to the relevant financing arrangements. Our asset-backed financing facilities are non-recourse to Opendoor except for limited guarantees provided by an Opendoor subsidiary for certain obligations in situations involving “bad acts” by an Opendoor entity and certain other limited circumstances that are generally under our control.</w:t>
      </w: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 w:right="37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Our senior credit facilities generally advance 80% to 90% of our cost basis in the underlying properties upon acquisition and our mezzanine term facilities will finance up to 100% of our cost basis in the underlying properties upon acquisition. The maximum initial advance rates for a given financed property vary by facility and generally decrease on a fixed timeline that varies by facility based on the length of time the property has been financed and any other facility-specific adjustments.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Asset-backed Senior Credit Facilities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our asset-backed senior credit facilities as of June 30,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7"/>
              </w:rPr>
              <w:t>Final</w:t>
            </w:r>
          </w:p>
        </w:tc>
      </w:tr>
      <w:tr>
        <w:trPr>
          <w:trHeight w:val="162"/>
        </w:trPr>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314"/>
              <w:spacing w:after="0"/>
              <w:rPr>
                <w:sz w:val="20"/>
                <w:szCs w:val="20"/>
                <w:color w:val="auto"/>
              </w:rPr>
            </w:pPr>
            <w:r>
              <w:rPr>
                <w:rFonts w:ascii="Arial" w:cs="Arial" w:eastAsia="Arial" w:hAnsi="Arial"/>
                <w:sz w:val="14"/>
                <w:szCs w:val="14"/>
                <w:b w:val="1"/>
                <w:bCs w:val="1"/>
                <w:color w:val="auto"/>
              </w:rPr>
              <w:t>Borrowing</w:t>
            </w:r>
          </w:p>
        </w:tc>
        <w:tc>
          <w:tcPr>
            <w:tcW w:w="220" w:type="dxa"/>
            <w:vAlign w:val="bottom"/>
          </w:tcPr>
          <w:p>
            <w:pPr>
              <w:spacing w:after="0"/>
              <w:rPr>
                <w:sz w:val="14"/>
                <w:szCs w:val="14"/>
                <w:color w:val="auto"/>
              </w:rPr>
            </w:pPr>
          </w:p>
        </w:tc>
        <w:tc>
          <w:tcPr>
            <w:tcW w:w="1120" w:type="dxa"/>
            <w:vAlign w:val="bottom"/>
          </w:tcPr>
          <w:p>
            <w:pPr>
              <w:jc w:val="right"/>
              <w:ind w:right="194"/>
              <w:spacing w:after="0"/>
              <w:rPr>
                <w:sz w:val="20"/>
                <w:szCs w:val="20"/>
                <w:color w:val="auto"/>
              </w:rPr>
            </w:pPr>
            <w:r>
              <w:rPr>
                <w:rFonts w:ascii="Arial" w:cs="Arial" w:eastAsia="Arial" w:hAnsi="Arial"/>
                <w:sz w:val="14"/>
                <w:szCs w:val="14"/>
                <w:b w:val="1"/>
                <w:bCs w:val="1"/>
                <w:color w:val="auto"/>
                <w:w w:val="99"/>
              </w:rPr>
              <w:t>Outstanding</w:t>
            </w:r>
          </w:p>
        </w:tc>
        <w:tc>
          <w:tcPr>
            <w:tcW w:w="80" w:type="dxa"/>
            <w:vAlign w:val="bottom"/>
          </w:tcPr>
          <w:p>
            <w:pPr>
              <w:spacing w:after="0"/>
              <w:rPr>
                <w:sz w:val="14"/>
                <w:szCs w:val="1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End of Revolving /</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r>
      <w:tr>
        <w:trPr>
          <w:trHeight w:val="186"/>
        </w:trPr>
        <w:tc>
          <w:tcPr>
            <w:tcW w:w="286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Pr>
          <w:p>
            <w:pPr>
              <w:spacing w:after="0"/>
              <w:rPr>
                <w:sz w:val="16"/>
                <w:szCs w:val="16"/>
                <w:color w:val="auto"/>
              </w:rPr>
            </w:pPr>
          </w:p>
        </w:tc>
        <w:tc>
          <w:tcPr>
            <w:tcW w:w="1200" w:type="dxa"/>
            <w:vAlign w:val="bottom"/>
          </w:tcPr>
          <w:p>
            <w:pPr>
              <w:jc w:val="right"/>
              <w:ind w:right="354"/>
              <w:spacing w:after="0"/>
              <w:rPr>
                <w:sz w:val="20"/>
                <w:szCs w:val="20"/>
                <w:color w:val="auto"/>
              </w:rPr>
            </w:pPr>
            <w:r>
              <w:rPr>
                <w:rFonts w:ascii="Arial" w:cs="Arial" w:eastAsia="Arial" w:hAnsi="Arial"/>
                <w:sz w:val="14"/>
                <w:szCs w:val="14"/>
                <w:b w:val="1"/>
                <w:bCs w:val="1"/>
                <w:color w:val="auto"/>
              </w:rPr>
              <w:t>Capacity</w:t>
            </w:r>
          </w:p>
        </w:tc>
        <w:tc>
          <w:tcPr>
            <w:tcW w:w="220" w:type="dxa"/>
            <w:vAlign w:val="bottom"/>
          </w:tcPr>
          <w:p>
            <w:pPr>
              <w:spacing w:after="0"/>
              <w:rPr>
                <w:sz w:val="16"/>
                <w:szCs w:val="16"/>
                <w:color w:val="auto"/>
              </w:rPr>
            </w:pPr>
          </w:p>
        </w:tc>
        <w:tc>
          <w:tcPr>
            <w:tcW w:w="1120" w:type="dxa"/>
            <w:vAlign w:val="bottom"/>
          </w:tcPr>
          <w:p>
            <w:pPr>
              <w:jc w:val="right"/>
              <w:ind w:right="334"/>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Interest Rate</w:t>
            </w: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Withdrawal Period</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6"/>
        </w:trPr>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Revolving Facility 2018-2</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8,003</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2.85 %</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September 23, 2022</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December 23, 2022</w:t>
            </w:r>
          </w:p>
        </w:tc>
      </w:tr>
      <w:tr>
        <w:trPr>
          <w:trHeight w:val="243"/>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Revolving Facility 2018-3</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80,897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3.25 %</w:t>
            </w:r>
          </w:p>
        </w:tc>
        <w:tc>
          <w:tcPr>
            <w:tcW w:w="100" w:type="dxa"/>
            <w:vAlign w:val="bottom"/>
          </w:tcPr>
          <w:p>
            <w:pPr>
              <w:spacing w:after="0"/>
              <w:rPr>
                <w:sz w:val="21"/>
                <w:szCs w:val="21"/>
                <w:color w:val="auto"/>
              </w:rPr>
            </w:pP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May 26, 2024</w:t>
            </w:r>
          </w:p>
        </w:tc>
        <w:tc>
          <w:tcPr>
            <w:tcW w:w="1860" w:type="dxa"/>
            <w:vAlign w:val="bottom"/>
          </w:tcPr>
          <w:p>
            <w:pPr>
              <w:jc w:val="right"/>
              <w:spacing w:after="0"/>
              <w:rPr>
                <w:sz w:val="20"/>
                <w:szCs w:val="20"/>
                <w:color w:val="auto"/>
              </w:rPr>
            </w:pPr>
            <w:r>
              <w:rPr>
                <w:rFonts w:ascii="Arial" w:cs="Arial" w:eastAsia="Arial" w:hAnsi="Arial"/>
                <w:sz w:val="18"/>
                <w:szCs w:val="18"/>
                <w:color w:val="auto"/>
              </w:rPr>
              <w:t>May 26, 2024</w:t>
            </w:r>
          </w:p>
        </w:tc>
      </w:tr>
      <w:tr>
        <w:trPr>
          <w:trHeight w:val="27"/>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Revolving Facility 2019-1</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202,672</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2.85 %</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June 30, 2023</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June 30, 2023</w:t>
            </w:r>
          </w:p>
        </w:tc>
      </w:tr>
      <w:tr>
        <w:trPr>
          <w:trHeight w:val="243"/>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Revolving Facility 2019-2</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1,030,000</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1,003,609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2.66 %</w:t>
            </w:r>
          </w:p>
        </w:tc>
        <w:tc>
          <w:tcPr>
            <w:tcW w:w="100" w:type="dxa"/>
            <w:vAlign w:val="bottom"/>
          </w:tcPr>
          <w:p>
            <w:pPr>
              <w:spacing w:after="0"/>
              <w:rPr>
                <w:sz w:val="21"/>
                <w:szCs w:val="21"/>
                <w:color w:val="auto"/>
              </w:rPr>
            </w:pP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July 8, 2023</w:t>
            </w:r>
          </w:p>
        </w:tc>
        <w:tc>
          <w:tcPr>
            <w:tcW w:w="1860" w:type="dxa"/>
            <w:vAlign w:val="bottom"/>
          </w:tcPr>
          <w:p>
            <w:pPr>
              <w:jc w:val="right"/>
              <w:spacing w:after="0"/>
              <w:rPr>
                <w:sz w:val="20"/>
                <w:szCs w:val="20"/>
                <w:color w:val="auto"/>
              </w:rPr>
            </w:pPr>
            <w:r>
              <w:rPr>
                <w:rFonts w:ascii="Arial" w:cs="Arial" w:eastAsia="Arial" w:hAnsi="Arial"/>
                <w:sz w:val="18"/>
                <w:szCs w:val="18"/>
                <w:color w:val="auto"/>
              </w:rPr>
              <w:t>July 8, 2023</w:t>
            </w:r>
          </w:p>
        </w:tc>
      </w:tr>
      <w:tr>
        <w:trPr>
          <w:trHeight w:val="27"/>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Revolving Facility 2019-3</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675,000</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371,342</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3.25 %</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August 22, 2022</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August 21, 2023</w:t>
            </w:r>
          </w:p>
        </w:tc>
      </w:tr>
      <w:tr>
        <w:trPr>
          <w:trHeight w:val="243"/>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Term Debt Facility 2021-S1</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3.48 %</w:t>
            </w:r>
          </w:p>
        </w:tc>
        <w:tc>
          <w:tcPr>
            <w:tcW w:w="100" w:type="dxa"/>
            <w:vAlign w:val="bottom"/>
          </w:tcPr>
          <w:p>
            <w:pPr>
              <w:spacing w:after="0"/>
              <w:rPr>
                <w:sz w:val="21"/>
                <w:szCs w:val="21"/>
                <w:color w:val="auto"/>
              </w:rPr>
            </w:pP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April 1, 2024</w:t>
            </w:r>
          </w:p>
        </w:tc>
        <w:tc>
          <w:tcPr>
            <w:tcW w:w="1860" w:type="dxa"/>
            <w:vAlign w:val="bottom"/>
          </w:tcPr>
          <w:p>
            <w:pPr>
              <w:jc w:val="right"/>
              <w:spacing w:after="0"/>
              <w:rPr>
                <w:sz w:val="20"/>
                <w:szCs w:val="20"/>
                <w:color w:val="auto"/>
              </w:rPr>
            </w:pPr>
            <w:r>
              <w:rPr>
                <w:rFonts w:ascii="Arial" w:cs="Arial" w:eastAsia="Arial" w:hAnsi="Arial"/>
                <w:sz w:val="18"/>
                <w:szCs w:val="18"/>
                <w:color w:val="auto"/>
              </w:rPr>
              <w:t>April 1, 2025</w:t>
            </w:r>
          </w:p>
        </w:tc>
      </w:tr>
      <w:tr>
        <w:trPr>
          <w:trHeight w:val="27"/>
        </w:trPr>
        <w:tc>
          <w:tcPr>
            <w:tcW w:w="2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r>
      <w:tr>
        <w:trPr>
          <w:trHeight w:val="288"/>
        </w:trPr>
        <w:tc>
          <w:tcPr>
            <w:tcW w:w="2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3,855,000</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1,816,523</w:t>
            </w: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spacing w:after="0"/>
              <w:rPr>
                <w:sz w:val="24"/>
                <w:szCs w:val="24"/>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some cases, the undrawn borrowing capacity amounts under the asset-backed senior credit facilities as reflected in the table are not fully committed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any borrowings above those amounts are subject to the applicable lender’s discretion. As of June 30, 2021, the Company had fully committed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borrowing capacity with respect to asset-backed senior credit facilities of $2,057.7 million The total outstanding amount presented above includes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$1,666.5 million of current liabilities and $150.0 million of non-current liabilities; the carrying value of the non-current liabilities is reduced by issuance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costs of $267 thousand. .</w:t>
      </w:r>
    </w:p>
    <w:p>
      <w:pPr>
        <w:spacing w:after="0" w:line="211" w:lineRule="exact"/>
        <w:rPr>
          <w:sz w:val="20"/>
          <w:szCs w:val="20"/>
          <w:color w:val="auto"/>
        </w:rPr>
      </w:pPr>
    </w:p>
    <w:p>
      <w:pPr>
        <w:ind w:right="40" w:firstLine="405"/>
        <w:spacing w:after="0" w:line="311" w:lineRule="auto"/>
        <w:rPr>
          <w:sz w:val="20"/>
          <w:szCs w:val="20"/>
          <w:color w:val="auto"/>
        </w:rPr>
      </w:pPr>
      <w:r>
        <w:rPr>
          <w:rFonts w:ascii="Arial" w:cs="Arial" w:eastAsia="Arial" w:hAnsi="Arial"/>
          <w:sz w:val="16"/>
          <w:szCs w:val="16"/>
          <w:color w:val="auto"/>
        </w:rPr>
        <w:t>The revolving or withdrawal period end dates and final maturity dates reflected in the table above are inclusive of any extensions that are at the sole discretion of the Company. Certain of our asset-backed senior credit facilities also have additional extension options that are subject to lender approval that are not reflected in the table above. Historically, we have had success in renewing these facilities to the extent we have wished to do so.</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Asset-Backed Mezzanine Term Debt Facilities</w:t>
      </w:r>
    </w:p>
    <w:p>
      <w:pPr>
        <w:spacing w:after="0" w:line="225" w:lineRule="exact"/>
        <w:rPr>
          <w:sz w:val="20"/>
          <w:szCs w:val="20"/>
          <w:color w:val="auto"/>
        </w:rPr>
      </w:pPr>
    </w:p>
    <w:p>
      <w:pPr>
        <w:ind w:right="480" w:firstLine="405"/>
        <w:spacing w:after="0" w:line="308" w:lineRule="auto"/>
        <w:rPr>
          <w:sz w:val="20"/>
          <w:szCs w:val="20"/>
          <w:color w:val="auto"/>
        </w:rPr>
      </w:pPr>
      <w:r>
        <w:rPr>
          <w:rFonts w:ascii="Arial" w:cs="Arial" w:eastAsia="Arial" w:hAnsi="Arial"/>
          <w:sz w:val="17"/>
          <w:szCs w:val="17"/>
          <w:color w:val="auto"/>
        </w:rPr>
        <w:t>In addition to the asset-backed senior credit facilities, we have issued asset-backed mezzanine term debt facilities which are subordinated to the related senior facilities. The table below summarizes our asset-backed mezzanine term debt facilities as of June 30, 2021:</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7"/>
              </w:rPr>
              <w:t>Final</w:t>
            </w:r>
          </w:p>
        </w:tc>
      </w:tr>
      <w:tr>
        <w:trPr>
          <w:trHeight w:val="162"/>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Borrowing</w:t>
            </w:r>
          </w:p>
        </w:tc>
        <w:tc>
          <w:tcPr>
            <w:tcW w:w="180" w:type="dxa"/>
            <w:vAlign w:val="bottom"/>
          </w:tcPr>
          <w:p>
            <w:pPr>
              <w:spacing w:after="0"/>
              <w:rPr>
                <w:sz w:val="14"/>
                <w:szCs w:val="14"/>
                <w:color w:val="auto"/>
              </w:rPr>
            </w:pPr>
          </w:p>
        </w:tc>
        <w:tc>
          <w:tcPr>
            <w:tcW w:w="1120" w:type="dxa"/>
            <w:vAlign w:val="bottom"/>
          </w:tcPr>
          <w:p>
            <w:pPr>
              <w:jc w:val="right"/>
              <w:ind w:right="175"/>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Interest</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End of Draw</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r>
      <w:tr>
        <w:trPr>
          <w:trHeight w:val="186"/>
        </w:trPr>
        <w:tc>
          <w:tcPr>
            <w:tcW w:w="30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2021</w:t>
            </w:r>
          </w:p>
        </w:tc>
        <w:tc>
          <w:tcPr>
            <w:tcW w:w="300" w:type="dxa"/>
            <w:vAlign w:val="bottom"/>
          </w:tcPr>
          <w:p>
            <w:pPr>
              <w:spacing w:after="0"/>
              <w:rPr>
                <w:sz w:val="16"/>
                <w:szCs w:val="16"/>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Capacity</w:t>
            </w:r>
          </w:p>
        </w:tc>
        <w:tc>
          <w:tcPr>
            <w:tcW w:w="180" w:type="dxa"/>
            <w:vAlign w:val="bottom"/>
          </w:tcPr>
          <w:p>
            <w:pPr>
              <w:spacing w:after="0"/>
              <w:rPr>
                <w:sz w:val="16"/>
                <w:szCs w:val="16"/>
                <w:color w:val="auto"/>
              </w:rPr>
            </w:pPr>
          </w:p>
        </w:tc>
        <w:tc>
          <w:tcPr>
            <w:tcW w:w="1120" w:type="dxa"/>
            <w:vAlign w:val="bottom"/>
          </w:tcPr>
          <w:p>
            <w:pPr>
              <w:jc w:val="right"/>
              <w:ind w:right="315"/>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Rate</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Period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5"/>
        </w:trPr>
        <w:tc>
          <w:tcPr>
            <w:tcW w:w="2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3"/>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Term Debt Facility 2016-M1</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149,000</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October 31, 2023</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March 31, 2025</w:t>
            </w:r>
          </w:p>
        </w:tc>
      </w:tr>
      <w:tr>
        <w:trPr>
          <w:trHeight w:val="243"/>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Term Debt Facility 2020-M1</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Pr>
          <w:p>
            <w:pPr>
              <w:spacing w:after="0"/>
              <w:rPr>
                <w:sz w:val="21"/>
                <w:szCs w:val="21"/>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January 23, 2023</w:t>
            </w:r>
          </w:p>
        </w:tc>
        <w:tc>
          <w:tcPr>
            <w:tcW w:w="1700" w:type="dxa"/>
            <w:vAlign w:val="bottom"/>
          </w:tcPr>
          <w:p>
            <w:pPr>
              <w:jc w:val="right"/>
              <w:spacing w:after="0"/>
              <w:rPr>
                <w:sz w:val="20"/>
                <w:szCs w:val="20"/>
                <w:color w:val="auto"/>
              </w:rPr>
            </w:pPr>
            <w:r>
              <w:rPr>
                <w:rFonts w:ascii="Arial" w:cs="Arial" w:eastAsia="Arial" w:hAnsi="Arial"/>
                <w:sz w:val="18"/>
                <w:szCs w:val="18"/>
                <w:color w:val="auto"/>
              </w:rPr>
              <w:t>January 23, 2026</w:t>
            </w:r>
          </w:p>
        </w:tc>
      </w:tr>
      <w:tr>
        <w:trPr>
          <w:trHeight w:val="27"/>
        </w:trPr>
        <w:tc>
          <w:tcPr>
            <w:tcW w:w="2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64"/>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449,000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449,000</w:t>
            </w:r>
          </w:p>
        </w:tc>
        <w:tc>
          <w:tcPr>
            <w:tcW w:w="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37"/>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Issuance Costs</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(3,154)</w:t>
            </w: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88"/>
        </w:trPr>
        <w:tc>
          <w:tcPr>
            <w:tcW w:w="2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Carrying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445,846</w:t>
            </w: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spacing w:after="0"/>
              <w:rPr>
                <w:sz w:val="24"/>
                <w:szCs w:val="24"/>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28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Part I – Item 1. Financial Statements – Notes to Condensed Consolidated Financial Statements – Note 7. Credit Facilities and Long-Term Debt</w:t>
      </w:r>
      <w:r>
        <w:rPr>
          <w:rFonts w:ascii="Arial" w:cs="Arial" w:eastAsia="Arial" w:hAnsi="Arial"/>
          <w:sz w:val="18"/>
          <w:szCs w:val="18"/>
          <w:color w:val="auto"/>
        </w:rPr>
        <w:t>” for additional information regarding our non-recourse asset-backed financing facilities.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Financing</w:t>
      </w:r>
    </w:p>
    <w:p>
      <w:pPr>
        <w:spacing w:after="0" w:line="225" w:lineRule="exact"/>
        <w:rPr>
          <w:sz w:val="20"/>
          <w:szCs w:val="20"/>
          <w:color w:val="auto"/>
        </w:rPr>
      </w:pPr>
    </w:p>
    <w:p>
      <w:pPr>
        <w:ind w:right="580" w:firstLine="405"/>
        <w:spacing w:after="0" w:line="263" w:lineRule="auto"/>
        <w:rPr>
          <w:sz w:val="20"/>
          <w:szCs w:val="20"/>
          <w:color w:val="auto"/>
        </w:rPr>
      </w:pPr>
      <w:r>
        <w:rPr>
          <w:rFonts w:ascii="Arial" w:cs="Arial" w:eastAsia="Arial" w:hAnsi="Arial"/>
          <w:sz w:val="18"/>
          <w:szCs w:val="18"/>
          <w:color w:val="auto"/>
        </w:rPr>
        <w:t>We primarily use debt financing to fund our mortgage loan originations. In 2019 we entered into a master repurchase agreement to finance substantially all of the mortgage loans that we originate. Once our mortgage business sells a loan in the secondary mortgage market, we use the sale proceeds to reduce the outstanding balance under the repurchase facility.</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certain details related to our mortgage financing (in thousands, except interest rates):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7"/>
              </w:rPr>
              <w:t>Final</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Borrowing</w:t>
            </w:r>
          </w:p>
        </w:tc>
        <w:tc>
          <w:tcPr>
            <w:tcW w:w="20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Outstanding</w:t>
            </w: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End of Revolving</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43"/>
        </w:trPr>
        <w:tc>
          <w:tcPr>
            <w:tcW w:w="3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Capacity</w:t>
            </w:r>
          </w:p>
        </w:tc>
        <w:tc>
          <w:tcPr>
            <w:tcW w:w="200" w:type="dxa"/>
            <w:vAlign w:val="bottom"/>
          </w:tcPr>
          <w:p>
            <w:pPr>
              <w:spacing w:after="0"/>
              <w:rPr>
                <w:sz w:val="3"/>
                <w:szCs w:val="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520" w:type="dxa"/>
            <w:vAlign w:val="bottom"/>
            <w:gridSpan w:val="2"/>
            <w:vMerge w:val="continue"/>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86"/>
        </w:trPr>
        <w:tc>
          <w:tcPr>
            <w:tcW w:w="40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Interest Rate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Period</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Repo Facility 2019-R1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24,355</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1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May 26, 2022</w:t>
            </w:r>
          </w:p>
        </w:tc>
        <w:tc>
          <w:tcPr>
            <w:tcW w:w="14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May 26, 2022</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Part I – Item 1. Financial Statements – Notes to Condensed Consolidated Financial Statements – Note 7. Credit Facilities and Long-Term Debt</w:t>
      </w:r>
      <w:r>
        <w:rPr>
          <w:rFonts w:ascii="Arial" w:cs="Arial" w:eastAsia="Arial" w:hAnsi="Arial"/>
          <w:sz w:val="18"/>
          <w:szCs w:val="18"/>
          <w:color w:val="auto"/>
        </w:rPr>
        <w:t>” for additional information regarding our master repurchase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8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5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8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(2,312,108)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950,347</w:t>
            </w:r>
          </w:p>
        </w:tc>
        <w:tc>
          <w:tcPr>
            <w:tcW w:w="0" w:type="dxa"/>
            <w:vAlign w:val="bottom"/>
          </w:tcPr>
          <w:p>
            <w:pPr>
              <w:spacing w:after="0"/>
              <w:rPr>
                <w:sz w:val="1"/>
                <w:szCs w:val="1"/>
                <w:color w:val="auto"/>
              </w:rPr>
            </w:pPr>
          </w:p>
        </w:tc>
      </w:tr>
      <w:tr>
        <w:trPr>
          <w:trHeight w:val="243"/>
        </w:trPr>
        <w:tc>
          <w:tcPr>
            <w:tcW w:w="85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(174,023)</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(68,920)</w:t>
            </w: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2,670,070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(900,544)</w:t>
            </w:r>
          </w:p>
        </w:tc>
        <w:tc>
          <w:tcPr>
            <w:tcW w:w="0" w:type="dxa"/>
            <w:vAlign w:val="bottom"/>
          </w:tcPr>
          <w:p>
            <w:pPr>
              <w:spacing w:after="0"/>
              <w:rPr>
                <w:sz w:val="1"/>
                <w:szCs w:val="1"/>
                <w:color w:val="auto"/>
              </w:rPr>
            </w:pPr>
          </w:p>
        </w:tc>
      </w:tr>
      <w:tr>
        <w:trPr>
          <w:trHeight w:val="243"/>
        </w:trPr>
        <w:tc>
          <w:tcPr>
            <w:tcW w:w="850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183,939</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(19,117)</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Operating Activities</w:t>
      </w:r>
    </w:p>
    <w:p>
      <w:pPr>
        <w:spacing w:after="0" w:line="225" w:lineRule="exact"/>
        <w:rPr>
          <w:sz w:val="20"/>
          <w:szCs w:val="20"/>
          <w:color w:val="auto"/>
        </w:rPr>
      </w:pPr>
    </w:p>
    <w:p>
      <w:pPr>
        <w:ind w:right="200" w:firstLine="405"/>
        <w:spacing w:after="0" w:line="273" w:lineRule="auto"/>
        <w:rPr>
          <w:sz w:val="20"/>
          <w:szCs w:val="20"/>
          <w:color w:val="auto"/>
        </w:rPr>
      </w:pPr>
      <w:r>
        <w:rPr>
          <w:rFonts w:ascii="Arial" w:cs="Arial" w:eastAsia="Arial" w:hAnsi="Arial"/>
          <w:sz w:val="17"/>
          <w:szCs w:val="17"/>
          <w:color w:val="auto"/>
        </w:rPr>
        <w:t>Net cash (used in) provided by operating activities was $(2,312.1) million and $950.3 million for the six months ended June 30, 2021 and 2020, respectively. For the six months ended June 30, 2021, cash used in operating activities was primarily driven by the $2,249.5 million increase in inventory and a $31.4 million increase in escrow receivables correlated to the increase in revenue during the first half of 2021. For the six months ended June 30, 2020, net cash provided by operating activities was primarily driven by a $1,035.1 million decrease in inventory, as we substantially paused purchasing additional homes in March 2020 in response to the COVID-19 pandemic and the consequent health risks. The impact of the change in operating working capital was partially offset by our net loss, net of non-cash items, of $72.2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color w:val="auto"/>
        </w:rPr>
        <w:t>Net cash used in investing activities was $174.0 million and $68.9 million for the six months ended June 30, 2021 and 2020, respectively. For the six months ended June 30, 2021, cash used in investing activities primarily consisted of the $152.8 million increase in marketable securities and the</w:t>
      </w:r>
    </w:p>
    <w:p>
      <w:pPr>
        <w:ind w:right="400"/>
        <w:spacing w:after="0" w:line="260" w:lineRule="auto"/>
        <w:rPr>
          <w:sz w:val="20"/>
          <w:szCs w:val="20"/>
          <w:color w:val="auto"/>
        </w:rPr>
      </w:pPr>
      <w:r>
        <w:rPr>
          <w:rFonts w:ascii="Arial" w:cs="Arial" w:eastAsia="Arial" w:hAnsi="Arial"/>
          <w:sz w:val="18"/>
          <w:szCs w:val="18"/>
          <w:color w:val="auto"/>
        </w:rPr>
        <w:t>$10.0 million purchase of a strategic investment in a privately held company. For the six months ended June 30, 2020, cash used in investing activities primarily consisted of the $58.2 million increase in marketable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Net cash provided by (used in) financing activities was $2,670.1 million and $(900.5) million for the six months ended June 30, 2021 and 2020, respectively. For the six months ended June 30, 2021, cash provided by financing activities was primarily attributable to $1,803.6 million net proceeds from our asset-backed debt facilities and $886.1 million in proceeds from the February 2021 Offering, net of $28.9 million of issuance costs. For the six months ended June 30, 2020, cash used in financing activities was primarily attributable to the net repayment of $898.8 million to our asset-backed debt facilities as we reduced inventory levels in response to COVID-19.</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There have been no material changes outside the ordinary course of business in our commitments under contractual obligations as previously disclosed in our Annual Report on Form 10-K for the year ended December 31, 2020, except for the categories of contractual obligations included in the table below, which have been updated to reflect our contractual obligations as of June 30, 2021: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Payment Due by Year</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4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0"/>
        </w:trPr>
        <w:tc>
          <w:tcPr>
            <w:tcW w:w="4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275"/>
              <w:spacing w:after="0" w:line="160" w:lineRule="exact"/>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ind w:left="120"/>
              <w:spacing w:after="0" w:line="160" w:lineRule="exact"/>
              <w:rPr>
                <w:sz w:val="20"/>
                <w:szCs w:val="20"/>
                <w:color w:val="auto"/>
              </w:rPr>
            </w:pPr>
            <w:r>
              <w:rPr>
                <w:rFonts w:ascii="Arial" w:cs="Arial" w:eastAsia="Arial" w:hAnsi="Arial"/>
                <w:sz w:val="14"/>
                <w:szCs w:val="14"/>
                <w:b w:val="1"/>
                <w:bCs w:val="1"/>
                <w:color w:val="auto"/>
              </w:rPr>
              <w:t>More than</w:t>
            </w:r>
          </w:p>
        </w:tc>
      </w:tr>
      <w:tr>
        <w:trPr>
          <w:trHeight w:val="186"/>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6"/>
                <w:szCs w:val="16"/>
                <w:color w:val="auto"/>
              </w:rPr>
            </w:pPr>
          </w:p>
        </w:tc>
        <w:tc>
          <w:tcPr>
            <w:tcW w:w="1080" w:type="dxa"/>
            <w:vAlign w:val="bottom"/>
          </w:tcPr>
          <w:p>
            <w:pPr>
              <w:jc w:val="right"/>
              <w:ind w:right="375"/>
              <w:spacing w:after="0"/>
              <w:rPr>
                <w:sz w:val="20"/>
                <w:szCs w:val="20"/>
                <w:color w:val="auto"/>
              </w:rPr>
            </w:pPr>
            <w:r>
              <w:rPr>
                <w:rFonts w:ascii="Arial" w:cs="Arial" w:eastAsia="Arial" w:hAnsi="Arial"/>
                <w:sz w:val="14"/>
                <w:szCs w:val="14"/>
                <w:b w:val="1"/>
                <w:bCs w:val="1"/>
                <w:color w:val="auto"/>
              </w:rPr>
              <w:t>1 year</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1 – 3 years</w:t>
            </w:r>
          </w:p>
        </w:tc>
        <w:tc>
          <w:tcPr>
            <w:tcW w:w="22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3 – 5 years</w:t>
            </w:r>
          </w:p>
        </w:tc>
        <w:tc>
          <w:tcPr>
            <w:tcW w:w="200" w:type="dxa"/>
            <w:vAlign w:val="bottom"/>
          </w:tcPr>
          <w:p>
            <w:pPr>
              <w:spacing w:after="0"/>
              <w:rPr>
                <w:sz w:val="16"/>
                <w:szCs w:val="16"/>
                <w:color w:val="auto"/>
              </w:rPr>
            </w:pPr>
          </w:p>
        </w:tc>
        <w:tc>
          <w:tcPr>
            <w:tcW w:w="1100" w:type="dxa"/>
            <w:vAlign w:val="bottom"/>
          </w:tcPr>
          <w:p>
            <w:pPr>
              <w:ind w:left="220"/>
              <w:spacing w:after="0"/>
              <w:rPr>
                <w:sz w:val="20"/>
                <w:szCs w:val="20"/>
                <w:color w:val="auto"/>
              </w:rPr>
            </w:pPr>
            <w:r>
              <w:rPr>
                <w:rFonts w:ascii="Arial" w:cs="Arial" w:eastAsia="Arial" w:hAnsi="Arial"/>
                <w:sz w:val="14"/>
                <w:szCs w:val="14"/>
                <w:b w:val="1"/>
                <w:bCs w:val="1"/>
                <w:color w:val="auto"/>
              </w:rPr>
              <w:t>5 years</w:t>
            </w:r>
          </w:p>
        </w:tc>
      </w:tr>
      <w:tr>
        <w:trPr>
          <w:trHeight w:val="26"/>
        </w:trPr>
        <w:tc>
          <w:tcPr>
            <w:tcW w:w="4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revolving credit facilities</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1,677,511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1,677,511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70"/>
        </w:trPr>
        <w:tc>
          <w:tcPr>
            <w:tcW w:w="4300" w:type="dxa"/>
            <w:vAlign w:val="bottom"/>
          </w:tcPr>
          <w:p>
            <w:pPr>
              <w:ind w:left="20"/>
              <w:spacing w:after="0"/>
              <w:rPr>
                <w:sz w:val="20"/>
                <w:szCs w:val="20"/>
                <w:color w:val="auto"/>
              </w:rPr>
            </w:pPr>
            <w:r>
              <w:rPr>
                <w:rFonts w:ascii="Arial" w:cs="Arial" w:eastAsia="Arial" w:hAnsi="Arial"/>
                <w:sz w:val="18"/>
                <w:szCs w:val="18"/>
                <w:color w:val="auto"/>
              </w:rPr>
              <w:t>Senior and mezzanine term debt facilities</w:t>
            </w:r>
            <w:r>
              <w:rPr>
                <w:rFonts w:ascii="Arial" w:cs="Arial" w:eastAsia="Arial" w:hAnsi="Arial"/>
                <w:sz w:val="23"/>
                <w:szCs w:val="23"/>
                <w:color w:val="auto"/>
                <w:vertAlign w:val="superscript"/>
              </w:rPr>
              <w:t>(2)</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811,629</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50,120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100,240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661,269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7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 financing</w:t>
            </w:r>
            <w:r>
              <w:rPr>
                <w:rFonts w:ascii="Arial" w:cs="Arial" w:eastAsia="Arial" w:hAnsi="Arial"/>
                <w:sz w:val="23"/>
                <w:szCs w:val="23"/>
                <w:color w:val="auto"/>
                <w:vertAlign w:val="superscript"/>
              </w:rPr>
              <w:t>(3)</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24,375</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70"/>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 commitments</w:t>
            </w:r>
            <w:r>
              <w:rPr>
                <w:rFonts w:ascii="Arial" w:cs="Arial" w:eastAsia="Arial" w:hAnsi="Arial"/>
                <w:sz w:val="23"/>
                <w:szCs w:val="23"/>
                <w:color w:val="auto"/>
                <w:vertAlign w:val="superscript"/>
              </w:rPr>
              <w:t>(4)</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2,962,277</w:t>
            </w:r>
          </w:p>
        </w:tc>
        <w:tc>
          <w:tcPr>
            <w:tcW w:w="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2,962,277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r>
      <w:tr>
        <w:trPr>
          <w:trHeight w:val="237"/>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5,475,792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4,714,283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100,240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661,269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7"/>
        </w:trPr>
        <w:tc>
          <w:tcPr>
            <w:tcW w:w="4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w:t>
      </w:r>
    </w:p>
    <w:p>
      <w:pPr>
        <w:spacing w:after="0" w:line="90" w:lineRule="exact"/>
        <w:rPr>
          <w:sz w:val="20"/>
          <w:szCs w:val="20"/>
          <w:color w:val="auto"/>
        </w:rPr>
      </w:pPr>
    </w:p>
    <w:p>
      <w:pPr>
        <w:jc w:val="both"/>
        <w:ind w:left="340" w:right="80" w:hanging="332"/>
        <w:spacing w:after="0" w:line="234" w:lineRule="auto"/>
        <w:tabs>
          <w:tab w:leader="none" w:pos="32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Represents the principal amounts outstanding as of June 30, 2021. Includes estimated interest payments, calculated using the variable rate in existence at period end over an assumed holding period of 90 days. Borrowings under the senior revolving credit facilities are payable as the related inventory is sold. The payment is expected to be within one year of June 30, 2021.</w:t>
      </w:r>
    </w:p>
    <w:p>
      <w:pPr>
        <w:spacing w:after="0" w:line="94" w:lineRule="exact"/>
        <w:rPr>
          <w:rFonts w:ascii="Arial" w:cs="Arial" w:eastAsia="Arial" w:hAnsi="Arial"/>
          <w:sz w:val="23"/>
          <w:szCs w:val="23"/>
          <w:color w:val="auto"/>
          <w:vertAlign w:val="superscript"/>
        </w:rPr>
      </w:pPr>
    </w:p>
    <w:p>
      <w:pPr>
        <w:ind w:left="340" w:right="440" w:hanging="332"/>
        <w:spacing w:after="0" w:line="227" w:lineRule="auto"/>
        <w:tabs>
          <w:tab w:leader="none" w:pos="32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Represents the principal amounts outstanding as of June 30, 2021 and interest payments assuming the principal balances remain outstanding until maturity. The final maturity dates of the senior and mezzanine term debt facilities vary, as discussed above.</w:t>
      </w:r>
    </w:p>
    <w:p>
      <w:pPr>
        <w:spacing w:after="0" w:line="94" w:lineRule="exact"/>
        <w:rPr>
          <w:rFonts w:ascii="Arial" w:cs="Arial" w:eastAsia="Arial" w:hAnsi="Arial"/>
          <w:sz w:val="23"/>
          <w:szCs w:val="23"/>
          <w:color w:val="auto"/>
          <w:vertAlign w:val="superscript"/>
        </w:rPr>
      </w:pPr>
    </w:p>
    <w:p>
      <w:pPr>
        <w:ind w:left="340" w:hanging="332"/>
        <w:spacing w:after="0" w:line="234" w:lineRule="auto"/>
        <w:tabs>
          <w:tab w:leader="none" w:pos="32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Represents the principal amounts outstanding as of June 30, 2021. The facility provides short-term financing between the origination of a mortgage loan and when Opendoor Home Loans sells the loan to an investor. Included estimated interest payments, calculated using the variable rate in existence at period end over the Company’s average holding period for mortgage loans.</w:t>
      </w:r>
    </w:p>
    <w:p>
      <w:pPr>
        <w:spacing w:after="0" w:line="60"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As of June 30, 2021, we were under contract to purchase 8,158 homes for an aggregate purchase price of $2,962.3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have any off-balance sheet arrangements as of June 30,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80" w:firstLine="405"/>
        <w:spacing w:after="0" w:line="275" w:lineRule="auto"/>
        <w:rPr>
          <w:sz w:val="20"/>
          <w:szCs w:val="20"/>
          <w:color w:val="auto"/>
        </w:rPr>
      </w:pPr>
      <w:r>
        <w:rPr>
          <w:rFonts w:ascii="Arial" w:cs="Arial" w:eastAsia="Arial" w:hAnsi="Arial"/>
          <w:sz w:val="17"/>
          <w:szCs w:val="17"/>
          <w:color w:val="auto"/>
        </w:rPr>
        <w:t>Discussion and analysis of our financial condition and results of operations are based on our financial statements, which have been prepared in accordance with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 under different assumptions or conditions.</w:t>
      </w:r>
    </w:p>
    <w:p>
      <w:pPr>
        <w:spacing w:after="0" w:line="176" w:lineRule="exact"/>
        <w:rPr>
          <w:sz w:val="20"/>
          <w:szCs w:val="20"/>
          <w:color w:val="auto"/>
        </w:rPr>
      </w:pPr>
    </w:p>
    <w:p>
      <w:pPr>
        <w:ind w:right="240" w:firstLine="405"/>
        <w:spacing w:after="0" w:line="272" w:lineRule="auto"/>
        <w:rPr>
          <w:sz w:val="20"/>
          <w:szCs w:val="20"/>
          <w:color w:val="auto"/>
        </w:rPr>
      </w:pPr>
      <w:r>
        <w:rPr>
          <w:rFonts w:ascii="Arial" w:cs="Arial" w:eastAsia="Arial" w:hAnsi="Arial"/>
          <w:sz w:val="17"/>
          <w:szCs w:val="17"/>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condensed consolidated financial statements. Based on this definition, critical accounting policies and estimates are discussed in “</w:t>
      </w:r>
      <w:r>
        <w:rPr>
          <w:rFonts w:ascii="Arial" w:cs="Arial" w:eastAsia="Arial" w:hAnsi="Arial"/>
          <w:sz w:val="17"/>
          <w:szCs w:val="17"/>
          <w:i w:val="1"/>
          <w:iCs w:val="1"/>
          <w:color w:val="auto"/>
        </w:rPr>
        <w:t>Part II – Item 7. 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Analysis of Financial Condition and Results of Operations – Critical Accounting Policies and Estimates</w:t>
      </w:r>
      <w:r>
        <w:rPr>
          <w:rFonts w:ascii="Arial" w:cs="Arial" w:eastAsia="Arial" w:hAnsi="Arial"/>
          <w:sz w:val="17"/>
          <w:szCs w:val="17"/>
          <w:color w:val="auto"/>
        </w:rPr>
        <w:t>” in the Annual Report. There have been no</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changes to these critical accounting estimates during the first six months of 2021, except as noted below. In addition, we have other key accounting policies and estimates that are described in “</w:t>
      </w:r>
      <w:r>
        <w:rPr>
          <w:rFonts w:ascii="Arial" w:cs="Arial" w:eastAsia="Arial" w:hAnsi="Arial"/>
          <w:sz w:val="17"/>
          <w:szCs w:val="17"/>
          <w:i w:val="1"/>
          <w:iCs w:val="1"/>
          <w:color w:val="auto"/>
        </w:rPr>
        <w:t>Part I – Item 1. Financial Statements –Notes to Condensed Consolidated Financial Statements –</w:t>
      </w:r>
      <w:r>
        <w:rPr>
          <w:rFonts w:ascii="Arial" w:cs="Arial" w:eastAsia="Arial" w:hAnsi="Arial"/>
          <w:sz w:val="17"/>
          <w:szCs w:val="17"/>
          <w:color w:val="auto"/>
        </w:rPr>
        <w:t xml:space="preserve"> </w:t>
      </w:r>
      <w:r>
        <w:rPr>
          <w:rFonts w:ascii="Arial" w:cs="Arial" w:eastAsia="Arial" w:hAnsi="Arial"/>
          <w:sz w:val="17"/>
          <w:szCs w:val="17"/>
          <w:i w:val="1"/>
          <w:iCs w:val="1"/>
          <w:color w:val="auto"/>
        </w:rPr>
        <w:t>Note 1. Description of Business and Accounting Policies</w:t>
      </w:r>
      <w:r>
        <w:rPr>
          <w:rFonts w:ascii="Arial" w:cs="Arial" w:eastAsia="Arial" w:hAnsi="Arial"/>
          <w:sz w:val="17"/>
          <w:szCs w:val="17"/>
          <w:color w:val="auto"/>
        </w:rPr>
        <w:t>”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and Sponsor Warrants</w:t>
      </w:r>
    </w:p>
    <w:p>
      <w:pPr>
        <w:spacing w:after="0" w:line="225"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On April 30, 2020, SCH consummated its initial public offering of 41,400,000 units, consisting of one share of Class A common stock and one third of one warrant exercisable for Class A common stock, at a price of $10.00 per unit. Each whole warrant entitles the holder to purchase one share of Class A common stock at an exercise price of $11.50 per share (the “Public Warrants”). Simultaneously with the closing of the IPO, SCH completed the private placement of 6,133,333 warrants to SCH’s sponsor at a price of $1.50 per warrant (the “Sponsor Warrants”). Each Sponsor Warrant allows the sponsor to purchase one share of Class A common stock at $11.50 per share. As of December 31, 2020, there were 19,933,333 warrants outstanding.</w:t>
      </w:r>
    </w:p>
    <w:p>
      <w:pPr>
        <w:spacing w:after="0" w:line="16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Sponsor Warrants and shares of common stock issuable upon the exercise of Sponsor Warrants may not be transferred, assigned, or sold until 30 days after the completion of a Business Combination. Additionally, the Sponsor Warrants are eligible for cash and cashless exercises, at the holder’s option, and are redeemable only if the Reference Value, as defined in the Warrant Agreement, is less than $18.00 per share. If the Sponsor Warrants are held by someone other than the sponsors and certain permitted transferees, the Sponsor Warrants will redeemable and exercisable on the same basis as the Public Warrants.</w:t>
      </w:r>
    </w:p>
    <w:p>
      <w:pPr>
        <w:spacing w:after="0" w:line="188"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 xml:space="preserve">We evaluated the Public and Sponsor Warrants under ASC 815-40, </w:t>
      </w:r>
      <w:r>
        <w:rPr>
          <w:rFonts w:ascii="Arial" w:cs="Arial" w:eastAsia="Arial" w:hAnsi="Arial"/>
          <w:sz w:val="16"/>
          <w:szCs w:val="16"/>
          <w:i w:val="1"/>
          <w:iCs w:val="1"/>
          <w:color w:val="auto"/>
        </w:rPr>
        <w:t>Derivatives and Hedging-Contracts in Entity’s Own Equity</w:t>
      </w:r>
      <w:r>
        <w:rPr>
          <w:rFonts w:ascii="Arial" w:cs="Arial" w:eastAsia="Arial" w:hAnsi="Arial"/>
          <w:sz w:val="16"/>
          <w:szCs w:val="16"/>
          <w:color w:val="auto"/>
        </w:rPr>
        <w:t>, and concluded that the Sponsor Warrants do not meet the criteria to be classified in shareholders’ equity. Specifically the exercise and settlement features for the Sponsor Warrants preclude them from being considered indexed to the Company’s own stock given that a change in the holder of the Sponsor Warrants may alter the settlement of the Sponsor Warrants. Since the holder of the instrument is not an input to a standard option pricing model, a consideration with respect to the indexation guidance, a change in the holder for the Sponsor Warrants impacting their value means the Sponsor Warrants are not indexed to the Company’s own stock. Since the Private Warrants meet the definition of a derivative under ASC 815, we recorded these warrants as liabilities on the balance sheet at fair value upon the consummation of the Business Combination, with subsequent changes in their respective fair values recognized in the condensed consolidated statement of operations at each reporting period. The Company concluded that the Public Warrants, which do not have the same exercise and settlement features as the Sponsor Warrants, meet the criteria to be classified in shareholders' equity.</w:t>
      </w:r>
    </w:p>
    <w:p>
      <w:pPr>
        <w:spacing w:after="0" w:line="166" w:lineRule="exact"/>
        <w:rPr>
          <w:sz w:val="20"/>
          <w:szCs w:val="20"/>
          <w:color w:val="auto"/>
        </w:rPr>
      </w:pPr>
    </w:p>
    <w:p>
      <w:pPr>
        <w:ind w:right="260" w:firstLine="405"/>
        <w:spacing w:after="0" w:line="263" w:lineRule="auto"/>
        <w:rPr>
          <w:sz w:val="20"/>
          <w:szCs w:val="20"/>
          <w:color w:val="auto"/>
        </w:rPr>
      </w:pPr>
      <w:r>
        <w:rPr>
          <w:rFonts w:ascii="Arial" w:cs="Arial" w:eastAsia="Arial" w:hAnsi="Arial"/>
          <w:sz w:val="18"/>
          <w:szCs w:val="18"/>
          <w:color w:val="auto"/>
        </w:rPr>
        <w:t>The Public Warrants are publicly traded and thus had an observable market price</w:t>
      </w:r>
      <w:r>
        <w:rPr>
          <w:rFonts w:ascii="Arial" w:cs="Arial" w:eastAsia="Arial" w:hAnsi="Arial"/>
          <w:sz w:val="18"/>
          <w:szCs w:val="18"/>
          <w:i w:val="1"/>
          <w:iCs w:val="1"/>
          <w:color w:val="auto"/>
        </w:rPr>
        <w:t>.</w:t>
      </w:r>
      <w:r>
        <w:rPr>
          <w:rFonts w:ascii="Arial" w:cs="Arial" w:eastAsia="Arial" w:hAnsi="Arial"/>
          <w:sz w:val="18"/>
          <w:szCs w:val="18"/>
          <w:color w:val="auto"/>
        </w:rPr>
        <w:t xml:space="preserve"> As of June 30, 2021, following the Company providing notice of redemption with respect to the Public Warrants and the Sponsor Warrants on June 9, 2021, the Company valued the Sponsor Warrants based upon their settlement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For information on recent accounting standards, see “</w:t>
      </w:r>
      <w:r>
        <w:rPr>
          <w:rFonts w:ascii="Arial" w:cs="Arial" w:eastAsia="Arial" w:hAnsi="Arial"/>
          <w:sz w:val="18"/>
          <w:szCs w:val="18"/>
          <w:i w:val="1"/>
          <w:iCs w:val="1"/>
          <w:color w:val="auto"/>
        </w:rPr>
        <w:t>Part I – Item 1. Financial Statements – Notes to Condensed Consolidated Financial 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 Note 1. Description of Business and Accounting Policies”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are exposed to market risks in the ordinary course of our business. These risks primarily consist of fluctuations in interest rates.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We are subject to market risk by way of changes in interest rates on borrowings under our inventory financing facilities and mortgage financing repurchase agreement. As of June 30, 2021 and December 31, 2020 we had outstanding borrowings of $1,690.9 million and $346.3 million, respectively, which bear interest at a floating rate based on a London Interbank Offered Rate (“LIBOR”) reference rate plus an applicable margin. Accordingly, fluctuations in market interest rates may increase or decrease our interest expense. We may use interest rate cap derivatives, interest rate swaps or other interest rate hedging instruments to economically hedge and manage interest rate risk with respect to our variable floating rate debt. Many of our floating rate debt facilities also have LIBOR floors. Assuming no change in the outstanding borrowings on our credit facilities, we estimate that a one percentage point increase in LIBOR would increase our annual interest expense by approximately $13.9 million and $4.4 million as of June 30, 2021 and December 31, 2020, respectively.</w:t>
      </w:r>
    </w:p>
    <w:p>
      <w:pPr>
        <w:spacing w:after="0" w:line="192" w:lineRule="exact"/>
        <w:rPr>
          <w:sz w:val="20"/>
          <w:szCs w:val="20"/>
          <w:color w:val="auto"/>
        </w:rPr>
      </w:pPr>
    </w:p>
    <w:p>
      <w:pPr>
        <w:ind w:right="80" w:firstLine="405"/>
        <w:spacing w:after="0" w:line="275" w:lineRule="auto"/>
        <w:rPr>
          <w:sz w:val="20"/>
          <w:szCs w:val="20"/>
          <w:color w:val="auto"/>
        </w:rPr>
      </w:pPr>
      <w:r>
        <w:rPr>
          <w:rFonts w:ascii="Arial" w:cs="Arial" w:eastAsia="Arial" w:hAnsi="Arial"/>
          <w:sz w:val="17"/>
          <w:szCs w:val="17"/>
          <w:color w:val="auto"/>
        </w:rPr>
        <w:t>In July 2017 the U.K. Financial Conduct Authority announced its intention to phase out LIBOR rates by the end of 2021. It is not possible to predict the effect of any changes in the methods by which the LIBOR is determined, or any other reforms to LIBOR that may be enacted in the United States or elsewhere. Such developments may cause LIBOR to perform differently than in the past, including sudden or prolonged increases or decreases in LIBOR, or cease to exist, resulting in the application of a successor base rate under our senior revolving credit facilities, which in turn could have unpredictable effects on our interest payment obligations under our senior revolving credit facilities.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25"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If our costs were to become subject to significant inflationary pressures, we may not be able to fully offset such higher costs through price increases. Our inability to do so could harm our business, results of operations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Exchange Act, as of the end of the period covered by this Quarterly Report on Form 10-Q. Based on that evaluation, our Chief Executive Officer and Chief Financial Officer concluded that as of June 30, 2021, due to the material weaknesses described below, our disclosure controls and procedures were not effective at the reasonable assurance level.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w:t>
      </w:r>
    </w:p>
    <w:p>
      <w:pPr>
        <w:spacing w:after="0" w:line="229"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Management identified the following control deficiencies that constituted a material weakness in our internal control over financial reporting for the year ended December 31, 2020 related to our general information technology controls, including the design and implementation of access and change management controls. Additionally, key components of the Internal Control Integrated Framework issued by the Committee of Sponsoring Organizations of the Treadway Commission (“COSO”) have not been fully implemented, including control and monitoring activities related to: (1) electing and developing general controls activities over technology to support the achievement of objectives; and (2) electing, developing, and performing ongoing and/or separate evaluations to ascertain whether the components of internal control are present and functioning.</w:t>
      </w: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9" w:right="39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The material weakness identified in our internal control over financial reporting primarily related to insufficient Information Technology (“IT”) general controls over our accounting and proprietary systems used in our financial reporting process. Specifically, our systems lacked controls over access and program change management that are needed to ensure access to financial data is adequately restricted to appropriate personnel.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Activities</w:t>
      </w:r>
    </w:p>
    <w:p>
      <w:pPr>
        <w:spacing w:after="0" w:line="229"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Management has been actively engaged in remediating the above described material weakness since the fourth quarter of 2020. In conjunction with the implementation of our Sarbanes-Oxley Compliance program, we have made significant progress in implementing remedial actions during the six months ended June 30, 2021, which included the following:</w:t>
      </w:r>
    </w:p>
    <w:p>
      <w:pPr>
        <w:spacing w:after="0" w:line="184" w:lineRule="exact"/>
        <w:rPr>
          <w:sz w:val="20"/>
          <w:szCs w:val="20"/>
          <w:color w:val="auto"/>
        </w:rPr>
      </w:pPr>
    </w:p>
    <w:p>
      <w:pPr>
        <w:ind w:left="660" w:right="1000" w:hanging="328"/>
        <w:spacing w:after="0" w:line="25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Chief Information Security Officer has implemented certain key policies and processes to strengthen our information technology environment;</w:t>
      </w:r>
    </w:p>
    <w:p>
      <w:pPr>
        <w:spacing w:after="0" w:line="1" w:lineRule="exact"/>
        <w:rPr>
          <w:rFonts w:ascii="Arial" w:cs="Arial" w:eastAsia="Arial" w:hAnsi="Arial"/>
          <w:sz w:val="18"/>
          <w:szCs w:val="18"/>
          <w:color w:val="auto"/>
        </w:rPr>
      </w:pPr>
    </w:p>
    <w:p>
      <w:pPr>
        <w:ind w:left="660" w:right="54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a comprehensive risk assessment that identified material financial reporting risks, we have identified and documented appropriate business processes and controls and also strengthened related policies and procedures; and</w:t>
      </w:r>
    </w:p>
    <w:p>
      <w:pPr>
        <w:spacing w:after="0" w:line="26" w:lineRule="exact"/>
        <w:rPr>
          <w:rFonts w:ascii="Arial" w:cs="Arial" w:eastAsia="Arial" w:hAnsi="Arial"/>
          <w:sz w:val="18"/>
          <w:szCs w:val="18"/>
          <w:color w:val="auto"/>
        </w:rPr>
      </w:pPr>
    </w:p>
    <w:p>
      <w:pPr>
        <w:ind w:left="660" w:right="400" w:hanging="328"/>
        <w:spacing w:after="0" w:line="232"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Addressed segregation of duties conflicts by segregating conflicting roles and removing unnecessary user access and implemented access and change management controls, including ticketing processes, for many key systems.</w:t>
      </w:r>
    </w:p>
    <w:p>
      <w:pPr>
        <w:spacing w:after="0" w:line="203"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As of June 30, 2021, management is continuing its remediation efforts focused on implementing new or redesigning existing controls and completing the controls documentation, which will be followed by our internal control effectiveness assessments.</w:t>
      </w:r>
    </w:p>
    <w:p>
      <w:pPr>
        <w:spacing w:after="0" w:line="170"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In addition, as a result of the correction of prior period amounts as described in “</w:t>
      </w:r>
      <w:r>
        <w:rPr>
          <w:rFonts w:ascii="Arial" w:cs="Arial" w:eastAsia="Arial" w:hAnsi="Arial"/>
          <w:sz w:val="16"/>
          <w:szCs w:val="16"/>
          <w:i w:val="1"/>
          <w:iCs w:val="1"/>
          <w:color w:val="auto"/>
        </w:rPr>
        <w:t>Part I – Item 1. Financial Statements –Notes to Condensed</w:t>
      </w:r>
      <w:r>
        <w:rPr>
          <w:rFonts w:ascii="Arial" w:cs="Arial" w:eastAsia="Arial" w:hAnsi="Arial"/>
          <w:sz w:val="16"/>
          <w:szCs w:val="16"/>
          <w:color w:val="auto"/>
        </w:rPr>
        <w:t xml:space="preserve"> </w:t>
      </w:r>
      <w:r>
        <w:rPr>
          <w:rFonts w:ascii="Arial" w:cs="Arial" w:eastAsia="Arial" w:hAnsi="Arial"/>
          <w:sz w:val="16"/>
          <w:szCs w:val="16"/>
          <w:i w:val="1"/>
          <w:iCs w:val="1"/>
          <w:color w:val="auto"/>
        </w:rPr>
        <w:t>Consolidated Financial Statements – Note 1. Description of Business and Accounting Policies</w:t>
      </w:r>
      <w:r>
        <w:rPr>
          <w:rFonts w:ascii="Arial" w:cs="Arial" w:eastAsia="Arial" w:hAnsi="Arial"/>
          <w:sz w:val="16"/>
          <w:szCs w:val="16"/>
          <w:color w:val="auto"/>
        </w:rPr>
        <w:t>” management has concluded that the Company had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additional material weakness as of December 31, 2020 related to the accounting and classification of significant and unusual transactions. The significant &amp; unusual transaction review performed to evaluate the accounting for the Business Combination was incomplete in that a thorough analysis of the Warrants was not performed under Accounting Standards Codification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815”). Specifically, while the equity classification of warrants with provisions similar to those of the Sponsor Warrants was historically broadly accepted industry practice, our management did not sufficiently analyze the propriety of this classification and did not identify the error in this accounting practice until the SEC’s issuance of the Staff Statement on April 12, 2021. This material weakness resulted in the correction of our consolidated financial statements as of and for the year ended December 31, 2020. This deficiency is a result of our previously smaller accounting team as a private company coupled with insufficient controls to ensure the completeness of all material components of each significant and unusual transaction evaluated. To remediate this material weakness we:</w:t>
      </w:r>
    </w:p>
    <w:p>
      <w:pPr>
        <w:spacing w:after="0" w:line="168" w:lineRule="exact"/>
        <w:rPr>
          <w:sz w:val="20"/>
          <w:szCs w:val="20"/>
          <w:color w:val="auto"/>
        </w:rPr>
      </w:pPr>
    </w:p>
    <w:p>
      <w:pPr>
        <w:ind w:left="660" w:right="200" w:hanging="328"/>
        <w:spacing w:after="0" w:line="258" w:lineRule="auto"/>
        <w:tabs>
          <w:tab w:leader="none" w:pos="655"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hired additional personnel subsequent to the Business Combination and are continuing to expand our team in order to have sufficient capacity to thoroughly evaluate all material components of each significant and unusual transaction; and</w:t>
      </w:r>
    </w:p>
    <w:p>
      <w:pPr>
        <w:spacing w:after="0" w:line="1" w:lineRule="exact"/>
        <w:rPr>
          <w:rFonts w:ascii="Arial" w:cs="Arial" w:eastAsia="Arial" w:hAnsi="Arial"/>
          <w:sz w:val="18"/>
          <w:szCs w:val="18"/>
          <w:b w:val="1"/>
          <w:bCs w:val="1"/>
          <w:color w:val="auto"/>
        </w:rPr>
      </w:pPr>
    </w:p>
    <w:p>
      <w:pPr>
        <w:ind w:left="660" w:right="40" w:hanging="328"/>
        <w:spacing w:after="0" w:line="25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revisited our controls over accounting for significant and unusual transactions in conjunction with the implementation of the Company's Sarbanes-Oxley Compliance program in 2021. The Company has enhanced these controls with a focus on ensuring the analysis is complete and includes each of the material components of the transaction and needs to evaluate the enhanced controls for a period of effectiveness before they can be deemed remediated.</w:t>
      </w:r>
    </w:p>
    <w:p>
      <w:pPr>
        <w:spacing w:after="0" w:line="193" w:lineRule="exact"/>
        <w:rPr>
          <w:sz w:val="20"/>
          <w:szCs w:val="20"/>
          <w:color w:val="auto"/>
        </w:rPr>
      </w:pPr>
    </w:p>
    <w:p>
      <w:pPr>
        <w:ind w:right="180" w:firstLine="405"/>
        <w:spacing w:after="0" w:line="296" w:lineRule="auto"/>
        <w:rPr>
          <w:sz w:val="20"/>
          <w:szCs w:val="20"/>
          <w:color w:val="auto"/>
        </w:rPr>
      </w:pPr>
      <w:r>
        <w:rPr>
          <w:rFonts w:ascii="Arial" w:cs="Arial" w:eastAsia="Arial" w:hAnsi="Arial"/>
          <w:sz w:val="16"/>
          <w:szCs w:val="16"/>
          <w:color w:val="auto"/>
        </w:rPr>
        <w:t>The process of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obligations. As we continue to evaluate and take actions to improve our internal control over financial reporting, we may take additional actions to address control deficiencies or modify certain of the remediation measures described above. Our management and board of directors will continue to work with our auditors and other outside advisors to ensure that our controls and procedures are adequate and effective.</w:t>
      </w:r>
    </w:p>
    <w:p>
      <w:pPr>
        <w:spacing w:after="0" w:line="161" w:lineRule="exact"/>
        <w:rPr>
          <w:sz w:val="20"/>
          <w:szCs w:val="20"/>
          <w:color w:val="auto"/>
        </w:rPr>
      </w:pPr>
    </w:p>
    <w:p>
      <w:pPr>
        <w:ind w:right="340" w:firstLine="405"/>
        <w:spacing w:after="0" w:line="257" w:lineRule="auto"/>
        <w:rPr>
          <w:sz w:val="20"/>
          <w:szCs w:val="20"/>
          <w:color w:val="auto"/>
        </w:rPr>
      </w:pPr>
      <w:r>
        <w:rPr>
          <w:rFonts w:ascii="Arial" w:cs="Arial" w:eastAsia="Arial" w:hAnsi="Arial"/>
          <w:sz w:val="18"/>
          <w:szCs w:val="18"/>
          <w:color w:val="auto"/>
        </w:rPr>
        <w:t>While significant progress has been made to enhance our internal control over financial reporting, we are still in the process of implementing, documenting and testing these processes, procedures and controls. Additional time is required to complete implementation and to assess and ensure the sustainability of these procedures. We believe the above actions will be effective in remediating the material weaknesses described above and we will continue to devote significant time and attention to these remedial efforts. However, the material weaknesses cannot be considered remediated until the applicable remedial</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controls operate for a sufficient period of time and management has concluded, through testing, that these controls are operating effectively.</w:t>
      </w:r>
    </w:p>
    <w:p>
      <w:pPr>
        <w:spacing w:after="0" w:line="237" w:lineRule="exact"/>
        <w:rPr>
          <w:sz w:val="20"/>
          <w:szCs w:val="20"/>
          <w:color w:val="auto"/>
        </w:rPr>
      </w:pPr>
    </w:p>
    <w:p>
      <w:pPr>
        <w:ind w:right="360" w:firstLine="405"/>
        <w:spacing w:after="0" w:line="308" w:lineRule="auto"/>
        <w:rPr>
          <w:sz w:val="20"/>
          <w:szCs w:val="20"/>
          <w:color w:val="auto"/>
        </w:rPr>
      </w:pPr>
      <w:r>
        <w:rPr>
          <w:rFonts w:ascii="Arial" w:cs="Arial" w:eastAsia="Arial" w:hAnsi="Arial"/>
          <w:sz w:val="17"/>
          <w:szCs w:val="17"/>
          <w:color w:val="auto"/>
        </w:rPr>
        <w:t>Notwithstanding the material weaknesses, management has concluded that the financial statements included elsewhere in this Quarterly Report present fairly, in all material respects, our financial position, results of operations and cash flows in conformity with GAAP.</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Other than as described above, there have been no material changes in our internal control over financial reporting in connection with the evaluation required by Rules 13a-15(d) and 15d-15(d) of the Exchange Act that occurred during the quarter ended June 30, 2021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9" w:right="49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In August 2019, the Federal Trade Commission (“FTC”) sent a civil investigative demand to Opendoor Labs Inc., our wholly-owned subsidiary, seeking documents and information relating primarily to statements in our advertising and website comparing selling homes to us with selling homes in a traditional manner using an agent and relating to statements that our offers reflect or are based on market prices. Thereafter, we responded cooperatively to the civil investigative demand and related follow-up requests from the FTC. On December 23, 2020, the FTC notified us that they intend to recommend that the agency pursue an enforcement action against us and certain of our officers, if we are unable to reach a negotiated settlement acceptable to all parties. The FTC has indicated that they believe certain of our advertising claims relating to the amount of our offers, the repair costs charged to home sellers, and the amount of net proceeds a seller may receive from selling to us versus selling in the traditional manner were inaccurate and/or inadequately substantiated. We are engaged in settlement negotiations with the FTC. There can be no assurances that we will be successful in negotiating a favorable settlement.</w:t>
      </w:r>
    </w:p>
    <w:p>
      <w:pPr>
        <w:spacing w:after="0" w:line="196"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In addition to the foregoing, we are currently and have in the past been subject to legal proceedings and regulatory actions in the ordinary course of business. We do not anticipate that the ultimate liability, if any, arising out of any such matters will have a material effect on our financial condition, results of operations or cash flows. In the future, we may be subject to further legal proceedings and regulatory actions in the ordinary course of business and we cannot predict whether any such proceeding or matter will have a material effect on our financial condition, results of operations or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i w:val="1"/>
          <w:iCs w:val="1"/>
          <w:color w:val="auto"/>
        </w:rPr>
        <w:t>In the course of conducting our business operations, we are exposed to a variety of risks. These risks are generally inherent to the U.S. residential real estate industry or otherwise generally impact iBuyers like us. Any of the risk factors we described in "Part I – Item 1A. Risk Factors," in our Annual Report or described below, have affected or could materially adversely affect our business, financial condition and results of operations. The market price of shares of our common stock could decline, possibly significantly or permanently, if one or more of these risks and uncertainties occurs. Certain statements in “Risk Factors” are forward-looking statements. See “Forward-Looking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Except as set forth below, there have been no material changes to the Company's risk factors since the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COVID-19 pandemic adversely affected our business in 2020. The extent to which COVID-19 will impact our future operations is uncertain and cannot be predicted at this time.</w:t>
      </w:r>
    </w:p>
    <w:p>
      <w:pPr>
        <w:spacing w:after="0" w:line="170"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Our success depends on a high volume of residential real estate transactions throughout the markets in which we operate. This transaction volume affects all of the ways that we generate revenue, including our ability to acquire new homes and generate associated service fees, our ability to sell homes that we own, the generation of commissions from our brokerage business, the number of loans our mortgage business originates and resells, and the number of transactions our title and settlement business closes. The COVID-19 pandemic significantly and adversely affected our business beginning in March 2020 when governmental authorities put in place limitations on in-person activities related to the sale of residential real estate. As a result of these restrictions and safety concerns for our customers and employees, we paused acquisitions of homes beginning in March 2020 and sold down the home inventory on our platform during the second and third quarters of 2020. We resumed making acquisitions of homes across all of our markets in August 2020.</w:t>
      </w:r>
    </w:p>
    <w:p>
      <w:pPr>
        <w:spacing w:after="0" w:line="19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Although we believe we have successfully adapted our operations to date to effectively execute on our business model during the ongoing COVID-19 pandemic, there remains uncertainty as to COVID-19’s overall impact on the U.S. economy, the impact of variants, future limitations that may be imposed by governmental authorities on processes and procedures attendant to residential real estate transactions as a result of COVID-19, and long-term trends in consumer spending on real estate transactions, among other things. We cannot predict the extent to which our transaction volumes and financial results may be adversely affected by the foregoing.</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and may identify additional material weaknesses in the future or fail to maintain an effective system of internal control over financial reporting, which may result in material misstatements of our consolidated financial statements or cause us to fail to meet our periodic reporting obligations.</w:t>
      </w:r>
    </w:p>
    <w:p>
      <w:pPr>
        <w:spacing w:after="0" w:line="184"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We have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As previously disclosed, we identified a material weakness related to our general information technology controls, including the design and implementation of access and change management controls. Additionally, key components of the Committee of Sponsoring Organizations of the Treadway Commission (“COSO”) framework have not been fully implemented, including control and monitoring activities relating to: (1) electing and developing general control activities over technology to support the achievement of objectives; and (2) electing, developing, and performing ongoing and/or separate evaluations to ascertain whether the components of internal control are present and functioning. We recently identified a further material weakness related to the accounting and classification of significant and unusual transactions, which led to the correction of prior period amounts described in “</w:t>
      </w:r>
      <w:r>
        <w:rPr>
          <w:rFonts w:ascii="Arial" w:cs="Arial" w:eastAsia="Arial" w:hAnsi="Arial"/>
          <w:sz w:val="17"/>
          <w:szCs w:val="17"/>
          <w:i w:val="1"/>
          <w:iCs w:val="1"/>
          <w:color w:val="auto"/>
        </w:rPr>
        <w:t>Part I – Item 1. Financial Statements –Notes to Condensed Consolidated Financial Statements –</w:t>
      </w:r>
      <w:r>
        <w:rPr>
          <w:rFonts w:ascii="Arial" w:cs="Arial" w:eastAsia="Arial" w:hAnsi="Arial"/>
          <w:sz w:val="17"/>
          <w:szCs w:val="17"/>
          <w:color w:val="auto"/>
        </w:rPr>
        <w:t xml:space="preserve"> </w:t>
      </w:r>
      <w:r>
        <w:rPr>
          <w:rFonts w:ascii="Arial" w:cs="Arial" w:eastAsia="Arial" w:hAnsi="Arial"/>
          <w:sz w:val="17"/>
          <w:szCs w:val="17"/>
          <w:i w:val="1"/>
          <w:iCs w:val="1"/>
          <w:color w:val="auto"/>
        </w:rPr>
        <w:t>Note 1. Description of Business and Accounting Policies</w:t>
      </w:r>
      <w:r>
        <w:rPr>
          <w:rFonts w:ascii="Arial" w:cs="Arial" w:eastAsia="Arial" w:hAnsi="Arial"/>
          <w:sz w:val="17"/>
          <w:szCs w:val="17"/>
          <w:color w:val="auto"/>
        </w:rPr>
        <w:t>.”</w:t>
      </w:r>
    </w:p>
    <w:p>
      <w:pPr>
        <w:spacing w:after="0" w:line="185" w:lineRule="exact"/>
        <w:rPr>
          <w:sz w:val="20"/>
          <w:szCs w:val="20"/>
          <w:color w:val="auto"/>
        </w:rPr>
      </w:pPr>
    </w:p>
    <w:p>
      <w:pPr>
        <w:ind w:right="180" w:firstLine="405"/>
        <w:spacing w:after="0" w:line="272" w:lineRule="auto"/>
        <w:rPr>
          <w:sz w:val="20"/>
          <w:szCs w:val="20"/>
          <w:color w:val="auto"/>
        </w:rPr>
      </w:pPr>
      <w:r>
        <w:rPr>
          <w:rFonts w:ascii="Arial" w:cs="Arial" w:eastAsia="Arial" w:hAnsi="Arial"/>
          <w:sz w:val="17"/>
          <w:szCs w:val="17"/>
          <w:color w:val="auto"/>
        </w:rPr>
        <w:t>We have engaged a third-party consultant, are in the process of designing and implementing measures to improve our internal control over financial reporting and have begun expanding our accounting, legal and IT security teams to remediate these material weaknesses. While we are designing and implementing measures to remediate the material weaknesses, we cannot predict the success of such measures or the outcome of our assessment of these measures at this time. We can give no assurance that these measures will remediate the deficiencies in internal control or that additional material weaknesses or significant deficiencies in our internal control over financial reporting will not be identified in the future. Our failure to implement and maintain effective internal control over financial reporting could result in errors in our financial statements that may lead to a restatement of our financial statements or cause us to fail to meet our reporting obligations.</w:t>
      </w:r>
    </w:p>
    <w:p>
      <w:pPr>
        <w:spacing w:after="0" w:line="177"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As a public company, beginning with our second annual report on Form 10-K, we will be required, pursuant to Section 404 of the Sarbanes-Oxley Act, to furnish a report by management on, among other things, the effectiveness of our internal control over financial reporting for future annual reports on Form 10-K to be filed with the SEC. This assessment will need to include disclosure of any material weaknesses identified by our management in our internal control over financial reporting. Our independent registered public accounting firm will also be required to attest to the effectiveness of our internal control over financial reporting in future annual reports on Form 10-K to be filed with the SEC. We will be required to disclose changes made in our internal controls and procedures on a quarterly basis. Failure to comply with the Sarbanes-Oxley Act could potentially subject us to sanctions or investigations by the SEC, the applicable stock exchange or other regulatory authorities, which would require additional financial and management resources. We have begun the process of compiling the system and processing documentation necessary to perform the evaluation needed to comply with Section 404 in the future, but we may not be able to complete our evaluation, testing and any required remediation in a timely fashion.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jc w:val="center"/>
        <w:ind w:right="99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360" w:firstLine="405"/>
        <w:spacing w:after="0" w:line="311" w:lineRule="auto"/>
        <w:rPr>
          <w:sz w:val="20"/>
          <w:szCs w:val="20"/>
          <w:color w:val="auto"/>
        </w:rPr>
      </w:pPr>
      <w:r>
        <w:rPr>
          <w:rFonts w:ascii="Arial" w:cs="Arial" w:eastAsia="Arial" w:hAnsi="Arial"/>
          <w:sz w:val="16"/>
          <w:szCs w:val="16"/>
          <w:color w:val="auto"/>
        </w:rPr>
        <w:t>On April 30, 2020, SCH consummated its initial public offering, generating total gross proceeds of $414.0 million, inclusive of units sold to the underwriters in connection with the exercise of their over-allotment option in full. Simultaneously with the consummation of the initial public offering, SCH consummated a private placement of warrants to its sponsor, SCH Sponsor II LLC, generating total additional proceeds of $9.2 million.</w:t>
      </w:r>
    </w:p>
    <w:p>
      <w:pPr>
        <w:spacing w:after="0" w:line="149" w:lineRule="exact"/>
        <w:rPr>
          <w:sz w:val="20"/>
          <w:szCs w:val="20"/>
          <w:color w:val="auto"/>
        </w:rPr>
      </w:pPr>
    </w:p>
    <w:p>
      <w:pPr>
        <w:ind w:right="360" w:firstLine="405"/>
        <w:spacing w:after="0" w:line="263" w:lineRule="auto"/>
        <w:rPr>
          <w:sz w:val="20"/>
          <w:szCs w:val="20"/>
          <w:color w:val="auto"/>
        </w:rPr>
      </w:pPr>
      <w:r>
        <w:rPr>
          <w:rFonts w:ascii="Arial" w:cs="Arial" w:eastAsia="Arial" w:hAnsi="Arial"/>
          <w:sz w:val="18"/>
          <w:szCs w:val="18"/>
          <w:color w:val="auto"/>
        </w:rPr>
        <w:t>Following the initial public offering and the sale of the private placement warrants, a total of $414.0 million was placed in a trust account. After deducting payments to existing shareholders of $0.1 million in connection with their exercise of redemption rights, the payment of the $14.5 million of deferred underwriting fees and a total of $22.9 million in expenses in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connection with the Business Combination paid from the trust account, the remainder of the trust account was transferred to our balance sheet to fund our operations and continued growth. As of the date of this Quarterly Report on Form 10-Q, the proceeds of these transactions have been fully applied.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3"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following tables showing the correction of prior period amounts should be read in conjunction with Note 1 to our condensed consolidated financial statements in this Quarterly Report on Form 10-Q. This correction affected our consolidated balance sheet, consolidated statement of operations, consolidated statement of changes in temporary equity and shareholders’ equity (deficit) and consolidated statement of cash flows for year ended December 31, 2020.</w:t>
      </w:r>
    </w:p>
    <w:p>
      <w:pPr>
        <w:spacing w:after="0" w:line="187"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The Company determined, based on consideration of quantitative and qualitative factors, that the error had an immaterial impact, individually and in aggregate. As such, the Company corrected its accounting for Sponsor Warrants in its Quarterly Report on Form 10-Q for the quarters ended March 31, 2021 and June 30, 2021.</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provides the impact of the correction on the Company's consolidated balance sheet as of December 31, 2020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As of December 31, 2020</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
        </w:trPr>
        <w:tc>
          <w:tcPr>
            <w:tcW w:w="6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6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Previously Stated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Adjustments</w:t>
            </w:r>
          </w:p>
        </w:tc>
        <w:tc>
          <w:tcPr>
            <w:tcW w:w="220" w:type="dxa"/>
            <w:vAlign w:val="bottom"/>
          </w:tcPr>
          <w:p>
            <w:pPr>
              <w:spacing w:after="0"/>
              <w:rPr>
                <w:sz w:val="16"/>
                <w:szCs w:val="16"/>
                <w:color w:val="auto"/>
              </w:rPr>
            </w:pPr>
          </w:p>
        </w:tc>
        <w:tc>
          <w:tcPr>
            <w:tcW w:w="1140" w:type="dxa"/>
            <w:vAlign w:val="bottom"/>
          </w:tcPr>
          <w:p>
            <w:pPr>
              <w:jc w:val="right"/>
              <w:ind w:right="193"/>
              <w:spacing w:after="0"/>
              <w:rPr>
                <w:sz w:val="20"/>
                <w:szCs w:val="20"/>
                <w:color w:val="auto"/>
              </w:rPr>
            </w:pPr>
            <w:r>
              <w:rPr>
                <w:rFonts w:ascii="Arial" w:cs="Arial" w:eastAsia="Arial" w:hAnsi="Arial"/>
                <w:sz w:val="14"/>
                <w:szCs w:val="14"/>
                <w:b w:val="1"/>
                <w:bCs w:val="1"/>
                <w:color w:val="auto"/>
                <w:w w:val="95"/>
              </w:rPr>
              <w:t>As Corrected</w:t>
            </w:r>
          </w:p>
        </w:tc>
      </w:tr>
      <w:tr>
        <w:trPr>
          <w:trHeight w:val="25"/>
        </w:trPr>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47,349</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575,575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47,349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622,924</w:t>
            </w: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2,677,155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2,596,012</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(1,077,243)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33,794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(1,043,449)</w:t>
            </w: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1,600,007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1,552,658</w:t>
            </w:r>
          </w:p>
        </w:tc>
      </w:tr>
      <w:tr>
        <w:trPr>
          <w:trHeight w:val="512"/>
        </w:trPr>
        <w:tc>
          <w:tcPr>
            <w:tcW w:w="11240" w:type="dxa"/>
            <w:vAlign w:val="bottom"/>
            <w:gridSpan w:val="9"/>
          </w:tcPr>
          <w:p>
            <w:pPr>
              <w:ind w:left="420"/>
              <w:spacing w:after="0"/>
              <w:rPr>
                <w:sz w:val="20"/>
                <w:szCs w:val="20"/>
                <w:color w:val="auto"/>
              </w:rPr>
            </w:pPr>
            <w:r>
              <w:rPr>
                <w:rFonts w:ascii="Arial" w:cs="Arial" w:eastAsia="Arial" w:hAnsi="Arial"/>
                <w:sz w:val="18"/>
                <w:szCs w:val="18"/>
                <w:color w:val="auto"/>
                <w:w w:val="92"/>
              </w:rPr>
              <w:t>The following table provides the impact of the correction on the Company's consolidated statement of operations for the year ended December 31,</w:t>
            </w: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2020 (in thousands):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5"/>
        </w:trPr>
        <w:tc>
          <w:tcPr>
            <w:tcW w:w="6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6"/>
          </w:tcPr>
          <w:p>
            <w:pPr>
              <w:jc w:val="center"/>
              <w:ind w:left="934"/>
              <w:spacing w:after="0"/>
              <w:rPr>
                <w:sz w:val="20"/>
                <w:szCs w:val="20"/>
                <w:color w:val="auto"/>
              </w:rPr>
            </w:pPr>
            <w:r>
              <w:rPr>
                <w:rFonts w:ascii="Arial" w:cs="Arial" w:eastAsia="Arial" w:hAnsi="Arial"/>
                <w:sz w:val="14"/>
                <w:szCs w:val="14"/>
                <w:b w:val="1"/>
                <w:bCs w:val="1"/>
                <w:color w:val="auto"/>
                <w:w w:val="92"/>
              </w:rPr>
              <w:t>Year Ended December 31, 2020</w:t>
            </w:r>
          </w:p>
        </w:tc>
        <w:tc>
          <w:tcPr>
            <w:tcW w:w="1140" w:type="dxa"/>
            <w:vAlign w:val="bottom"/>
          </w:tcPr>
          <w:p>
            <w:pPr>
              <w:spacing w:after="0"/>
              <w:rPr>
                <w:sz w:val="24"/>
                <w:szCs w:val="24"/>
                <w:color w:val="auto"/>
              </w:rPr>
            </w:pPr>
          </w:p>
        </w:tc>
      </w:tr>
      <w:tr>
        <w:trPr>
          <w:trHeight w:val="25"/>
        </w:trPr>
        <w:tc>
          <w:tcPr>
            <w:tcW w:w="6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6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Previously Stated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Adjustments</w:t>
            </w:r>
          </w:p>
        </w:tc>
        <w:tc>
          <w:tcPr>
            <w:tcW w:w="220" w:type="dxa"/>
            <w:vAlign w:val="bottom"/>
          </w:tcPr>
          <w:p>
            <w:pPr>
              <w:spacing w:after="0"/>
              <w:rPr>
                <w:sz w:val="16"/>
                <w:szCs w:val="16"/>
                <w:color w:val="auto"/>
              </w:rPr>
            </w:pPr>
          </w:p>
        </w:tc>
        <w:tc>
          <w:tcPr>
            <w:tcW w:w="1140" w:type="dxa"/>
            <w:vAlign w:val="bottom"/>
          </w:tcPr>
          <w:p>
            <w:pPr>
              <w:jc w:val="right"/>
              <w:ind w:right="193"/>
              <w:spacing w:after="0"/>
              <w:rPr>
                <w:sz w:val="20"/>
                <w:szCs w:val="20"/>
                <w:color w:val="auto"/>
              </w:rPr>
            </w:pPr>
            <w:r>
              <w:rPr>
                <w:rFonts w:ascii="Arial" w:cs="Arial" w:eastAsia="Arial" w:hAnsi="Arial"/>
                <w:sz w:val="14"/>
                <w:szCs w:val="14"/>
                <w:b w:val="1"/>
                <w:bCs w:val="1"/>
                <w:color w:val="auto"/>
                <w:w w:val="95"/>
              </w:rPr>
              <w:t>As Corrected</w:t>
            </w:r>
          </w:p>
        </w:tc>
      </w:tr>
      <w:tr>
        <w:trPr>
          <w:trHeight w:val="25"/>
        </w:trPr>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AND WARRANT FAIR VALUE ADJUSTMENT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7,853</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(286,697)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33,794</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(252,903)</w:t>
            </w: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(286,760)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(252,966)</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Net loss per share attributable to common shareholders: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43"/>
        </w:trPr>
        <w:tc>
          <w:tcPr>
            <w:tcW w:w="6960" w:type="dxa"/>
            <w:vAlign w:val="bottom"/>
          </w:tcPr>
          <w:p>
            <w:pPr>
              <w:ind w:left="46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(2.31)</w:t>
            </w:r>
          </w:p>
        </w:tc>
      </w:tr>
    </w:tbl>
    <w:p>
      <w:pPr>
        <w:spacing w:after="0" w:line="310"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Other than changes made to reflect the impact of the recognition of the fair value of the Sponsor Warrants liability at the Closing Date to additional paid-in capital and the subsequent remeasurement of the fair value of the warrant liability at</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December 31, 2020 to accumulated deficit, there have been no changes to the Company's consolidated statement of temporary equity and shareholders’ equity (deficit)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5"/>
          </w:tcPr>
          <w:p>
            <w:pPr>
              <w:jc w:val="center"/>
              <w:ind w:left="937"/>
              <w:spacing w:after="0"/>
              <w:rPr>
                <w:sz w:val="20"/>
                <w:szCs w:val="20"/>
                <w:color w:val="auto"/>
              </w:rPr>
            </w:pPr>
            <w:r>
              <w:rPr>
                <w:rFonts w:ascii="Arial" w:cs="Arial" w:eastAsia="Arial" w:hAnsi="Arial"/>
                <w:sz w:val="14"/>
                <w:szCs w:val="14"/>
                <w:b w:val="1"/>
                <w:bCs w:val="1"/>
                <w:color w:val="auto"/>
                <w:w w:val="92"/>
              </w:rPr>
              <w:t>Year Ended December 31, 2020</w:t>
            </w:r>
          </w:p>
        </w:tc>
        <w:tc>
          <w:tcPr>
            <w:tcW w:w="1140" w:type="dxa"/>
            <w:vAlign w:val="bottom"/>
          </w:tcPr>
          <w:p>
            <w:pPr>
              <w:spacing w:after="0"/>
              <w:rPr>
                <w:sz w:val="16"/>
                <w:szCs w:val="16"/>
                <w:color w:val="auto"/>
              </w:rPr>
            </w:pPr>
          </w:p>
        </w:tc>
      </w:tr>
      <w:tr>
        <w:trPr>
          <w:trHeight w:val="26"/>
        </w:trPr>
        <w:tc>
          <w:tcPr>
            <w:tcW w:w="6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6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Previously Stated</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Adjustments</w:t>
            </w:r>
          </w:p>
        </w:tc>
        <w:tc>
          <w:tcPr>
            <w:tcW w:w="220" w:type="dxa"/>
            <w:vAlign w:val="bottom"/>
          </w:tcPr>
          <w:p>
            <w:pPr>
              <w:spacing w:after="0"/>
              <w:rPr>
                <w:sz w:val="16"/>
                <w:szCs w:val="16"/>
                <w:color w:val="auto"/>
              </w:rPr>
            </w:pPr>
          </w:p>
        </w:tc>
        <w:tc>
          <w:tcPr>
            <w:tcW w:w="1140" w:type="dxa"/>
            <w:vAlign w:val="bottom"/>
          </w:tcPr>
          <w:p>
            <w:pPr>
              <w:jc w:val="right"/>
              <w:ind w:right="195"/>
              <w:spacing w:after="0"/>
              <w:rPr>
                <w:sz w:val="20"/>
                <w:szCs w:val="20"/>
                <w:color w:val="auto"/>
              </w:rPr>
            </w:pPr>
            <w:r>
              <w:rPr>
                <w:rFonts w:ascii="Arial" w:cs="Arial" w:eastAsia="Arial" w:hAnsi="Arial"/>
                <w:sz w:val="14"/>
                <w:szCs w:val="14"/>
                <w:b w:val="1"/>
                <w:bCs w:val="1"/>
                <w:color w:val="auto"/>
                <w:w w:val="95"/>
              </w:rPr>
              <w:t>As Corrected</w:t>
            </w:r>
          </w:p>
        </w:tc>
      </w:tr>
      <w:tr>
        <w:trPr>
          <w:trHeight w:val="26"/>
        </w:trPr>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2,677,155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left="615"/>
              <w:spacing w:after="0"/>
              <w:rPr>
                <w:sz w:val="20"/>
                <w:szCs w:val="20"/>
                <w:color w:val="auto"/>
              </w:rPr>
            </w:pPr>
            <w:r>
              <w:rPr>
                <w:rFonts w:ascii="Arial" w:cs="Arial" w:eastAsia="Arial" w:hAnsi="Arial"/>
                <w:sz w:val="18"/>
                <w:szCs w:val="18"/>
                <w:color w:val="auto"/>
                <w:w w:val="92"/>
              </w:rPr>
              <w:t>(81,143)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2,596,012</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(1,077,243)</w:t>
            </w:r>
          </w:p>
        </w:tc>
        <w:tc>
          <w:tcPr>
            <w:tcW w:w="100" w:type="dxa"/>
            <w:vAlign w:val="bottom"/>
          </w:tcPr>
          <w:p>
            <w:pPr>
              <w:spacing w:after="0"/>
              <w:rPr>
                <w:sz w:val="21"/>
                <w:szCs w:val="21"/>
                <w:color w:val="auto"/>
              </w:rPr>
            </w:pPr>
          </w:p>
        </w:tc>
        <w:tc>
          <w:tcPr>
            <w:tcW w:w="1360" w:type="dxa"/>
            <w:vAlign w:val="bottom"/>
          </w:tcPr>
          <w:p>
            <w:pPr>
              <w:jc w:val="center"/>
              <w:ind w:left="655"/>
              <w:spacing w:after="0"/>
              <w:rPr>
                <w:sz w:val="20"/>
                <w:szCs w:val="20"/>
                <w:color w:val="auto"/>
              </w:rPr>
            </w:pPr>
            <w:r>
              <w:rPr>
                <w:rFonts w:ascii="Arial" w:cs="Arial" w:eastAsia="Arial" w:hAnsi="Arial"/>
                <w:sz w:val="18"/>
                <w:szCs w:val="18"/>
                <w:color w:val="auto"/>
                <w:w w:val="90"/>
              </w:rPr>
              <w:t>33,794</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(1,043,449)</w:t>
            </w: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1,600,007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left="615"/>
              <w:spacing w:after="0"/>
              <w:rPr>
                <w:sz w:val="20"/>
                <w:szCs w:val="20"/>
                <w:color w:val="auto"/>
              </w:rPr>
            </w:pPr>
            <w:r>
              <w:rPr>
                <w:rFonts w:ascii="Arial" w:cs="Arial" w:eastAsia="Arial" w:hAnsi="Arial"/>
                <w:sz w:val="18"/>
                <w:szCs w:val="18"/>
                <w:color w:val="auto"/>
                <w:w w:val="92"/>
              </w:rPr>
              <w:t>(47,349)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1,552,658</w:t>
            </w:r>
          </w:p>
        </w:tc>
      </w:tr>
      <w:tr>
        <w:trPr>
          <w:trHeight w:val="512"/>
        </w:trPr>
        <w:tc>
          <w:tcPr>
            <w:tcW w:w="11240" w:type="dxa"/>
            <w:vAlign w:val="bottom"/>
            <w:gridSpan w:val="8"/>
          </w:tcPr>
          <w:p>
            <w:pPr>
              <w:jc w:val="right"/>
              <w:ind w:right="195"/>
              <w:spacing w:after="0"/>
              <w:rPr>
                <w:sz w:val="20"/>
                <w:szCs w:val="20"/>
                <w:color w:val="auto"/>
              </w:rPr>
            </w:pPr>
            <w:r>
              <w:rPr>
                <w:rFonts w:ascii="Arial" w:cs="Arial" w:eastAsia="Arial" w:hAnsi="Arial"/>
                <w:sz w:val="18"/>
                <w:szCs w:val="18"/>
                <w:color w:val="auto"/>
                <w:w w:val="94"/>
              </w:rPr>
              <w:t>The following table provides the impact of the correction on the Company's consolidated statement of cash flows for the year ended December 31,</w:t>
            </w: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2020 (in thousands):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5"/>
        </w:trPr>
        <w:tc>
          <w:tcPr>
            <w:tcW w:w="6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5"/>
          </w:tcPr>
          <w:p>
            <w:pPr>
              <w:jc w:val="center"/>
              <w:ind w:left="937"/>
              <w:spacing w:after="0"/>
              <w:rPr>
                <w:sz w:val="20"/>
                <w:szCs w:val="20"/>
                <w:color w:val="auto"/>
              </w:rPr>
            </w:pPr>
            <w:r>
              <w:rPr>
                <w:rFonts w:ascii="Arial" w:cs="Arial" w:eastAsia="Arial" w:hAnsi="Arial"/>
                <w:sz w:val="14"/>
                <w:szCs w:val="14"/>
                <w:b w:val="1"/>
                <w:bCs w:val="1"/>
                <w:color w:val="auto"/>
                <w:w w:val="92"/>
              </w:rPr>
              <w:t>Year Ended December 31, 2020</w:t>
            </w:r>
          </w:p>
        </w:tc>
        <w:tc>
          <w:tcPr>
            <w:tcW w:w="1140" w:type="dxa"/>
            <w:vAlign w:val="bottom"/>
          </w:tcPr>
          <w:p>
            <w:pPr>
              <w:spacing w:after="0"/>
              <w:rPr>
                <w:sz w:val="24"/>
                <w:szCs w:val="24"/>
                <w:color w:val="auto"/>
              </w:rPr>
            </w:pPr>
          </w:p>
        </w:tc>
      </w:tr>
      <w:tr>
        <w:trPr>
          <w:trHeight w:val="26"/>
        </w:trPr>
        <w:tc>
          <w:tcPr>
            <w:tcW w:w="6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6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Previously Stated</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Adjustments</w:t>
            </w:r>
          </w:p>
        </w:tc>
        <w:tc>
          <w:tcPr>
            <w:tcW w:w="220" w:type="dxa"/>
            <w:vAlign w:val="bottom"/>
          </w:tcPr>
          <w:p>
            <w:pPr>
              <w:spacing w:after="0"/>
              <w:rPr>
                <w:sz w:val="16"/>
                <w:szCs w:val="16"/>
                <w:color w:val="auto"/>
              </w:rPr>
            </w:pPr>
          </w:p>
        </w:tc>
        <w:tc>
          <w:tcPr>
            <w:tcW w:w="1140" w:type="dxa"/>
            <w:vAlign w:val="bottom"/>
          </w:tcPr>
          <w:p>
            <w:pPr>
              <w:jc w:val="right"/>
              <w:ind w:right="195"/>
              <w:spacing w:after="0"/>
              <w:rPr>
                <w:sz w:val="20"/>
                <w:szCs w:val="20"/>
                <w:color w:val="auto"/>
              </w:rPr>
            </w:pPr>
            <w:r>
              <w:rPr>
                <w:rFonts w:ascii="Arial" w:cs="Arial" w:eastAsia="Arial" w:hAnsi="Arial"/>
                <w:sz w:val="14"/>
                <w:szCs w:val="14"/>
                <w:b w:val="1"/>
                <w:bCs w:val="1"/>
                <w:color w:val="auto"/>
                <w:w w:val="95"/>
              </w:rPr>
              <w:t>As Corrected</w:t>
            </w:r>
          </w:p>
        </w:tc>
      </w:tr>
      <w:tr>
        <w:trPr>
          <w:trHeight w:val="26"/>
        </w:trPr>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96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(286,760)</w:t>
            </w:r>
          </w:p>
        </w:tc>
        <w:tc>
          <w:tcPr>
            <w:tcW w:w="100" w:type="dxa"/>
            <w:vAlign w:val="bottom"/>
          </w:tcPr>
          <w:p>
            <w:pPr>
              <w:spacing w:after="0"/>
              <w:rPr>
                <w:sz w:val="21"/>
                <w:szCs w:val="21"/>
                <w:color w:val="auto"/>
              </w:rPr>
            </w:pPr>
          </w:p>
        </w:tc>
        <w:tc>
          <w:tcPr>
            <w:tcW w:w="1360" w:type="dxa"/>
            <w:vAlign w:val="bottom"/>
          </w:tcPr>
          <w:p>
            <w:pPr>
              <w:jc w:val="center"/>
              <w:ind w:left="655"/>
              <w:spacing w:after="0"/>
              <w:rPr>
                <w:sz w:val="20"/>
                <w:szCs w:val="20"/>
                <w:color w:val="auto"/>
              </w:rPr>
            </w:pPr>
            <w:r>
              <w:rPr>
                <w:rFonts w:ascii="Arial" w:cs="Arial" w:eastAsia="Arial" w:hAnsi="Arial"/>
                <w:sz w:val="18"/>
                <w:szCs w:val="18"/>
                <w:color w:val="auto"/>
                <w:w w:val="90"/>
              </w:rPr>
              <w:t>33,794</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(252,966)</w:t>
            </w: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Adjustments to reconcile net loss to cash, cash equivalents, and restricted cash provided by</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6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(used in) operating activities:</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960" w:type="dxa"/>
            <w:vAlign w:val="bottom"/>
          </w:tcPr>
          <w:p>
            <w:pPr>
              <w:ind w:left="460"/>
              <w:spacing w:after="0"/>
              <w:rPr>
                <w:sz w:val="20"/>
                <w:szCs w:val="20"/>
                <w:color w:val="auto"/>
              </w:rPr>
            </w:pPr>
            <w:r>
              <w:rPr>
                <w:rFonts w:ascii="Arial" w:cs="Arial" w:eastAsia="Arial" w:hAnsi="Arial"/>
                <w:sz w:val="18"/>
                <w:szCs w:val="18"/>
                <w:color w:val="auto"/>
              </w:rPr>
              <w:t>Warrant fair value adjustment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21"/>
                <w:szCs w:val="21"/>
                <w:color w:val="auto"/>
              </w:rPr>
            </w:pPr>
          </w:p>
        </w:tc>
        <w:tc>
          <w:tcPr>
            <w:tcW w:w="1360" w:type="dxa"/>
            <w:vAlign w:val="bottom"/>
          </w:tcPr>
          <w:p>
            <w:pPr>
              <w:jc w:val="center"/>
              <w:ind w:left="615"/>
              <w:spacing w:after="0"/>
              <w:rPr>
                <w:sz w:val="20"/>
                <w:szCs w:val="20"/>
                <w:color w:val="auto"/>
              </w:rPr>
            </w:pPr>
            <w:r>
              <w:rPr>
                <w:rFonts w:ascii="Arial" w:cs="Arial" w:eastAsia="Arial" w:hAnsi="Arial"/>
                <w:sz w:val="18"/>
                <w:szCs w:val="18"/>
                <w:color w:val="auto"/>
                <w:w w:val="92"/>
              </w:rPr>
              <w:t>(33,794)</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(31,172)</w:t>
            </w: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DISCLOSURES OF NONCASH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240"/>
              <w:spacing w:after="0"/>
              <w:rPr>
                <w:sz w:val="20"/>
                <w:szCs w:val="20"/>
                <w:color w:val="auto"/>
              </w:rPr>
            </w:pPr>
            <w:r>
              <w:rPr>
                <w:rFonts w:ascii="Arial" w:cs="Arial" w:eastAsia="Arial" w:hAnsi="Arial"/>
                <w:sz w:val="18"/>
                <w:szCs w:val="18"/>
                <w:color w:val="auto"/>
              </w:rPr>
              <w:t>Recognition of warrant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center"/>
              <w:ind w:left="655"/>
              <w:spacing w:after="0"/>
              <w:rPr>
                <w:sz w:val="20"/>
                <w:szCs w:val="20"/>
                <w:color w:val="auto"/>
              </w:rPr>
            </w:pPr>
            <w:r>
              <w:rPr>
                <w:rFonts w:ascii="Arial" w:cs="Arial" w:eastAsia="Arial" w:hAnsi="Arial"/>
                <w:sz w:val="18"/>
                <w:szCs w:val="18"/>
                <w:color w:val="auto"/>
                <w:w w:val="90"/>
              </w:rPr>
              <w:t>81,143</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81,143</w:t>
            </w:r>
          </w:p>
        </w:tc>
      </w:tr>
      <w:tr>
        <w:trPr>
          <w:trHeight w:val="905"/>
        </w:trPr>
        <w:tc>
          <w:tcPr>
            <w:tcW w:w="6960" w:type="dxa"/>
            <w:vAlign w:val="bottom"/>
          </w:tcPr>
          <w:p>
            <w:pPr>
              <w:ind w:left="554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28"/>
        </w:trPr>
        <w:tc>
          <w:tcPr>
            <w:tcW w:w="69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p>
      <w:pPr>
        <w:spacing w:after="0" w:line="119" w:lineRule="exact"/>
        <w:rPr>
          <w:sz w:val="20"/>
          <w:szCs w:val="20"/>
          <w:color w:val="auto"/>
        </w:rPr>
      </w:pPr>
    </w:p>
    <w:p>
      <w:pPr>
        <w:ind w:left="20"/>
        <w:spacing w:after="0"/>
        <w:tabs>
          <w:tab w:leader="none" w:pos="1040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29"/>
          <w:szCs w:val="29"/>
          <w:b w:val="1"/>
          <w:bCs w:val="1"/>
          <w:color w:val="auto"/>
          <w:vertAlign w:val="subscript"/>
        </w:rPr>
        <w:t>Filed</w:t>
      </w:r>
    </w:p>
    <w:p>
      <w:pPr>
        <w:spacing w:after="0" w:line="37" w:lineRule="exact"/>
        <w:rPr>
          <w:sz w:val="20"/>
          <w:szCs w:val="20"/>
          <w:color w:val="auto"/>
        </w:rPr>
      </w:pPr>
    </w:p>
    <w:p>
      <w:pPr>
        <w:ind w:left="20"/>
        <w:spacing w:after="0"/>
        <w:tabs>
          <w:tab w:leader="none" w:pos="1380" w:val="left"/>
          <w:tab w:leader="none" w:pos="6520" w:val="left"/>
          <w:tab w:leader="none" w:pos="7300" w:val="left"/>
          <w:tab w:leader="none" w:pos="8560" w:val="left"/>
          <w:tab w:leader="none" w:pos="9220" w:val="left"/>
          <w:tab w:leader="none" w:pos="104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File No.</w:t>
      </w:r>
      <w:r>
        <w:rPr>
          <w:sz w:val="20"/>
          <w:szCs w:val="20"/>
          <w:color w:val="auto"/>
        </w:rPr>
        <w:tab/>
      </w:r>
      <w:r>
        <w:rPr>
          <w:rFonts w:ascii="Arial" w:cs="Arial" w:eastAsia="Arial" w:hAnsi="Arial"/>
          <w:sz w:val="14"/>
          <w:szCs w:val="14"/>
          <w:b w:val="1"/>
          <w:bCs w:val="1"/>
          <w:color w:val="auto"/>
        </w:rPr>
        <w:t>Exhibit</w:t>
        <w:tab/>
        <w:t>Filing Date</w:t>
      </w:r>
      <w:r>
        <w:rPr>
          <w:sz w:val="20"/>
          <w:szCs w:val="20"/>
          <w:color w:val="auto"/>
        </w:rPr>
        <w:tab/>
      </w:r>
      <w:r>
        <w:rPr>
          <w:rFonts w:ascii="Arial" w:cs="Arial" w:eastAsia="Arial" w:hAnsi="Arial"/>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320" w:top="139" w:right="579" w:bottom="1440" w:gutter="0" w:footer="0" w:header="0"/>
        </w:sectPr>
      </w:pPr>
    </w:p>
    <w:p>
      <w:pPr>
        <w:spacing w:after="0" w:line="61" w:lineRule="exact"/>
        <w:rPr>
          <w:sz w:val="20"/>
          <w:szCs w:val="20"/>
          <w:color w:val="auto"/>
        </w:rPr>
      </w:pPr>
    </w:p>
    <w:p>
      <w:pPr>
        <w:ind w:left="740"/>
        <w:spacing w:after="0"/>
        <w:rPr>
          <w:sz w:val="20"/>
          <w:szCs w:val="20"/>
          <w:color w:val="auto"/>
        </w:rPr>
      </w:pPr>
      <w:r>
        <w:rPr>
          <w:rFonts w:ascii="Arial" w:cs="Arial" w:eastAsia="Arial" w:hAnsi="Arial"/>
          <w:sz w:val="15"/>
          <w:szCs w:val="15"/>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40"/>
        <w:spacing w:after="0"/>
        <w:rPr>
          <w:sz w:val="20"/>
          <w:szCs w:val="20"/>
          <w:color w:val="auto"/>
        </w:rPr>
      </w:pPr>
      <w:r>
        <w:rPr>
          <w:rFonts w:ascii="Arial" w:cs="Arial" w:eastAsia="Arial" w:hAnsi="Arial"/>
          <w:sz w:val="15"/>
          <w:szCs w:val="15"/>
          <w:color w:val="auto"/>
        </w:rPr>
        <w:t>3.1</w:t>
      </w:r>
    </w:p>
    <w:p>
      <w:pPr>
        <w:spacing w:after="0" w:line="206" w:lineRule="exact"/>
        <w:rPr>
          <w:sz w:val="20"/>
          <w:szCs w:val="20"/>
          <w:color w:val="auto"/>
        </w:rPr>
      </w:pPr>
    </w:p>
    <w:p>
      <w:pPr>
        <w:ind w:left="740"/>
        <w:spacing w:after="0"/>
        <w:rPr>
          <w:sz w:val="20"/>
          <w:szCs w:val="20"/>
          <w:color w:val="auto"/>
        </w:rPr>
      </w:pPr>
      <w:r>
        <w:rPr>
          <w:rFonts w:ascii="Arial" w:cs="Arial" w:eastAsia="Arial" w:hAnsi="Arial"/>
          <w:sz w:val="15"/>
          <w:szCs w:val="15"/>
          <w:color w:val="auto"/>
        </w:rPr>
        <w:t>3.2</w:t>
      </w:r>
    </w:p>
    <w:p>
      <w:pPr>
        <w:spacing w:after="0" w:line="206" w:lineRule="exact"/>
        <w:rPr>
          <w:sz w:val="20"/>
          <w:szCs w:val="20"/>
          <w:color w:val="auto"/>
        </w:rPr>
      </w:pPr>
    </w:p>
    <w:p>
      <w:pPr>
        <w:ind w:left="740"/>
        <w:spacing w:after="0"/>
        <w:rPr>
          <w:sz w:val="20"/>
          <w:szCs w:val="20"/>
          <w:color w:val="auto"/>
        </w:rPr>
      </w:pPr>
      <w:r>
        <w:rPr>
          <w:rFonts w:ascii="Arial" w:cs="Arial" w:eastAsia="Arial" w:hAnsi="Arial"/>
          <w:sz w:val="15"/>
          <w:szCs w:val="15"/>
          <w:color w:val="auto"/>
        </w:rPr>
        <w:t>4.1</w:t>
      </w:r>
    </w:p>
    <w:p>
      <w:pPr>
        <w:spacing w:after="0" w:line="206" w:lineRule="exact"/>
        <w:rPr>
          <w:sz w:val="20"/>
          <w:szCs w:val="20"/>
          <w:color w:val="auto"/>
        </w:rPr>
      </w:pPr>
    </w:p>
    <w:p>
      <w:pPr>
        <w:ind w:left="740"/>
        <w:spacing w:after="0"/>
        <w:rPr>
          <w:sz w:val="20"/>
          <w:szCs w:val="20"/>
          <w:color w:val="auto"/>
        </w:rPr>
      </w:pPr>
      <w:r>
        <w:rPr>
          <w:rFonts w:ascii="Arial" w:cs="Arial" w:eastAsia="Arial" w:hAnsi="Arial"/>
          <w:sz w:val="15"/>
          <w:szCs w:val="15"/>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40"/>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both"/>
        <w:ind w:right="100"/>
        <w:spacing w:after="0" w:line="295" w:lineRule="auto"/>
        <w:rPr>
          <w:rFonts w:ascii="Arial" w:cs="Arial" w:eastAsia="Arial" w:hAnsi="Arial"/>
          <w:sz w:val="18"/>
          <w:szCs w:val="18"/>
          <w:u w:val="single" w:color="auto"/>
          <w:color w:val="0000FF"/>
        </w:rPr>
      </w:pPr>
      <w:hyperlink r:id="rId102">
        <w:r>
          <w:rPr>
            <w:rFonts w:ascii="Arial" w:cs="Arial" w:eastAsia="Arial" w:hAnsi="Arial"/>
            <w:sz w:val="18"/>
            <w:szCs w:val="18"/>
            <w:u w:val="single" w:color="auto"/>
            <w:color w:val="0000FF"/>
          </w:rPr>
          <w:t>Agreement and Plan of Merger, dated as of September 15, 2020, by</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and among Social Capital Hedosophia Corp. II, Hestia Merger Sub</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Inc. and Opendoor Labs Inc.</w:t>
        </w:r>
      </w:hyperlink>
    </w:p>
    <w:p>
      <w:pPr>
        <w:spacing w:after="0" w:line="87"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Certificate of Incorporation of Opendoor Technologies Inc.</w:t>
        </w:r>
      </w:hyperlink>
    </w:p>
    <w:p>
      <w:pPr>
        <w:spacing w:after="0" w:line="171"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r:id="rId104">
        <w:r>
          <w:rPr>
            <w:rFonts w:ascii="Arial" w:cs="Arial" w:eastAsia="Arial" w:hAnsi="Arial"/>
            <w:sz w:val="18"/>
            <w:szCs w:val="18"/>
            <w:u w:val="single" w:color="auto"/>
            <w:color w:val="0000FF"/>
          </w:rPr>
          <w:t>Bylaws of Opendoor Technologies Inc.</w:t>
        </w:r>
      </w:hyperlink>
    </w:p>
    <w:p>
      <w:pPr>
        <w:spacing w:after="0" w:line="171" w:lineRule="exact"/>
        <w:rPr>
          <w:rFonts w:ascii="Arial" w:cs="Arial" w:eastAsia="Arial" w:hAnsi="Arial"/>
          <w:sz w:val="18"/>
          <w:szCs w:val="18"/>
          <w:u w:val="single" w:color="auto"/>
          <w:color w:val="0000FF"/>
        </w:rPr>
      </w:pPr>
    </w:p>
    <w:p>
      <w:pPr>
        <w:spacing w:after="0"/>
        <w:rPr>
          <w:rFonts w:ascii="Arial" w:cs="Arial" w:eastAsia="Arial" w:hAnsi="Arial"/>
          <w:sz w:val="16"/>
          <w:szCs w:val="16"/>
          <w:u w:val="single" w:color="auto"/>
          <w:color w:val="0000FF"/>
        </w:rPr>
      </w:pPr>
      <w:hyperlink r:id="rId105">
        <w:r>
          <w:rPr>
            <w:rFonts w:ascii="Arial" w:cs="Arial" w:eastAsia="Arial" w:hAnsi="Arial"/>
            <w:sz w:val="16"/>
            <w:szCs w:val="16"/>
            <w:u w:val="single" w:color="auto"/>
            <w:color w:val="0000FF"/>
          </w:rPr>
          <w:t>Specimen Common Stock Certificate of Opendoor Technologies Inc.</w:t>
        </w:r>
      </w:hyperlink>
    </w:p>
    <w:p>
      <w:pPr>
        <w:spacing w:after="0" w:line="194" w:lineRule="exact"/>
        <w:rPr>
          <w:rFonts w:ascii="Arial" w:cs="Arial" w:eastAsia="Arial" w:hAnsi="Arial"/>
          <w:sz w:val="18"/>
          <w:szCs w:val="18"/>
          <w:u w:val="single" w:color="auto"/>
          <w:color w:val="0000FF"/>
        </w:rPr>
      </w:pPr>
    </w:p>
    <w:p>
      <w:pPr>
        <w:jc w:val="both"/>
        <w:ind w:right="200"/>
        <w:spacing w:after="0" w:line="295" w:lineRule="auto"/>
        <w:rPr>
          <w:rFonts w:ascii="Arial" w:cs="Arial" w:eastAsia="Arial" w:hAnsi="Arial"/>
          <w:sz w:val="18"/>
          <w:szCs w:val="18"/>
          <w:u w:val="single" w:color="auto"/>
          <w:color w:val="0000FF"/>
        </w:rPr>
      </w:pPr>
      <w:hyperlink r:id="rId106">
        <w:r>
          <w:rPr>
            <w:rFonts w:ascii="Arial" w:cs="Arial" w:eastAsia="Arial" w:hAnsi="Arial"/>
            <w:sz w:val="18"/>
            <w:szCs w:val="18"/>
            <w:u w:val="single" w:color="auto"/>
            <w:color w:val="0000FF"/>
          </w:rPr>
          <w:t>Warrant Agreement, dated April 27, 2020, between Social Capital</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Hedosophia Holdings Corp. II. and Continental Stock Transfer &amp;</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Trust Company, as warrant agent</w:t>
        </w:r>
      </w:hyperlink>
    </w:p>
    <w:p>
      <w:pPr>
        <w:spacing w:after="0" w:line="33" w:lineRule="exact"/>
        <w:rPr>
          <w:rFonts w:ascii="Arial" w:cs="Arial" w:eastAsia="Arial" w:hAnsi="Arial"/>
          <w:sz w:val="18"/>
          <w:szCs w:val="18"/>
          <w:u w:val="single" w:color="auto"/>
          <w:color w:val="0000FF"/>
        </w:rPr>
      </w:pPr>
    </w:p>
    <w:p>
      <w:pPr>
        <w:ind w:right="60"/>
        <w:spacing w:after="0" w:line="263" w:lineRule="auto"/>
        <w:rPr>
          <w:rFonts w:ascii="Arial" w:cs="Arial" w:eastAsia="Arial" w:hAnsi="Arial"/>
          <w:sz w:val="18"/>
          <w:szCs w:val="18"/>
          <w:u w:val="single" w:color="auto"/>
          <w:color w:val="0000FF"/>
        </w:rPr>
      </w:pPr>
      <w:hyperlink r:id="rId107">
        <w:r>
          <w:rPr>
            <w:rFonts w:ascii="Arial" w:cs="Arial" w:eastAsia="Arial" w:hAnsi="Arial"/>
            <w:sz w:val="18"/>
            <w:szCs w:val="18"/>
            <w:u w:val="single" w:color="auto"/>
            <w:color w:val="0000FF"/>
          </w:rPr>
          <w:t>Amendment to Warrant Agreement, dated March 22, 2021, between</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Opendoor Technologies Inc. and American Stock Transfer &amp; Trust</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Company, LLC, as warrant agent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41"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8-K</w:t>
            </w:r>
          </w:p>
        </w:tc>
        <w:tc>
          <w:tcPr>
            <w:tcW w:w="1240" w:type="dxa"/>
            <w:vAlign w:val="bottom"/>
          </w:tcPr>
          <w:p>
            <w:pPr>
              <w:ind w:left="180"/>
              <w:spacing w:after="0"/>
              <w:rPr>
                <w:sz w:val="20"/>
                <w:szCs w:val="20"/>
                <w:color w:val="auto"/>
              </w:rPr>
            </w:pPr>
            <w:r>
              <w:rPr>
                <w:rFonts w:ascii="Arial" w:cs="Arial" w:eastAsia="Arial" w:hAnsi="Arial"/>
                <w:sz w:val="18"/>
                <w:szCs w:val="18"/>
                <w:color w:val="auto"/>
              </w:rPr>
              <w:t>001-39253</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1040" w:type="dxa"/>
            <w:vAlign w:val="bottom"/>
          </w:tcPr>
          <w:p>
            <w:pPr>
              <w:jc w:val="right"/>
              <w:spacing w:after="0"/>
              <w:rPr>
                <w:sz w:val="20"/>
                <w:szCs w:val="20"/>
                <w:color w:val="auto"/>
              </w:rPr>
            </w:pPr>
            <w:r>
              <w:rPr>
                <w:rFonts w:ascii="Arial" w:cs="Arial" w:eastAsia="Arial" w:hAnsi="Arial"/>
                <w:sz w:val="18"/>
                <w:szCs w:val="18"/>
                <w:color w:val="auto"/>
              </w:rPr>
              <w:t>09/17/2020</w:t>
            </w:r>
          </w:p>
        </w:tc>
      </w:tr>
      <w:tr>
        <w:trPr>
          <w:trHeight w:val="837"/>
        </w:trPr>
        <w:tc>
          <w:tcPr>
            <w:tcW w:w="600" w:type="dxa"/>
            <w:vAlign w:val="bottom"/>
          </w:tcPr>
          <w:p>
            <w:pPr>
              <w:spacing w:after="0"/>
              <w:rPr>
                <w:sz w:val="20"/>
                <w:szCs w:val="20"/>
                <w:color w:val="auto"/>
              </w:rPr>
            </w:pPr>
            <w:r>
              <w:rPr>
                <w:rFonts w:ascii="Arial" w:cs="Arial" w:eastAsia="Arial" w:hAnsi="Arial"/>
                <w:sz w:val="18"/>
                <w:szCs w:val="18"/>
                <w:color w:val="auto"/>
              </w:rPr>
              <w:t>8-K</w:t>
            </w:r>
          </w:p>
        </w:tc>
        <w:tc>
          <w:tcPr>
            <w:tcW w:w="1240" w:type="dxa"/>
            <w:vAlign w:val="bottom"/>
          </w:tcPr>
          <w:p>
            <w:pPr>
              <w:ind w:left="180"/>
              <w:spacing w:after="0"/>
              <w:rPr>
                <w:sz w:val="20"/>
                <w:szCs w:val="20"/>
                <w:color w:val="auto"/>
              </w:rPr>
            </w:pPr>
            <w:r>
              <w:rPr>
                <w:rFonts w:ascii="Arial" w:cs="Arial" w:eastAsia="Arial" w:hAnsi="Arial"/>
                <w:sz w:val="18"/>
                <w:szCs w:val="18"/>
                <w:color w:val="auto"/>
              </w:rPr>
              <w:t>001-39253</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040" w:type="dxa"/>
            <w:vAlign w:val="bottom"/>
          </w:tcPr>
          <w:p>
            <w:pPr>
              <w:jc w:val="right"/>
              <w:spacing w:after="0"/>
              <w:rPr>
                <w:sz w:val="20"/>
                <w:szCs w:val="20"/>
                <w:color w:val="auto"/>
              </w:rPr>
            </w:pPr>
            <w:r>
              <w:rPr>
                <w:rFonts w:ascii="Arial" w:cs="Arial" w:eastAsia="Arial" w:hAnsi="Arial"/>
                <w:sz w:val="18"/>
                <w:szCs w:val="18"/>
                <w:color w:val="auto"/>
              </w:rPr>
              <w:t>12/18/2020</w:t>
            </w:r>
          </w:p>
        </w:tc>
      </w:tr>
      <w:tr>
        <w:trPr>
          <w:trHeight w:val="378"/>
        </w:trPr>
        <w:tc>
          <w:tcPr>
            <w:tcW w:w="600" w:type="dxa"/>
            <w:vAlign w:val="bottom"/>
          </w:tcPr>
          <w:p>
            <w:pPr>
              <w:spacing w:after="0"/>
              <w:rPr>
                <w:sz w:val="20"/>
                <w:szCs w:val="20"/>
                <w:color w:val="auto"/>
              </w:rPr>
            </w:pPr>
            <w:r>
              <w:rPr>
                <w:rFonts w:ascii="Arial" w:cs="Arial" w:eastAsia="Arial" w:hAnsi="Arial"/>
                <w:sz w:val="18"/>
                <w:szCs w:val="18"/>
                <w:color w:val="auto"/>
              </w:rPr>
              <w:t>S-1/A</w:t>
            </w:r>
          </w:p>
        </w:tc>
        <w:tc>
          <w:tcPr>
            <w:tcW w:w="1240" w:type="dxa"/>
            <w:vAlign w:val="bottom"/>
          </w:tcPr>
          <w:p>
            <w:pPr>
              <w:ind w:left="180"/>
              <w:spacing w:after="0"/>
              <w:rPr>
                <w:sz w:val="20"/>
                <w:szCs w:val="20"/>
                <w:color w:val="auto"/>
              </w:rPr>
            </w:pPr>
            <w:r>
              <w:rPr>
                <w:rFonts w:ascii="Arial" w:cs="Arial" w:eastAsia="Arial" w:hAnsi="Arial"/>
                <w:sz w:val="18"/>
                <w:szCs w:val="18"/>
                <w:color w:val="auto"/>
              </w:rPr>
              <w:t>333-251529</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3.3</w:t>
            </w:r>
          </w:p>
        </w:tc>
        <w:tc>
          <w:tcPr>
            <w:tcW w:w="1040" w:type="dxa"/>
            <w:vAlign w:val="bottom"/>
          </w:tcPr>
          <w:p>
            <w:pPr>
              <w:jc w:val="right"/>
              <w:spacing w:after="0"/>
              <w:rPr>
                <w:sz w:val="20"/>
                <w:szCs w:val="20"/>
                <w:color w:val="auto"/>
              </w:rPr>
            </w:pPr>
            <w:r>
              <w:rPr>
                <w:rFonts w:ascii="Arial" w:cs="Arial" w:eastAsia="Arial" w:hAnsi="Arial"/>
                <w:sz w:val="18"/>
                <w:szCs w:val="18"/>
                <w:color w:val="auto"/>
              </w:rPr>
              <w:t>01/15/2021</w:t>
            </w:r>
          </w:p>
        </w:tc>
      </w:tr>
      <w:tr>
        <w:trPr>
          <w:trHeight w:val="378"/>
        </w:trPr>
        <w:tc>
          <w:tcPr>
            <w:tcW w:w="600" w:type="dxa"/>
            <w:vAlign w:val="bottom"/>
          </w:tcPr>
          <w:p>
            <w:pPr>
              <w:spacing w:after="0"/>
              <w:rPr>
                <w:sz w:val="20"/>
                <w:szCs w:val="20"/>
                <w:color w:val="auto"/>
              </w:rPr>
            </w:pPr>
            <w:r>
              <w:rPr>
                <w:rFonts w:ascii="Arial" w:cs="Arial" w:eastAsia="Arial" w:hAnsi="Arial"/>
                <w:sz w:val="18"/>
                <w:szCs w:val="18"/>
                <w:color w:val="auto"/>
              </w:rPr>
              <w:t>S-4/A</w:t>
            </w:r>
          </w:p>
        </w:tc>
        <w:tc>
          <w:tcPr>
            <w:tcW w:w="1240" w:type="dxa"/>
            <w:vAlign w:val="bottom"/>
          </w:tcPr>
          <w:p>
            <w:pPr>
              <w:ind w:left="180"/>
              <w:spacing w:after="0"/>
              <w:rPr>
                <w:sz w:val="20"/>
                <w:szCs w:val="20"/>
                <w:color w:val="auto"/>
              </w:rPr>
            </w:pPr>
            <w:r>
              <w:rPr>
                <w:rFonts w:ascii="Arial" w:cs="Arial" w:eastAsia="Arial" w:hAnsi="Arial"/>
                <w:sz w:val="18"/>
                <w:szCs w:val="18"/>
                <w:color w:val="auto"/>
              </w:rPr>
              <w:t>333-249302</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4.5</w:t>
            </w:r>
          </w:p>
        </w:tc>
        <w:tc>
          <w:tcPr>
            <w:tcW w:w="1040" w:type="dxa"/>
            <w:vAlign w:val="bottom"/>
          </w:tcPr>
          <w:p>
            <w:pPr>
              <w:jc w:val="right"/>
              <w:spacing w:after="0"/>
              <w:rPr>
                <w:sz w:val="20"/>
                <w:szCs w:val="20"/>
                <w:color w:val="auto"/>
              </w:rPr>
            </w:pPr>
            <w:r>
              <w:rPr>
                <w:rFonts w:ascii="Arial" w:cs="Arial" w:eastAsia="Arial" w:hAnsi="Arial"/>
                <w:sz w:val="18"/>
                <w:szCs w:val="18"/>
                <w:color w:val="auto"/>
              </w:rPr>
              <w:t>11/06/2020</w:t>
            </w:r>
          </w:p>
        </w:tc>
      </w:tr>
      <w:tr>
        <w:trPr>
          <w:trHeight w:val="378"/>
        </w:trPr>
        <w:tc>
          <w:tcPr>
            <w:tcW w:w="600" w:type="dxa"/>
            <w:vAlign w:val="bottom"/>
          </w:tcPr>
          <w:p>
            <w:pPr>
              <w:spacing w:after="0"/>
              <w:rPr>
                <w:sz w:val="20"/>
                <w:szCs w:val="20"/>
                <w:color w:val="auto"/>
              </w:rPr>
            </w:pPr>
            <w:r>
              <w:rPr>
                <w:rFonts w:ascii="Arial" w:cs="Arial" w:eastAsia="Arial" w:hAnsi="Arial"/>
                <w:sz w:val="18"/>
                <w:szCs w:val="18"/>
                <w:color w:val="auto"/>
              </w:rPr>
              <w:t>8-K</w:t>
            </w:r>
          </w:p>
        </w:tc>
        <w:tc>
          <w:tcPr>
            <w:tcW w:w="1240" w:type="dxa"/>
            <w:vAlign w:val="bottom"/>
          </w:tcPr>
          <w:p>
            <w:pPr>
              <w:ind w:left="180"/>
              <w:spacing w:after="0"/>
              <w:rPr>
                <w:sz w:val="20"/>
                <w:szCs w:val="20"/>
                <w:color w:val="auto"/>
              </w:rPr>
            </w:pPr>
            <w:r>
              <w:rPr>
                <w:rFonts w:ascii="Arial" w:cs="Arial" w:eastAsia="Arial" w:hAnsi="Arial"/>
                <w:sz w:val="18"/>
                <w:szCs w:val="18"/>
                <w:color w:val="auto"/>
              </w:rPr>
              <w:t>001-39253</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4.1</w:t>
            </w:r>
          </w:p>
        </w:tc>
        <w:tc>
          <w:tcPr>
            <w:tcW w:w="1040" w:type="dxa"/>
            <w:vAlign w:val="bottom"/>
          </w:tcPr>
          <w:p>
            <w:pPr>
              <w:jc w:val="right"/>
              <w:spacing w:after="0"/>
              <w:rPr>
                <w:sz w:val="20"/>
                <w:szCs w:val="20"/>
                <w:color w:val="auto"/>
              </w:rPr>
            </w:pPr>
            <w:r>
              <w:rPr>
                <w:rFonts w:ascii="Arial" w:cs="Arial" w:eastAsia="Arial" w:hAnsi="Arial"/>
                <w:sz w:val="18"/>
                <w:szCs w:val="18"/>
                <w:color w:val="auto"/>
              </w:rPr>
              <w:t>04/30/2020</w:t>
            </w:r>
          </w:p>
        </w:tc>
      </w:tr>
      <w:tr>
        <w:trPr>
          <w:trHeight w:val="864"/>
        </w:trPr>
        <w:tc>
          <w:tcPr>
            <w:tcW w:w="600" w:type="dxa"/>
            <w:vAlign w:val="bottom"/>
          </w:tcPr>
          <w:p>
            <w:pPr>
              <w:spacing w:after="0"/>
              <w:rPr>
                <w:sz w:val="20"/>
                <w:szCs w:val="20"/>
                <w:color w:val="auto"/>
              </w:rPr>
            </w:pPr>
            <w:r>
              <w:rPr>
                <w:rFonts w:ascii="Arial" w:cs="Arial" w:eastAsia="Arial" w:hAnsi="Arial"/>
                <w:sz w:val="18"/>
                <w:szCs w:val="18"/>
                <w:color w:val="auto"/>
              </w:rPr>
              <w:t>10-Q</w:t>
            </w:r>
          </w:p>
        </w:tc>
        <w:tc>
          <w:tcPr>
            <w:tcW w:w="1240" w:type="dxa"/>
            <w:vAlign w:val="bottom"/>
          </w:tcPr>
          <w:p>
            <w:pPr>
              <w:ind w:left="180"/>
              <w:spacing w:after="0"/>
              <w:rPr>
                <w:sz w:val="20"/>
                <w:szCs w:val="20"/>
                <w:color w:val="auto"/>
              </w:rPr>
            </w:pPr>
            <w:r>
              <w:rPr>
                <w:rFonts w:ascii="Arial" w:cs="Arial" w:eastAsia="Arial" w:hAnsi="Arial"/>
                <w:sz w:val="18"/>
                <w:szCs w:val="18"/>
                <w:color w:val="auto"/>
              </w:rPr>
              <w:t>001-39253</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4.3</w:t>
            </w:r>
          </w:p>
        </w:tc>
        <w:tc>
          <w:tcPr>
            <w:tcW w:w="1040" w:type="dxa"/>
            <w:vAlign w:val="bottom"/>
          </w:tcPr>
          <w:p>
            <w:pPr>
              <w:jc w:val="right"/>
              <w:spacing w:after="0"/>
              <w:rPr>
                <w:sz w:val="20"/>
                <w:szCs w:val="20"/>
                <w:color w:val="auto"/>
              </w:rPr>
            </w:pPr>
            <w:r>
              <w:rPr>
                <w:rFonts w:ascii="Arial" w:cs="Arial" w:eastAsia="Arial" w:hAnsi="Arial"/>
                <w:sz w:val="18"/>
                <w:szCs w:val="18"/>
                <w:color w:val="auto"/>
              </w:rPr>
              <w:t>05/12/2021</w:t>
            </w:r>
          </w:p>
        </w:tc>
      </w:tr>
    </w:tbl>
    <w:p>
      <w:pPr>
        <w:spacing w:after="0" w:line="454" w:lineRule="exact"/>
        <w:rPr>
          <w:rFonts w:ascii="Arial" w:cs="Arial" w:eastAsia="Arial" w:hAnsi="Arial"/>
          <w:sz w:val="18"/>
          <w:szCs w:val="18"/>
          <w:u w:val="single" w:color="auto"/>
          <w:color w:val="0000FF"/>
        </w:rPr>
      </w:pPr>
    </w:p>
    <w:p>
      <w:pPr>
        <w:sectPr>
          <w:pgSz w:w="11900" w:h="16838" w:orient="portrait"/>
          <w:cols w:equalWidth="0" w:num="3">
            <w:col w:w="960" w:space="440"/>
            <w:col w:w="4960" w:space="180"/>
            <w:col w:w="4460"/>
          </w:cols>
          <w:pgMar w:left="320" w:top="139" w:right="579" w:bottom="1440" w:gutter="0" w:footer="0" w:header="0"/>
          <w:type w:val="continuous"/>
        </w:sectPr>
      </w:pPr>
    </w:p>
    <w:tbl>
      <w:tblPr>
        <w:tblLayout w:type="fixed"/>
        <w:tblInd w:w="64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10.1 #</w:t>
            </w:r>
          </w:p>
        </w:tc>
        <w:tc>
          <w:tcPr>
            <w:tcW w:w="506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62">
              <w:r>
                <w:rPr>
                  <w:rFonts w:ascii="Arial" w:cs="Arial" w:eastAsia="Arial" w:hAnsi="Arial"/>
                  <w:sz w:val="18"/>
                  <w:szCs w:val="18"/>
                  <w:color w:val="0000FF"/>
                  <w:w w:val="91"/>
                </w:rPr>
                <w:t>Form of Restricted Stock Unit Grant Notice and Restricted Stock Unit</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5100" w:type="dxa"/>
            <w:vAlign w:val="bottom"/>
            <w:gridSpan w:val="4"/>
          </w:tcPr>
          <w:p>
            <w:pPr>
              <w:spacing w:after="0" w:line="196" w:lineRule="exact"/>
              <w:rPr>
                <w:rFonts w:ascii="Arial" w:cs="Arial" w:eastAsia="Arial" w:hAnsi="Arial"/>
                <w:sz w:val="18"/>
                <w:szCs w:val="18"/>
                <w:color w:val="0000FF"/>
              </w:rPr>
            </w:pPr>
            <w:hyperlink w:anchor="page62">
              <w:r>
                <w:rPr>
                  <w:rFonts w:ascii="Arial" w:cs="Arial" w:eastAsia="Arial" w:hAnsi="Arial"/>
                  <w:sz w:val="18"/>
                  <w:szCs w:val="18"/>
                  <w:color w:val="0000FF"/>
                </w:rPr>
                <w:t>Agreement (Canada) Under 2020 Incentive Award Plan</w:t>
              </w:r>
            </w:hyperlink>
          </w:p>
        </w:tc>
        <w:tc>
          <w:tcPr>
            <w:tcW w:w="0" w:type="dxa"/>
            <w:vAlign w:val="bottom"/>
          </w:tcPr>
          <w:p>
            <w:pPr>
              <w:spacing w:after="0"/>
              <w:rPr>
                <w:sz w:val="1"/>
                <w:szCs w:val="1"/>
                <w:color w:val="auto"/>
              </w:rPr>
            </w:pPr>
          </w:p>
        </w:tc>
      </w:tr>
      <w:tr>
        <w:trPr>
          <w:trHeight w:val="20"/>
        </w:trPr>
        <w:tc>
          <w:tcPr>
            <w:tcW w:w="76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20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vMerge w:val="continue"/>
          </w:tcPr>
          <w:p>
            <w:pPr>
              <w:spacing w:after="0"/>
              <w:rPr>
                <w:sz w:val="24"/>
                <w:szCs w:val="24"/>
                <w:color w:val="auto"/>
              </w:rPr>
            </w:pPr>
          </w:p>
        </w:tc>
        <w:tc>
          <w:tcPr>
            <w:tcW w:w="510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69">
              <w:r>
                <w:rPr>
                  <w:rFonts w:ascii="Arial" w:cs="Arial" w:eastAsia="Arial" w:hAnsi="Arial"/>
                  <w:sz w:val="18"/>
                  <w:szCs w:val="18"/>
                  <w:color w:val="0000FF"/>
                  <w:w w:val="92"/>
                </w:rPr>
                <w:t>Certification of Chief Executive Officer Pursuant to Section 302 of the</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60" w:type="dxa"/>
            <w:vAlign w:val="bottom"/>
            <w:tcBorders>
              <w:bottom w:val="single" w:sz="8" w:color="0000FF"/>
            </w:tcBorders>
          </w:tcPr>
          <w:p>
            <w:pPr>
              <w:spacing w:after="0" w:line="196" w:lineRule="exact"/>
              <w:rPr>
                <w:rFonts w:ascii="Arial" w:cs="Arial" w:eastAsia="Arial" w:hAnsi="Arial"/>
                <w:sz w:val="18"/>
                <w:szCs w:val="18"/>
                <w:color w:val="0000FF"/>
                <w:w w:val="90"/>
              </w:rPr>
            </w:pPr>
            <w:hyperlink w:anchor="page69">
              <w:r>
                <w:rPr>
                  <w:rFonts w:ascii="Arial" w:cs="Arial" w:eastAsia="Arial" w:hAnsi="Arial"/>
                  <w:sz w:val="18"/>
                  <w:szCs w:val="18"/>
                  <w:color w:val="0000FF"/>
                  <w:w w:val="90"/>
                </w:rPr>
                <w:t>Sarbanes-Oxley Act of 2002</w:t>
              </w:r>
            </w:hyperlink>
          </w:p>
        </w:tc>
        <w:tc>
          <w:tcPr>
            <w:tcW w:w="30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sectPr>
          <w:pgSz w:w="11900" w:h="16838" w:orient="portrait"/>
          <w:cols w:equalWidth="0" w:num="2">
            <w:col w:w="10060" w:space="720"/>
            <w:col w:w="220"/>
          </w:cols>
          <w:pgMar w:left="320" w:top="139" w:right="579" w:bottom="1440" w:gutter="0" w:footer="0" w:header="0"/>
          <w:type w:val="continuous"/>
        </w:sectPr>
      </w:pPr>
    </w:p>
    <w:tbl>
      <w:tblPr>
        <w:tblLayout w:type="fixed"/>
        <w:tblInd w:w="280" w:type="dxa"/>
        <w:tblCellMar>
          <w:top w:w="0" w:type="dxa"/>
          <w:left w:w="0" w:type="dxa"/>
          <w:bottom w:w="0" w:type="dxa"/>
          <w:right w:w="0" w:type="dxa"/>
        </w:tblCellMar>
      </w:tblPr>
      <w:tr>
        <w:trPr>
          <w:trHeight w:val="244"/>
        </w:trPr>
        <w:tc>
          <w:tcPr>
            <w:tcW w:w="1120" w:type="dxa"/>
            <w:vAlign w:val="bottom"/>
          </w:tcPr>
          <w:p>
            <w:pPr>
              <w:jc w:val="right"/>
              <w:ind w:right="350"/>
              <w:spacing w:after="0"/>
              <w:rPr>
                <w:sz w:val="20"/>
                <w:szCs w:val="20"/>
                <w:color w:val="auto"/>
              </w:rPr>
            </w:pPr>
            <w:r>
              <w:rPr>
                <w:rFonts w:ascii="Arial" w:cs="Arial" w:eastAsia="Arial" w:hAnsi="Arial"/>
                <w:sz w:val="18"/>
                <w:szCs w:val="18"/>
                <w:color w:val="auto"/>
              </w:rPr>
              <w:t>31.2</w:t>
            </w:r>
          </w:p>
        </w:tc>
        <w:tc>
          <w:tcPr>
            <w:tcW w:w="7180" w:type="dxa"/>
            <w:vAlign w:val="bottom"/>
            <w:gridSpan w:val="5"/>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Certification of Chief Financial Officer Pursuant to Section 302 of the</w:t>
              </w:r>
            </w:hyperlink>
          </w:p>
        </w:tc>
        <w:tc>
          <w:tcPr>
            <w:tcW w:w="2340" w:type="dxa"/>
            <w:vAlign w:val="bottom"/>
          </w:tcPr>
          <w:p>
            <w:pPr>
              <w:jc w:val="center"/>
              <w:ind w:left="2050"/>
              <w:spacing w:after="0"/>
              <w:rPr>
                <w:sz w:val="20"/>
                <w:szCs w:val="20"/>
                <w:color w:val="auto"/>
              </w:rPr>
            </w:pPr>
            <w:r>
              <w:rPr>
                <w:rFonts w:ascii="Arial" w:cs="Arial" w:eastAsia="Arial" w:hAnsi="Arial"/>
                <w:sz w:val="18"/>
                <w:szCs w:val="18"/>
                <w:color w:val="auto"/>
              </w:rPr>
              <w:t>*</w:t>
            </w:r>
          </w:p>
        </w:tc>
      </w:tr>
      <w:tr>
        <w:trPr>
          <w:trHeight w:val="196"/>
        </w:trPr>
        <w:tc>
          <w:tcPr>
            <w:tcW w:w="1120" w:type="dxa"/>
            <w:vAlign w:val="bottom"/>
          </w:tcPr>
          <w:p>
            <w:pPr>
              <w:spacing w:after="0"/>
              <w:rPr>
                <w:sz w:val="17"/>
                <w:szCs w:val="17"/>
                <w:color w:val="auto"/>
              </w:rPr>
            </w:pPr>
          </w:p>
        </w:tc>
        <w:tc>
          <w:tcPr>
            <w:tcW w:w="20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70">
              <w:r>
                <w:rPr>
                  <w:rFonts w:ascii="Arial" w:cs="Arial" w:eastAsia="Arial" w:hAnsi="Arial"/>
                  <w:sz w:val="18"/>
                  <w:szCs w:val="18"/>
                  <w:color w:val="0000FF"/>
                  <w:w w:val="90"/>
                </w:rPr>
                <w:t>Sarbanes-Oxley Act of 2002</w:t>
              </w:r>
            </w:hyperlink>
          </w:p>
        </w:tc>
        <w:tc>
          <w:tcPr>
            <w:tcW w:w="2980" w:type="dxa"/>
            <w:vAlign w:val="bottom"/>
            <w:tcBorders>
              <w:top w:val="single" w:sz="8" w:color="0000FF"/>
            </w:tcBorders>
            <w:gridSpan w:val="3"/>
          </w:tcPr>
          <w:p>
            <w:pPr>
              <w:spacing w:after="0"/>
              <w:rPr>
                <w:sz w:val="17"/>
                <w:szCs w:val="17"/>
                <w:color w:val="auto"/>
              </w:rPr>
            </w:pPr>
          </w:p>
        </w:tc>
        <w:tc>
          <w:tcPr>
            <w:tcW w:w="21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331"/>
        </w:trPr>
        <w:tc>
          <w:tcPr>
            <w:tcW w:w="1120" w:type="dxa"/>
            <w:vAlign w:val="bottom"/>
          </w:tcPr>
          <w:p>
            <w:pPr>
              <w:jc w:val="right"/>
              <w:ind w:right="350"/>
              <w:spacing w:after="0"/>
              <w:rPr>
                <w:sz w:val="20"/>
                <w:szCs w:val="20"/>
                <w:color w:val="auto"/>
              </w:rPr>
            </w:pPr>
            <w:r>
              <w:rPr>
                <w:rFonts w:ascii="Arial" w:cs="Arial" w:eastAsia="Arial" w:hAnsi="Arial"/>
                <w:sz w:val="18"/>
                <w:szCs w:val="18"/>
                <w:color w:val="auto"/>
              </w:rPr>
              <w:t>32.1</w:t>
            </w:r>
          </w:p>
        </w:tc>
        <w:tc>
          <w:tcPr>
            <w:tcW w:w="7180" w:type="dxa"/>
            <w:vAlign w:val="bottom"/>
            <w:gridSpan w:val="5"/>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Certification of Chief Executive Officer and Chief Financial Officer</w:t>
              </w:r>
            </w:hyperlink>
          </w:p>
        </w:tc>
        <w:tc>
          <w:tcPr>
            <w:tcW w:w="2340" w:type="dxa"/>
            <w:vAlign w:val="bottom"/>
          </w:tcPr>
          <w:p>
            <w:pPr>
              <w:jc w:val="center"/>
              <w:ind w:left="2070"/>
              <w:spacing w:after="0"/>
              <w:rPr>
                <w:sz w:val="20"/>
                <w:szCs w:val="20"/>
                <w:color w:val="auto"/>
              </w:rPr>
            </w:pPr>
            <w:r>
              <w:rPr>
                <w:rFonts w:ascii="Arial" w:cs="Arial" w:eastAsia="Arial" w:hAnsi="Arial"/>
                <w:sz w:val="18"/>
                <w:szCs w:val="18"/>
                <w:color w:val="auto"/>
              </w:rPr>
              <w:t>**</w:t>
            </w:r>
          </w:p>
        </w:tc>
      </w:tr>
      <w:tr>
        <w:trPr>
          <w:trHeight w:val="196"/>
        </w:trPr>
        <w:tc>
          <w:tcPr>
            <w:tcW w:w="1120" w:type="dxa"/>
            <w:vAlign w:val="bottom"/>
          </w:tcPr>
          <w:p>
            <w:pPr>
              <w:spacing w:after="0"/>
              <w:rPr>
                <w:sz w:val="17"/>
                <w:szCs w:val="17"/>
                <w:color w:val="auto"/>
              </w:rPr>
            </w:pPr>
          </w:p>
        </w:tc>
        <w:tc>
          <w:tcPr>
            <w:tcW w:w="42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w:anchor="page71">
              <w:r>
                <w:rPr>
                  <w:rFonts w:ascii="Arial" w:cs="Arial" w:eastAsia="Arial" w:hAnsi="Arial"/>
                  <w:sz w:val="18"/>
                  <w:szCs w:val="18"/>
                  <w:color w:val="0000FF"/>
                  <w:w w:val="90"/>
                </w:rPr>
                <w:t>Pursuant to Section 906 of the Sarbanes-Oxley Act of 2002</w:t>
              </w:r>
            </w:hyperlink>
          </w:p>
        </w:tc>
        <w:tc>
          <w:tcPr>
            <w:tcW w:w="620" w:type="dxa"/>
            <w:vAlign w:val="bottom"/>
            <w:tcBorders>
              <w:top w:val="single" w:sz="8" w:color="0000FF"/>
            </w:tcBorders>
          </w:tcPr>
          <w:p>
            <w:pPr>
              <w:spacing w:after="0"/>
              <w:rPr>
                <w:sz w:val="17"/>
                <w:szCs w:val="17"/>
                <w:color w:val="auto"/>
              </w:rPr>
            </w:pPr>
          </w:p>
        </w:tc>
        <w:tc>
          <w:tcPr>
            <w:tcW w:w="2280" w:type="dxa"/>
            <w:vAlign w:val="bottom"/>
            <w:gridSpan w:val="2"/>
          </w:tcPr>
          <w:p>
            <w:pPr>
              <w:spacing w:after="0"/>
              <w:rPr>
                <w:sz w:val="17"/>
                <w:szCs w:val="17"/>
                <w:color w:val="auto"/>
              </w:rPr>
            </w:pPr>
          </w:p>
        </w:tc>
        <w:tc>
          <w:tcPr>
            <w:tcW w:w="2340" w:type="dxa"/>
            <w:vAlign w:val="bottom"/>
          </w:tcPr>
          <w:p>
            <w:pPr>
              <w:spacing w:after="0"/>
              <w:rPr>
                <w:sz w:val="17"/>
                <w:szCs w:val="17"/>
                <w:color w:val="auto"/>
              </w:rPr>
            </w:pPr>
          </w:p>
        </w:tc>
      </w:tr>
      <w:tr>
        <w:trPr>
          <w:trHeight w:val="303"/>
        </w:trPr>
        <w:tc>
          <w:tcPr>
            <w:tcW w:w="1120" w:type="dxa"/>
            <w:vAlign w:val="bottom"/>
          </w:tcPr>
          <w:p>
            <w:pPr>
              <w:jc w:val="right"/>
              <w:ind w:right="350"/>
              <w:spacing w:after="0"/>
              <w:rPr>
                <w:sz w:val="20"/>
                <w:szCs w:val="20"/>
                <w:color w:val="auto"/>
              </w:rPr>
            </w:pPr>
            <w:r>
              <w:rPr>
                <w:rFonts w:ascii="Arial" w:cs="Arial" w:eastAsia="Arial" w:hAnsi="Arial"/>
                <w:sz w:val="18"/>
                <w:szCs w:val="18"/>
                <w:color w:val="auto"/>
              </w:rPr>
              <w:t>101.INS</w:t>
            </w:r>
          </w:p>
        </w:tc>
        <w:tc>
          <w:tcPr>
            <w:tcW w:w="7180" w:type="dxa"/>
            <w:vAlign w:val="bottom"/>
            <w:gridSpan w:val="5"/>
          </w:tcPr>
          <w:p>
            <w:pPr>
              <w:spacing w:after="0"/>
              <w:rPr>
                <w:sz w:val="20"/>
                <w:szCs w:val="20"/>
                <w:color w:val="auto"/>
              </w:rPr>
            </w:pPr>
            <w:r>
              <w:rPr>
                <w:rFonts w:ascii="Arial" w:cs="Arial" w:eastAsia="Arial" w:hAnsi="Arial"/>
                <w:sz w:val="18"/>
                <w:szCs w:val="18"/>
                <w:color w:val="auto"/>
              </w:rPr>
              <w:t>Inline XBRL Instance Document - the instance document does not</w:t>
            </w:r>
          </w:p>
        </w:tc>
        <w:tc>
          <w:tcPr>
            <w:tcW w:w="2340" w:type="dxa"/>
            <w:vAlign w:val="bottom"/>
          </w:tcPr>
          <w:p>
            <w:pPr>
              <w:jc w:val="center"/>
              <w:ind w:left="205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7180" w:type="dxa"/>
            <w:vAlign w:val="bottom"/>
            <w:gridSpan w:val="5"/>
          </w:tcPr>
          <w:p>
            <w:pPr>
              <w:spacing w:after="0"/>
              <w:rPr>
                <w:sz w:val="20"/>
                <w:szCs w:val="20"/>
                <w:color w:val="auto"/>
              </w:rPr>
            </w:pPr>
            <w:r>
              <w:rPr>
                <w:rFonts w:ascii="Arial" w:cs="Arial" w:eastAsia="Arial" w:hAnsi="Arial"/>
                <w:sz w:val="18"/>
                <w:szCs w:val="18"/>
                <w:color w:val="auto"/>
              </w:rPr>
              <w:t>appear in the Interactive Data file because its XBRL tags are</w:t>
            </w:r>
          </w:p>
        </w:tc>
        <w:tc>
          <w:tcPr>
            <w:tcW w:w="234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7180" w:type="dxa"/>
            <w:vAlign w:val="bottom"/>
            <w:gridSpan w:val="5"/>
          </w:tcPr>
          <w:p>
            <w:pPr>
              <w:spacing w:after="0"/>
              <w:rPr>
                <w:sz w:val="20"/>
                <w:szCs w:val="20"/>
                <w:color w:val="auto"/>
              </w:rPr>
            </w:pPr>
            <w:r>
              <w:rPr>
                <w:rFonts w:ascii="Arial" w:cs="Arial" w:eastAsia="Arial" w:hAnsi="Arial"/>
                <w:sz w:val="18"/>
                <w:szCs w:val="18"/>
                <w:color w:val="auto"/>
              </w:rPr>
              <w:t>embedded within the Inline XBRL document.</w:t>
            </w:r>
          </w:p>
        </w:tc>
        <w:tc>
          <w:tcPr>
            <w:tcW w:w="2340" w:type="dxa"/>
            <w:vAlign w:val="bottom"/>
          </w:tcPr>
          <w:p>
            <w:pPr>
              <w:spacing w:after="0"/>
              <w:rPr>
                <w:sz w:val="20"/>
                <w:szCs w:val="20"/>
                <w:color w:val="auto"/>
              </w:rPr>
            </w:pPr>
          </w:p>
        </w:tc>
      </w:tr>
      <w:tr>
        <w:trPr>
          <w:trHeight w:val="270"/>
        </w:trPr>
        <w:tc>
          <w:tcPr>
            <w:tcW w:w="1120" w:type="dxa"/>
            <w:vAlign w:val="bottom"/>
          </w:tcPr>
          <w:p>
            <w:pPr>
              <w:jc w:val="right"/>
              <w:ind w:right="350"/>
              <w:spacing w:after="0"/>
              <w:rPr>
                <w:sz w:val="20"/>
                <w:szCs w:val="20"/>
                <w:color w:val="auto"/>
              </w:rPr>
            </w:pPr>
            <w:r>
              <w:rPr>
                <w:rFonts w:ascii="Arial" w:cs="Arial" w:eastAsia="Arial" w:hAnsi="Arial"/>
                <w:sz w:val="18"/>
                <w:szCs w:val="18"/>
                <w:color w:val="auto"/>
                <w:w w:val="90"/>
              </w:rPr>
              <w:t>101.SCH</w:t>
            </w:r>
          </w:p>
        </w:tc>
        <w:tc>
          <w:tcPr>
            <w:tcW w:w="718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c>
          <w:tcPr>
            <w:tcW w:w="2340" w:type="dxa"/>
            <w:vAlign w:val="bottom"/>
          </w:tcPr>
          <w:p>
            <w:pPr>
              <w:jc w:val="center"/>
              <w:ind w:left="2050"/>
              <w:spacing w:after="0"/>
              <w:rPr>
                <w:sz w:val="20"/>
                <w:szCs w:val="20"/>
                <w:color w:val="auto"/>
              </w:rPr>
            </w:pPr>
            <w:r>
              <w:rPr>
                <w:rFonts w:ascii="Arial" w:cs="Arial" w:eastAsia="Arial" w:hAnsi="Arial"/>
                <w:sz w:val="18"/>
                <w:szCs w:val="18"/>
                <w:color w:val="auto"/>
              </w:rPr>
              <w:t>*</w:t>
            </w:r>
          </w:p>
        </w:tc>
      </w:tr>
      <w:tr>
        <w:trPr>
          <w:trHeight w:val="270"/>
        </w:trPr>
        <w:tc>
          <w:tcPr>
            <w:tcW w:w="1120" w:type="dxa"/>
            <w:vAlign w:val="bottom"/>
          </w:tcPr>
          <w:p>
            <w:pPr>
              <w:jc w:val="right"/>
              <w:ind w:right="350"/>
              <w:spacing w:after="0"/>
              <w:rPr>
                <w:sz w:val="20"/>
                <w:szCs w:val="20"/>
                <w:color w:val="auto"/>
              </w:rPr>
            </w:pPr>
            <w:r>
              <w:rPr>
                <w:rFonts w:ascii="Arial" w:cs="Arial" w:eastAsia="Arial" w:hAnsi="Arial"/>
                <w:sz w:val="18"/>
                <w:szCs w:val="18"/>
                <w:color w:val="auto"/>
                <w:w w:val="94"/>
              </w:rPr>
              <w:t>101.CAL</w:t>
            </w:r>
          </w:p>
        </w:tc>
        <w:tc>
          <w:tcPr>
            <w:tcW w:w="718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2340" w:type="dxa"/>
            <w:vAlign w:val="bottom"/>
          </w:tcPr>
          <w:p>
            <w:pPr>
              <w:jc w:val="center"/>
              <w:ind w:left="2050"/>
              <w:spacing w:after="0"/>
              <w:rPr>
                <w:sz w:val="20"/>
                <w:szCs w:val="20"/>
                <w:color w:val="auto"/>
              </w:rPr>
            </w:pPr>
            <w:r>
              <w:rPr>
                <w:rFonts w:ascii="Arial" w:cs="Arial" w:eastAsia="Arial" w:hAnsi="Arial"/>
                <w:sz w:val="18"/>
                <w:szCs w:val="18"/>
                <w:color w:val="auto"/>
              </w:rPr>
              <w:t>*</w:t>
            </w:r>
          </w:p>
        </w:tc>
      </w:tr>
      <w:tr>
        <w:trPr>
          <w:trHeight w:val="270"/>
        </w:trPr>
        <w:tc>
          <w:tcPr>
            <w:tcW w:w="1120" w:type="dxa"/>
            <w:vAlign w:val="bottom"/>
          </w:tcPr>
          <w:p>
            <w:pPr>
              <w:jc w:val="right"/>
              <w:ind w:right="350"/>
              <w:spacing w:after="0"/>
              <w:rPr>
                <w:sz w:val="20"/>
                <w:szCs w:val="20"/>
                <w:color w:val="auto"/>
              </w:rPr>
            </w:pPr>
            <w:r>
              <w:rPr>
                <w:rFonts w:ascii="Arial" w:cs="Arial" w:eastAsia="Arial" w:hAnsi="Arial"/>
                <w:sz w:val="18"/>
                <w:szCs w:val="18"/>
                <w:color w:val="auto"/>
                <w:w w:val="92"/>
              </w:rPr>
              <w:t>101.DEF</w:t>
            </w:r>
          </w:p>
        </w:tc>
        <w:tc>
          <w:tcPr>
            <w:tcW w:w="718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2340" w:type="dxa"/>
            <w:vAlign w:val="bottom"/>
          </w:tcPr>
          <w:p>
            <w:pPr>
              <w:jc w:val="center"/>
              <w:ind w:left="2050"/>
              <w:spacing w:after="0"/>
              <w:rPr>
                <w:sz w:val="20"/>
                <w:szCs w:val="20"/>
                <w:color w:val="auto"/>
              </w:rPr>
            </w:pPr>
            <w:r>
              <w:rPr>
                <w:rFonts w:ascii="Arial" w:cs="Arial" w:eastAsia="Arial" w:hAnsi="Arial"/>
                <w:sz w:val="18"/>
                <w:szCs w:val="18"/>
                <w:color w:val="auto"/>
              </w:rPr>
              <w:t>*</w:t>
            </w:r>
          </w:p>
        </w:tc>
      </w:tr>
      <w:tr>
        <w:trPr>
          <w:trHeight w:val="270"/>
        </w:trPr>
        <w:tc>
          <w:tcPr>
            <w:tcW w:w="1120" w:type="dxa"/>
            <w:vAlign w:val="bottom"/>
          </w:tcPr>
          <w:p>
            <w:pPr>
              <w:jc w:val="right"/>
              <w:ind w:right="350"/>
              <w:spacing w:after="0"/>
              <w:rPr>
                <w:sz w:val="20"/>
                <w:szCs w:val="20"/>
                <w:color w:val="auto"/>
              </w:rPr>
            </w:pPr>
            <w:r>
              <w:rPr>
                <w:rFonts w:ascii="Arial" w:cs="Arial" w:eastAsia="Arial" w:hAnsi="Arial"/>
                <w:sz w:val="18"/>
                <w:szCs w:val="18"/>
                <w:color w:val="auto"/>
                <w:w w:val="95"/>
              </w:rPr>
              <w:t>101.LAB</w:t>
            </w:r>
          </w:p>
        </w:tc>
        <w:tc>
          <w:tcPr>
            <w:tcW w:w="718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2340" w:type="dxa"/>
            <w:vAlign w:val="bottom"/>
          </w:tcPr>
          <w:p>
            <w:pPr>
              <w:jc w:val="center"/>
              <w:ind w:left="2050"/>
              <w:spacing w:after="0"/>
              <w:rPr>
                <w:sz w:val="20"/>
                <w:szCs w:val="20"/>
                <w:color w:val="auto"/>
              </w:rPr>
            </w:pPr>
            <w:r>
              <w:rPr>
                <w:rFonts w:ascii="Arial" w:cs="Arial" w:eastAsia="Arial" w:hAnsi="Arial"/>
                <w:sz w:val="18"/>
                <w:szCs w:val="18"/>
                <w:color w:val="auto"/>
              </w:rPr>
              <w:t>*</w:t>
            </w:r>
          </w:p>
        </w:tc>
      </w:tr>
      <w:tr>
        <w:trPr>
          <w:trHeight w:val="270"/>
        </w:trPr>
        <w:tc>
          <w:tcPr>
            <w:tcW w:w="1120" w:type="dxa"/>
            <w:vAlign w:val="bottom"/>
          </w:tcPr>
          <w:p>
            <w:pPr>
              <w:jc w:val="right"/>
              <w:ind w:right="350"/>
              <w:spacing w:after="0"/>
              <w:rPr>
                <w:sz w:val="20"/>
                <w:szCs w:val="20"/>
                <w:color w:val="auto"/>
              </w:rPr>
            </w:pPr>
            <w:r>
              <w:rPr>
                <w:rFonts w:ascii="Arial" w:cs="Arial" w:eastAsia="Arial" w:hAnsi="Arial"/>
                <w:sz w:val="18"/>
                <w:szCs w:val="18"/>
                <w:color w:val="auto"/>
                <w:w w:val="91"/>
              </w:rPr>
              <w:t>101.PRE</w:t>
            </w:r>
          </w:p>
        </w:tc>
        <w:tc>
          <w:tcPr>
            <w:tcW w:w="718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2340" w:type="dxa"/>
            <w:vAlign w:val="bottom"/>
          </w:tcPr>
          <w:p>
            <w:pPr>
              <w:jc w:val="center"/>
              <w:ind w:left="2050"/>
              <w:spacing w:after="0"/>
              <w:rPr>
                <w:sz w:val="20"/>
                <w:szCs w:val="20"/>
                <w:color w:val="auto"/>
              </w:rPr>
            </w:pPr>
            <w:r>
              <w:rPr>
                <w:rFonts w:ascii="Arial" w:cs="Arial" w:eastAsia="Arial" w:hAnsi="Arial"/>
                <w:sz w:val="18"/>
                <w:szCs w:val="18"/>
                <w:color w:val="auto"/>
              </w:rPr>
              <w:t>*</w:t>
            </w:r>
          </w:p>
        </w:tc>
      </w:tr>
      <w:tr>
        <w:trPr>
          <w:trHeight w:val="256"/>
        </w:trPr>
        <w:tc>
          <w:tcPr>
            <w:tcW w:w="1120" w:type="dxa"/>
            <w:vAlign w:val="bottom"/>
          </w:tcPr>
          <w:p>
            <w:pPr>
              <w:jc w:val="right"/>
              <w:ind w:right="350"/>
              <w:spacing w:after="0"/>
              <w:rPr>
                <w:sz w:val="20"/>
                <w:szCs w:val="20"/>
                <w:color w:val="auto"/>
              </w:rPr>
            </w:pPr>
            <w:r>
              <w:rPr>
                <w:rFonts w:ascii="Arial" w:cs="Arial" w:eastAsia="Arial" w:hAnsi="Arial"/>
                <w:sz w:val="18"/>
                <w:szCs w:val="18"/>
                <w:color w:val="auto"/>
              </w:rPr>
              <w:t>104</w:t>
            </w:r>
          </w:p>
        </w:tc>
        <w:tc>
          <w:tcPr>
            <w:tcW w:w="7180" w:type="dxa"/>
            <w:vAlign w:val="bottom"/>
            <w:gridSpan w:val="5"/>
          </w:tcPr>
          <w:p>
            <w:pPr>
              <w:spacing w:after="0"/>
              <w:rPr>
                <w:sz w:val="20"/>
                <w:szCs w:val="20"/>
                <w:color w:val="auto"/>
              </w:rPr>
            </w:pPr>
            <w:r>
              <w:rPr>
                <w:rFonts w:ascii="Arial" w:cs="Arial" w:eastAsia="Arial" w:hAnsi="Arial"/>
                <w:sz w:val="18"/>
                <w:szCs w:val="18"/>
                <w:color w:val="auto"/>
              </w:rPr>
              <w:t>Cover Page Interactive Data File (as formatted as Inline XBRL and</w:t>
            </w:r>
          </w:p>
        </w:tc>
        <w:tc>
          <w:tcPr>
            <w:tcW w:w="2340" w:type="dxa"/>
            <w:vAlign w:val="bottom"/>
          </w:tcPr>
          <w:p>
            <w:pPr>
              <w:jc w:val="center"/>
              <w:ind w:left="2050"/>
              <w:spacing w:after="0"/>
              <w:rPr>
                <w:sz w:val="20"/>
                <w:szCs w:val="20"/>
                <w:color w:val="auto"/>
              </w:rPr>
            </w:pPr>
            <w:r>
              <w:rPr>
                <w:rFonts w:ascii="Arial" w:cs="Arial" w:eastAsia="Arial" w:hAnsi="Arial"/>
                <w:sz w:val="18"/>
                <w:szCs w:val="18"/>
                <w:color w:val="auto"/>
              </w:rPr>
              <w:t>*</w:t>
            </w:r>
          </w:p>
        </w:tc>
      </w:tr>
      <w:tr>
        <w:trPr>
          <w:trHeight w:val="230"/>
        </w:trPr>
        <w:tc>
          <w:tcPr>
            <w:tcW w:w="1120" w:type="dxa"/>
            <w:vAlign w:val="bottom"/>
          </w:tcPr>
          <w:p>
            <w:pPr>
              <w:spacing w:after="0"/>
              <w:rPr>
                <w:sz w:val="20"/>
                <w:szCs w:val="20"/>
                <w:color w:val="auto"/>
              </w:rPr>
            </w:pPr>
          </w:p>
        </w:tc>
        <w:tc>
          <w:tcPr>
            <w:tcW w:w="7180" w:type="dxa"/>
            <w:vAlign w:val="bottom"/>
            <w:gridSpan w:val="5"/>
          </w:tcPr>
          <w:p>
            <w:pPr>
              <w:spacing w:after="0"/>
              <w:rPr>
                <w:sz w:val="20"/>
                <w:szCs w:val="20"/>
                <w:color w:val="auto"/>
              </w:rPr>
            </w:pPr>
            <w:r>
              <w:rPr>
                <w:rFonts w:ascii="Arial" w:cs="Arial" w:eastAsia="Arial" w:hAnsi="Arial"/>
                <w:sz w:val="18"/>
                <w:szCs w:val="18"/>
                <w:color w:val="auto"/>
              </w:rPr>
              <w:t>contained in Exhibit 101)</w:t>
            </w:r>
          </w:p>
        </w:tc>
        <w:tc>
          <w:tcPr>
            <w:tcW w:w="2340" w:type="dxa"/>
            <w:vAlign w:val="bottom"/>
          </w:tcPr>
          <w:p>
            <w:pPr>
              <w:spacing w:after="0"/>
              <w:rPr>
                <w:sz w:val="20"/>
                <w:szCs w:val="20"/>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w:t>
      </w:r>
    </w:p>
    <w:p>
      <w:pPr>
        <w:spacing w:after="0" w:line="104"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3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36"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39" w:right="579" w:bottom="1440" w:gutter="0" w:footer="0" w:header="0"/>
          <w:type w:val="continuous"/>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380" w:firstLine="405"/>
        <w:spacing w:after="0" w:line="308"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6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OPENDOOR TECHNOLOGIES INC.</w:t>
      </w:r>
    </w:p>
    <w:p>
      <w:pPr>
        <w:spacing w:after="0" w:line="324" w:lineRule="exact"/>
        <w:rPr>
          <w:sz w:val="20"/>
          <w:szCs w:val="20"/>
          <w:color w:val="auto"/>
        </w:rPr>
      </w:pPr>
    </w:p>
    <w:p>
      <w:pPr>
        <w:ind w:left="20"/>
        <w:spacing w:after="0"/>
        <w:tabs>
          <w:tab w:leader="none" w:pos="900" w:val="left"/>
          <w:tab w:leader="none" w:pos="6080" w:val="left"/>
          <w:tab w:leader="none" w:pos="6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31750</wp:posOffset>
            </wp:positionV>
            <wp:extent cx="29571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p>
      <w:pPr>
        <w:spacing w:after="0" w:line="117"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Name:</w:t>
      </w:r>
    </w:p>
    <w:p>
      <w:pPr>
        <w:spacing w:after="0" w:line="8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Eric Wu</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Chief Executive Officer</w:t>
      </w:r>
    </w:p>
    <w:p>
      <w:pPr>
        <w:spacing w:after="0" w:line="222" w:lineRule="exact"/>
        <w:rPr>
          <w:sz w:val="20"/>
          <w:szCs w:val="20"/>
          <w:color w:val="auto"/>
        </w:rPr>
      </w:pPr>
    </w:p>
    <w:p>
      <w:pPr>
        <w:sectPr>
          <w:pgSz w:w="11900" w:h="16838" w:orient="portrait"/>
          <w:cols w:equalWidth="0" w:num="2">
            <w:col w:w="7080" w:space="420"/>
            <w:col w:w="3740"/>
          </w:cols>
          <w:pgMar w:left="320" w:top="37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380" w:type="dxa"/>
            <w:vAlign w:val="bottom"/>
          </w:tcPr>
          <w:p>
            <w:pPr>
              <w:ind w:left="220"/>
              <w:spacing w:after="0"/>
              <w:rPr>
                <w:sz w:val="20"/>
                <w:szCs w:val="20"/>
                <w:color w:val="auto"/>
              </w:rPr>
            </w:pPr>
            <w:r>
              <w:rPr>
                <w:rFonts w:ascii="Arial" w:cs="Arial" w:eastAsia="Arial" w:hAnsi="Arial"/>
                <w:sz w:val="18"/>
                <w:szCs w:val="18"/>
                <w:color w:val="auto"/>
              </w:rPr>
              <w:t>August 11, 2021</w:t>
            </w:r>
          </w:p>
        </w:tc>
        <w:tc>
          <w:tcPr>
            <w:tcW w:w="7180" w:type="dxa"/>
            <w:vAlign w:val="bottom"/>
            <w:gridSpan w:val="3"/>
          </w:tcPr>
          <w:p>
            <w:pPr>
              <w:ind w:left="2000"/>
              <w:spacing w:after="0"/>
              <w:rPr>
                <w:sz w:val="20"/>
                <w:szCs w:val="20"/>
                <w:color w:val="auto"/>
              </w:rPr>
            </w:pPr>
            <w:r>
              <w:rPr>
                <w:rFonts w:ascii="Arial" w:cs="Arial" w:eastAsia="Arial" w:hAnsi="Arial"/>
                <w:sz w:val="18"/>
                <w:szCs w:val="18"/>
                <w:color w:val="auto"/>
              </w:rPr>
              <w:t>By:   /s/ Carrie Wheeler</w:t>
            </w:r>
          </w:p>
        </w:tc>
      </w:tr>
      <w:tr>
        <w:trPr>
          <w:trHeight w:val="27"/>
        </w:trPr>
        <w:tc>
          <w:tcPr>
            <w:tcW w:w="6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77"/>
        </w:trPr>
        <w:tc>
          <w:tcPr>
            <w:tcW w:w="6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220"/>
              <w:spacing w:after="0"/>
              <w:rPr>
                <w:sz w:val="20"/>
                <w:szCs w:val="20"/>
                <w:color w:val="auto"/>
              </w:rPr>
            </w:pPr>
            <w:r>
              <w:rPr>
                <w:rFonts w:ascii="Arial" w:cs="Arial" w:eastAsia="Arial" w:hAnsi="Arial"/>
                <w:sz w:val="18"/>
                <w:szCs w:val="18"/>
                <w:color w:val="auto"/>
              </w:rPr>
              <w:t>Carrie Wheeler</w:t>
            </w:r>
          </w:p>
        </w:tc>
      </w:tr>
      <w:tr>
        <w:trPr>
          <w:trHeight w:val="270"/>
        </w:trPr>
        <w:tc>
          <w:tcPr>
            <w:tcW w:w="66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378" w:right="339" w:bottom="1440" w:gutter="0" w:footer="0" w:header="0"/>
          <w:type w:val="continuous"/>
        </w:sectPr>
      </w:pPr>
    </w:p>
    <w:bookmarkStart w:id="61" w:name="page62"/>
    <w:bookmarkEnd w:id="61"/>
    <w:p>
      <w:pPr>
        <w:jc w:val="right"/>
        <w:spacing w:after="0"/>
        <w:rPr>
          <w:sz w:val="20"/>
          <w:szCs w:val="20"/>
          <w:color w:val="auto"/>
        </w:rPr>
      </w:pPr>
      <w:r>
        <w:rPr>
          <w:rFonts w:ascii="Arial" w:cs="Arial" w:eastAsia="Arial" w:hAnsi="Arial"/>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40575" cy="411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40575" cy="411480"/>
                    </a:xfrm>
                    <a:prstGeom prst="rect">
                      <a:avLst/>
                    </a:prstGeom>
                    <a:noFill/>
                  </pic:spPr>
                </pic:pic>
              </a:graphicData>
            </a:graphic>
          </wp:anchor>
        </w:drawing>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OPENDOOR TECHNOLOGIES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2020 INCENTIVE AWARD PLAN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RESTRICTED STOCK UNIT GRANT NOTICE (CANADA)</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Opendoor Technologies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has granted to the participant listed below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the Restricted Stock Units (the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described in this Restricted Stock Unit Grant Notice (this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subject to the terms and conditions of the Opendoor Technologies Inc. 2020 Incentive Award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xml:space="preserve">”) and the Restricted Stock Unit Agreement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both of which are incorporated into this Grant Notice by reference. Capitalized terms not specifically defined in this Grant Notice or the Agreement have the meanings given to them in the Plan.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 Date: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 of RSUs: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Vesting Commencement Date:</w:t>
      </w:r>
    </w:p>
    <w:p>
      <w:pPr>
        <w:spacing w:after="0" w:line="248" w:lineRule="exact"/>
        <w:rPr>
          <w:sz w:val="20"/>
          <w:szCs w:val="20"/>
          <w:color w:val="auto"/>
        </w:rPr>
      </w:pPr>
    </w:p>
    <w:p>
      <w:pPr>
        <w:spacing w:after="0"/>
        <w:tabs>
          <w:tab w:leader="none" w:pos="1740" w:val="left"/>
        </w:tabs>
        <w:rPr>
          <w:sz w:val="20"/>
          <w:szCs w:val="20"/>
          <w:color w:val="auto"/>
        </w:rPr>
      </w:pPr>
      <w:r>
        <w:rPr>
          <w:rFonts w:ascii="Arial" w:cs="Arial" w:eastAsia="Arial" w:hAnsi="Arial"/>
          <w:sz w:val="16"/>
          <w:szCs w:val="16"/>
          <w:b w:val="1"/>
          <w:bCs w:val="1"/>
          <w:color w:val="auto"/>
        </w:rPr>
        <w:t>Vesting Schedule:</w:t>
      </w:r>
      <w:r>
        <w:rPr>
          <w:sz w:val="20"/>
          <w:szCs w:val="20"/>
          <w:color w:val="auto"/>
        </w:rPr>
        <w:tab/>
      </w:r>
      <w:r>
        <w:rPr>
          <w:rFonts w:ascii="Arial" w:cs="Arial" w:eastAsia="Arial" w:hAnsi="Arial"/>
          <w:sz w:val="16"/>
          <w:szCs w:val="16"/>
          <w:color w:val="auto"/>
        </w:rPr>
        <w:t>[To be specified in individual award agreements.]</w:t>
      </w: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By accepting (whether in writing, electronically or otherwise) the RSUs, Participant agrees to be bound by the terms of this Grant Notice, the Plan and the Agreement. Participant has read and understands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40575" cy="5911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40575" cy="591185"/>
                    </a:xfrm>
                    <a:prstGeom prst="rect">
                      <a:avLst/>
                    </a:prstGeom>
                    <a:noFill/>
                  </pic:spPr>
                </pic:pic>
              </a:graphicData>
            </a:graphic>
          </wp:anchor>
        </w:drawing>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 RSUs will be cancelled and forfeited on your Termination Date as set out in the Agreement; you will not be entitled to compensation or</w:t>
      </w:r>
    </w:p>
    <w:p>
      <w:pPr>
        <w:spacing w:after="0" w:line="59" w:lineRule="exact"/>
        <w:rPr>
          <w:sz w:val="20"/>
          <w:szCs w:val="20"/>
          <w:color w:val="auto"/>
        </w:rPr>
      </w:pPr>
    </w:p>
    <w:p>
      <w:pPr>
        <w:ind w:left="80" w:right="80"/>
        <w:spacing w:after="0" w:line="304" w:lineRule="auto"/>
        <w:rPr>
          <w:sz w:val="20"/>
          <w:szCs w:val="20"/>
          <w:color w:val="auto"/>
        </w:rPr>
      </w:pPr>
      <w:r>
        <w:rPr>
          <w:rFonts w:ascii="Arial" w:cs="Arial" w:eastAsia="Arial" w:hAnsi="Arial"/>
          <w:sz w:val="16"/>
          <w:szCs w:val="16"/>
          <w:b w:val="1"/>
          <w:bCs w:val="1"/>
          <w:color w:val="auto"/>
        </w:rPr>
        <w:t>damages pursuant to contract, common law or civil law in respect of any such cancellation and forfeiture. See Section 2.1 of the Agreement for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2820" w:val="left"/>
        </w:tabs>
        <w:rPr>
          <w:sz w:val="20"/>
          <w:szCs w:val="20"/>
          <w:color w:val="auto"/>
        </w:rPr>
      </w:pPr>
      <w:r>
        <w:rPr>
          <w:rFonts w:ascii="Arial" w:cs="Arial" w:eastAsia="Arial" w:hAnsi="Arial"/>
          <w:sz w:val="16"/>
          <w:szCs w:val="16"/>
          <w:b w:val="1"/>
          <w:bCs w:val="1"/>
          <w:color w:val="auto"/>
        </w:rPr>
        <w:t>OPENDOOR TECHNOLOGIES INC.</w:t>
      </w:r>
      <w:r>
        <w:rPr>
          <w:sz w:val="20"/>
          <w:szCs w:val="20"/>
          <w:color w:val="auto"/>
        </w:rPr>
        <w:tab/>
      </w:r>
      <w:r>
        <w:rPr>
          <w:rFonts w:ascii="Arial" w:cs="Arial" w:eastAsia="Arial" w:hAnsi="Arial"/>
          <w:sz w:val="15"/>
          <w:szCs w:val="15"/>
          <w:b w:val="1"/>
          <w:bCs w:val="1"/>
          <w:color w:val="auto"/>
        </w:rPr>
        <w:t>PARTICIPANT</w:t>
      </w:r>
    </w:p>
    <w:p>
      <w:pPr>
        <w:spacing w:after="0" w:line="336" w:lineRule="exact"/>
        <w:rPr>
          <w:sz w:val="20"/>
          <w:szCs w:val="20"/>
          <w:color w:val="auto"/>
        </w:rPr>
      </w:pPr>
    </w:p>
    <w:p>
      <w:pPr>
        <w:ind w:left="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19050</wp:posOffset>
            </wp:positionV>
            <wp:extent cx="65665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39" w:lineRule="exact"/>
        <w:rPr>
          <w:sz w:val="20"/>
          <w:szCs w:val="20"/>
          <w:color w:val="auto"/>
        </w:rPr>
      </w:pPr>
    </w:p>
    <w:p>
      <w:pPr>
        <w:ind w:left="80"/>
        <w:spacing w:after="0"/>
        <w:tabs>
          <w:tab w:leader="none" w:pos="676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6"/>
          <w:szCs w:val="16"/>
          <w:color w:val="auto"/>
        </w:rPr>
        <w:t>[Participant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27940</wp:posOffset>
            </wp:positionV>
            <wp:extent cx="21774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53" w:lineRule="exact"/>
        <w:rPr>
          <w:sz w:val="20"/>
          <w:szCs w:val="20"/>
          <w:color w:val="auto"/>
        </w:rPr>
      </w:pPr>
    </w:p>
    <w:p>
      <w:pPr>
        <w:ind w:left="8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19050</wp:posOffset>
            </wp:positionV>
            <wp:extent cx="21774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_______________________________________________________________________________________________________</w:t>
      </w:r>
    </w:p>
    <w:p>
      <w:pPr>
        <w:sectPr>
          <w:pgSz w:w="11900" w:h="16838" w:orient="portrait"/>
          <w:cols w:equalWidth="0" w:num="1">
            <w:col w:w="11240"/>
          </w:cols>
          <w:pgMar w:left="320" w:top="1426" w:right="339" w:bottom="1440" w:gutter="0" w:footer="0" w:header="0"/>
        </w:sectPr>
      </w:pPr>
    </w:p>
    <w:bookmarkStart w:id="62" w:name="page63"/>
    <w:bookmarkEnd w:id="62"/>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40575" cy="8147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140575" cy="81470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auto"/>
        </w:rPr>
        <w:t>OPENDOOR TECHNOLOGIES INC.</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FORM OF RESTRICTED STOCK UNIT AGREEMENT (CANADA)</w:t>
      </w:r>
    </w:p>
    <w:p>
      <w:pPr>
        <w:spacing w:after="0" w:line="200" w:lineRule="exact"/>
        <w:rPr>
          <w:sz w:val="20"/>
          <w:szCs w:val="20"/>
          <w:color w:val="auto"/>
        </w:rPr>
      </w:pPr>
    </w:p>
    <w:p>
      <w:pPr>
        <w:spacing w:after="0" w:line="37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Capitalized terms not specifically defined in this Agreement have the meanings specified in the Grant Notice or, if not defined in the Grant Notice, in the Plan.</w:t>
      </w:r>
    </w:p>
    <w:p>
      <w:pPr>
        <w:spacing w:after="0" w:line="169" w:lineRule="exact"/>
        <w:rPr>
          <w:sz w:val="20"/>
          <w:szCs w:val="20"/>
          <w:color w:val="auto"/>
        </w:rPr>
      </w:pPr>
    </w:p>
    <w:p>
      <w:pPr>
        <w:ind w:left="5380"/>
        <w:spacing w:after="0"/>
        <w:rPr>
          <w:sz w:val="20"/>
          <w:szCs w:val="20"/>
          <w:color w:val="auto"/>
        </w:rPr>
      </w:pPr>
      <w:r>
        <w:rPr>
          <w:rFonts w:ascii="Arial" w:cs="Arial" w:eastAsia="Arial" w:hAnsi="Arial"/>
          <w:sz w:val="22"/>
          <w:szCs w:val="22"/>
          <w:b w:val="1"/>
          <w:bCs w:val="1"/>
          <w:color w:val="auto"/>
        </w:rPr>
        <w:t>Article 1</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GENERAL</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Award of RSUs</w:t>
      </w:r>
      <w:r>
        <w:rPr>
          <w:rFonts w:ascii="Arial" w:cs="Arial" w:eastAsia="Arial" w:hAnsi="Arial"/>
          <w:sz w:val="22"/>
          <w:szCs w:val="22"/>
          <w:color w:val="auto"/>
        </w:rPr>
        <w:t>. The Company has granted the RSUs to Participant effective as of the Grant Date set forth in the Grant Notice (the “</w:t>
      </w:r>
      <w:r>
        <w:rPr>
          <w:rFonts w:ascii="Arial" w:cs="Arial" w:eastAsia="Arial" w:hAnsi="Arial"/>
          <w:sz w:val="22"/>
          <w:szCs w:val="22"/>
          <w:b w:val="1"/>
          <w:bCs w:val="1"/>
          <w:i w:val="1"/>
          <w:iCs w:val="1"/>
          <w:color w:val="auto"/>
        </w:rPr>
        <w:t>Grant Date</w:t>
      </w:r>
      <w:r>
        <w:rPr>
          <w:rFonts w:ascii="Arial" w:cs="Arial" w:eastAsia="Arial" w:hAnsi="Arial"/>
          <w:sz w:val="22"/>
          <w:szCs w:val="22"/>
          <w:color w:val="auto"/>
        </w:rPr>
        <w:t>”). Each RSU represents the right to receive one Share as set forth in this Agreement. Participant will have no right to be issued any Shares until the time (if ever) the RSUs have vested.</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Incorporation of Terms of Plan</w:t>
      </w:r>
      <w:r>
        <w:rPr>
          <w:rFonts w:ascii="Arial" w:cs="Arial" w:eastAsia="Arial" w:hAnsi="Arial"/>
          <w:sz w:val="22"/>
          <w:szCs w:val="22"/>
          <w:color w:val="auto"/>
        </w:rPr>
        <w:t>. The RSUs are subject to the terms and conditions set forth in this Agreement and the Plan, which is incorporated herein by reference. In the event of any conflict between the Plan and this Agreement, the terms of the Plan will control to the extent of such conflict.</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Unsecured Promise</w:t>
      </w:r>
      <w:r>
        <w:rPr>
          <w:rFonts w:ascii="Arial" w:cs="Arial" w:eastAsia="Arial" w:hAnsi="Arial"/>
          <w:sz w:val="22"/>
          <w:szCs w:val="22"/>
          <w:color w:val="auto"/>
        </w:rPr>
        <w:t>. The RSUs will at all times prior to settlement represent an unsecured Company obligation payable only from the Company’s general assets.</w:t>
      </w:r>
    </w:p>
    <w:p>
      <w:pPr>
        <w:spacing w:after="0" w:line="169" w:lineRule="exact"/>
        <w:rPr>
          <w:sz w:val="20"/>
          <w:szCs w:val="20"/>
          <w:color w:val="auto"/>
        </w:rPr>
      </w:pPr>
    </w:p>
    <w:p>
      <w:pPr>
        <w:ind w:left="5380"/>
        <w:spacing w:after="0"/>
        <w:rPr>
          <w:sz w:val="20"/>
          <w:szCs w:val="20"/>
          <w:color w:val="auto"/>
        </w:rPr>
      </w:pPr>
      <w:r>
        <w:rPr>
          <w:rFonts w:ascii="Arial" w:cs="Arial" w:eastAsia="Arial" w:hAnsi="Arial"/>
          <w:sz w:val="22"/>
          <w:szCs w:val="22"/>
          <w:b w:val="1"/>
          <w:bCs w:val="1"/>
          <w:color w:val="auto"/>
        </w:rPr>
        <w:t>Article 2</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VESTING; FORFEITURE AND SETTLEMENT</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Vesting; Forfeiture</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53" w:lineRule="auto"/>
        <w:tabs>
          <w:tab w:leader="none" w:pos="1941" w:val="left"/>
        </w:tabs>
        <w:numPr>
          <w:ilvl w:val="0"/>
          <w:numId w:val="27"/>
        </w:numPr>
        <w:rPr>
          <w:rFonts w:ascii="Arial" w:cs="Arial" w:eastAsia="Arial" w:hAnsi="Arial"/>
          <w:sz w:val="22"/>
          <w:szCs w:val="22"/>
          <w:color w:val="auto"/>
        </w:rPr>
      </w:pPr>
      <w:r>
        <w:rPr>
          <w:rFonts w:ascii="Arial" w:cs="Arial" w:eastAsia="Arial" w:hAnsi="Arial"/>
          <w:sz w:val="22"/>
          <w:szCs w:val="22"/>
          <w:color w:val="auto"/>
        </w:rPr>
        <w:t>Subject to the terms and conditions of this Agreement, the RSUs will vest according to the vesting schedule in the Grant Notice except that any fraction of an RSU that would otherwise be vested will be accumulated and will vest only when a whole RSU has accumulated.</w:t>
      </w:r>
    </w:p>
    <w:p>
      <w:pPr>
        <w:spacing w:after="0" w:line="185" w:lineRule="exact"/>
        <w:rPr>
          <w:rFonts w:ascii="Arial" w:cs="Arial" w:eastAsia="Arial" w:hAnsi="Arial"/>
          <w:sz w:val="22"/>
          <w:szCs w:val="22"/>
          <w:color w:val="auto"/>
        </w:rPr>
      </w:pPr>
    </w:p>
    <w:p>
      <w:pPr>
        <w:jc w:val="both"/>
        <w:ind w:firstLine="1304"/>
        <w:spacing w:after="0" w:line="248" w:lineRule="auto"/>
        <w:tabs>
          <w:tab w:leader="none" w:pos="1939" w:val="left"/>
        </w:tabs>
        <w:numPr>
          <w:ilvl w:val="0"/>
          <w:numId w:val="27"/>
        </w:numPr>
        <w:rPr>
          <w:rFonts w:ascii="Arial" w:cs="Arial" w:eastAsia="Arial" w:hAnsi="Arial"/>
          <w:sz w:val="22"/>
          <w:szCs w:val="22"/>
          <w:color w:val="auto"/>
        </w:rPr>
      </w:pPr>
      <w:r>
        <w:rPr>
          <w:rFonts w:ascii="Arial" w:cs="Arial" w:eastAsia="Arial" w:hAnsi="Arial"/>
          <w:sz w:val="22"/>
          <w:szCs w:val="22"/>
          <w:color w:val="auto"/>
        </w:rPr>
        <w:t>In the event of Participant’s Termination of Service for any reason, all unvested RSUs will immediately and automatically be cancelled and forfeited on the Termination Date (as defined herein), except as otherwise determined by the Administrator or expressly provided in a binding written agreement between Participant and the Company, and Participant will not be entitled to any damages or other amounts in respect of such cancellation and forfeiture of RSUs in connection with Participant’s Termination of Service.</w:t>
      </w:r>
    </w:p>
    <w:p>
      <w:pPr>
        <w:spacing w:after="0" w:line="191" w:lineRule="exact"/>
        <w:rPr>
          <w:rFonts w:ascii="Arial" w:cs="Arial" w:eastAsia="Arial" w:hAnsi="Arial"/>
          <w:sz w:val="22"/>
          <w:szCs w:val="22"/>
          <w:color w:val="auto"/>
        </w:rPr>
      </w:pPr>
    </w:p>
    <w:p>
      <w:pPr>
        <w:ind w:firstLine="1304"/>
        <w:spacing w:after="0" w:line="263" w:lineRule="auto"/>
        <w:tabs>
          <w:tab w:leader="none" w:pos="1941" w:val="left"/>
        </w:tabs>
        <w:numPr>
          <w:ilvl w:val="0"/>
          <w:numId w:val="27"/>
        </w:numPr>
        <w:rPr>
          <w:rFonts w:ascii="Arial" w:cs="Arial" w:eastAsia="Arial" w:hAnsi="Arial"/>
          <w:sz w:val="22"/>
          <w:szCs w:val="22"/>
          <w:color w:val="auto"/>
        </w:rPr>
      </w:pPr>
      <w:r>
        <w:rPr>
          <w:rFonts w:ascii="Arial" w:cs="Arial" w:eastAsia="Arial" w:hAnsi="Arial"/>
          <w:sz w:val="22"/>
          <w:szCs w:val="22"/>
          <w:color w:val="auto"/>
        </w:rPr>
        <w:t>Notwithstanding the terms of the Plan, Participant’s Termination of Service is deemed to end on the Termination Date for the purposes of the Plan and this Agreement. The “</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 means:</w:t>
      </w:r>
    </w:p>
    <w:p>
      <w:pPr>
        <w:spacing w:after="0" w:line="175" w:lineRule="exact"/>
        <w:rPr>
          <w:sz w:val="20"/>
          <w:szCs w:val="20"/>
          <w:color w:val="auto"/>
        </w:rPr>
      </w:pPr>
    </w:p>
    <w:p>
      <w:pPr>
        <w:jc w:val="both"/>
        <w:ind w:left="1960" w:hanging="656"/>
        <w:spacing w:after="0" w:line="253" w:lineRule="auto"/>
        <w:tabs>
          <w:tab w:leader="none" w:pos="1948" w:val="left"/>
        </w:tabs>
        <w:numPr>
          <w:ilvl w:val="0"/>
          <w:numId w:val="28"/>
        </w:numPr>
        <w:rPr>
          <w:rFonts w:ascii="Arial" w:cs="Arial" w:eastAsia="Arial" w:hAnsi="Arial"/>
          <w:sz w:val="22"/>
          <w:szCs w:val="22"/>
          <w:color w:val="auto"/>
        </w:rPr>
      </w:pPr>
      <w:r>
        <w:rPr>
          <w:rFonts w:ascii="Arial" w:cs="Arial" w:eastAsia="Arial" w:hAnsi="Arial"/>
          <w:sz w:val="22"/>
          <w:szCs w:val="22"/>
          <w:color w:val="auto"/>
        </w:rPr>
        <w:t>in the case of an Employee whose employment or term of office with the Company or a Subsidiary terminates (regardless of whether the termination is lawful or unlawful, with or without cause, and whether it is Participant or the Company or the Subsidiary that initiates the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ind w:left="5580" w:hanging="136"/>
        <w:spacing w:after="0"/>
        <w:tabs>
          <w:tab w:leader="none" w:pos="5580" w:val="left"/>
        </w:tabs>
        <w:numPr>
          <w:ilvl w:val="1"/>
          <w:numId w:val="28"/>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1240"/>
          </w:cols>
          <w:pgMar w:left="320" w:top="1440" w:right="339" w:bottom="1440" w:gutter="0" w:footer="0" w:header="0"/>
        </w:sectPr>
      </w:pPr>
    </w:p>
    <w:bookmarkStart w:id="63" w:name="page64"/>
    <w:bookmarkEnd w:id="63"/>
    <w:p>
      <w:pPr>
        <w:jc w:val="both"/>
        <w:ind w:left="840"/>
        <w:spacing w:after="0" w:line="287" w:lineRule="auto"/>
        <w:rPr>
          <w:sz w:val="20"/>
          <w:szCs w:val="20"/>
          <w:color w:val="auto"/>
        </w:rPr>
      </w:pPr>
      <w:r>
        <w:rPr>
          <w:rFonts w:ascii="Arial" w:cs="Arial" w:eastAsia="Arial" w:hAnsi="Arial"/>
          <w:sz w:val="19"/>
          <w:szCs w:val="19"/>
          <w:color w:val="auto"/>
        </w:rPr>
        <w:t>termination), the later of: (A) if and only to the extent required to comply with the minimum standards of the ESL (as defined herein), the last day of the minimum statutory notice period applicable to Participant pursuant to the ESL, if any; and (B) the date that is designated by the Company or Subsidiary, as the last day of Participant’s employment with the Company or Subsidiary provided that in the case of termination of employment by resignation by Participant, such date shall not be earlier than the date notice of resignation was given; and, in the case of either (A) or (B), without regard to any applicable period of reasonable notice or contractual notice to which Participant may claim to be entitled under common law, civil law or pursuant to contract in respect of a period which follows the last day that Participant actually and actively provides services to the Company or Subsidiary as specified in the notice of termination provided to Participant. For the avoidance of any doubt, the parties intend to displace any presumption that Participant is entitled to reasonable notice of termination under common law or civil law in connection with the Plan or this Agreement; or</w:t>
      </w:r>
    </w:p>
    <w:p>
      <w:pPr>
        <w:spacing w:after="0" w:line="159" w:lineRule="exact"/>
        <w:rPr>
          <w:sz w:val="20"/>
          <w:szCs w:val="20"/>
          <w:color w:val="auto"/>
        </w:rPr>
      </w:pPr>
    </w:p>
    <w:p>
      <w:pPr>
        <w:jc w:val="both"/>
        <w:ind w:left="840" w:hanging="656"/>
        <w:spacing w:after="0" w:line="288" w:lineRule="auto"/>
        <w:tabs>
          <w:tab w:leader="none" w:pos="834" w:val="left"/>
        </w:tabs>
        <w:numPr>
          <w:ilvl w:val="0"/>
          <w:numId w:val="29"/>
        </w:numPr>
        <w:rPr>
          <w:rFonts w:ascii="Arial" w:cs="Arial" w:eastAsia="Arial" w:hAnsi="Arial"/>
          <w:sz w:val="19"/>
          <w:szCs w:val="19"/>
          <w:color w:val="auto"/>
        </w:rPr>
      </w:pPr>
      <w:r>
        <w:rPr>
          <w:rFonts w:ascii="Arial" w:cs="Arial" w:eastAsia="Arial" w:hAnsi="Arial"/>
          <w:sz w:val="19"/>
          <w:szCs w:val="19"/>
          <w:color w:val="auto"/>
        </w:rPr>
        <w:t>in the case of a Consultant, the date that is designated, if any, by the Company or a Subsidiary as the date on which Participant’s consulting agreement or arrangement is terminated, provided that in the case of voluntary termination by Participant of Participant’s consulting agreement or arrangement, such date shall not be earlier than the date that notice of voluntary termination was given and, in any case, without regard to any applicable period of reasonable notice or contractual notice to which Participant may claim to be entitled under common law, civil law or pursuant to contract in respect of a period which follows the last day that Participant actually and actively provides services to the Company or the Subsidiary as specified in the notice of termination provided by Participant or the Company or the Subsidiary, as the case may be. For the avoidance of any doubt, the parties intend to displace any presumption that Participant is entitled to reasonable notice of termination under common law or civil law in connection with the Plan or this Agreement; or</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left="840" w:hanging="656"/>
        <w:spacing w:after="0" w:line="250" w:lineRule="auto"/>
        <w:tabs>
          <w:tab w:leader="none" w:pos="8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in the case of a Director whose service with the Company or a Subsidiary, as the case may be, terminates, the date that is designated by the Company or the Subsidiary, as the date on which Participant’s service is terminated, provided that in the case of resignation by Participant, such date shall not be earlier than the date notice of resignation was given; or</w:t>
      </w:r>
    </w:p>
    <w:p>
      <w:pPr>
        <w:spacing w:after="0" w:line="187" w:lineRule="exact"/>
        <w:rPr>
          <w:rFonts w:ascii="Arial" w:cs="Arial" w:eastAsia="Arial" w:hAnsi="Arial"/>
          <w:sz w:val="22"/>
          <w:szCs w:val="22"/>
          <w:color w:val="auto"/>
        </w:rPr>
      </w:pPr>
    </w:p>
    <w:p>
      <w:pPr>
        <w:ind w:left="840" w:hanging="656"/>
        <w:spacing w:after="0" w:line="263" w:lineRule="auto"/>
        <w:tabs>
          <w:tab w:leader="none" w:pos="828" w:val="left"/>
        </w:tabs>
        <w:numPr>
          <w:ilvl w:val="0"/>
          <w:numId w:val="29"/>
        </w:numPr>
        <w:rPr>
          <w:rFonts w:ascii="Arial" w:cs="Arial" w:eastAsia="Arial" w:hAnsi="Arial"/>
          <w:sz w:val="22"/>
          <w:szCs w:val="22"/>
          <w:color w:val="auto"/>
        </w:rPr>
      </w:pPr>
      <w:r>
        <w:rPr>
          <w:rFonts w:ascii="Arial" w:cs="Arial" w:eastAsia="Arial" w:hAnsi="Arial"/>
          <w:sz w:val="22"/>
          <w:szCs w:val="22"/>
          <w:color w:val="auto"/>
        </w:rPr>
        <w:t>in the event that Participant’s death occurs prior to the date determined pursuant to (i), (ii) or (iii), above, the date of Participant’s death.</w:t>
      </w:r>
    </w:p>
    <w:p>
      <w:pPr>
        <w:spacing w:after="0" w:line="175" w:lineRule="exact"/>
        <w:rPr>
          <w:sz w:val="20"/>
          <w:szCs w:val="20"/>
          <w:color w:val="auto"/>
        </w:rPr>
      </w:pPr>
    </w:p>
    <w:p>
      <w:pPr>
        <w:jc w:val="both"/>
        <w:ind w:left="-1120" w:firstLine="1304"/>
        <w:spacing w:after="0" w:line="302" w:lineRule="auto"/>
        <w:tabs>
          <w:tab w:leader="none" w:pos="819" w:val="left"/>
        </w:tabs>
        <w:numPr>
          <w:ilvl w:val="0"/>
          <w:numId w:val="30"/>
        </w:numPr>
        <w:rPr>
          <w:rFonts w:ascii="Arial" w:cs="Arial" w:eastAsia="Arial" w:hAnsi="Arial"/>
          <w:sz w:val="19"/>
          <w:szCs w:val="19"/>
          <w:color w:val="auto"/>
        </w:rPr>
      </w:pPr>
      <w:r>
        <w:rPr>
          <w:rFonts w:ascii="Arial" w:cs="Arial" w:eastAsia="Arial" w:hAnsi="Arial"/>
          <w:sz w:val="19"/>
          <w:szCs w:val="19"/>
          <w:color w:val="auto"/>
        </w:rPr>
        <w:t>Participant’s eligibility to be granted RSUs ceases on the Termination Date. Except if and as required to comply with applicable minimum requirements contained in ESL, Participant is not eligible for continued vesting of any RSUs during any period in which Participant receives, or claims to be entitled to receive, any compensatory payments or damages in lieu of notice of termination pursuant to contract, common law or civil law, and Participant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90" w:lineRule="exact"/>
        <w:rPr>
          <w:rFonts w:ascii="Arial" w:cs="Arial" w:eastAsia="Arial" w:hAnsi="Arial"/>
          <w:sz w:val="19"/>
          <w:szCs w:val="19"/>
          <w:color w:val="auto"/>
        </w:rPr>
      </w:pPr>
    </w:p>
    <w:p>
      <w:pPr>
        <w:ind w:left="4460" w:hanging="136"/>
        <w:spacing w:after="0"/>
        <w:tabs>
          <w:tab w:leader="none" w:pos="44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0120"/>
          </w:cols>
          <w:pgMar w:left="1440" w:top="1266" w:right="339" w:bottom="1440" w:gutter="0" w:footer="0" w:header="0"/>
        </w:sectPr>
      </w:pPr>
    </w:p>
    <w:bookmarkStart w:id="64" w:name="page65"/>
    <w:bookmarkEnd w:id="64"/>
    <w:p>
      <w:pPr>
        <w:jc w:val="both"/>
        <w:spacing w:after="0" w:line="260" w:lineRule="auto"/>
        <w:rPr>
          <w:sz w:val="20"/>
          <w:szCs w:val="20"/>
          <w:color w:val="auto"/>
        </w:rPr>
      </w:pPr>
      <w:r>
        <w:rPr>
          <w:rFonts w:ascii="Arial" w:cs="Arial" w:eastAsia="Arial" w:hAnsi="Arial"/>
          <w:sz w:val="21"/>
          <w:szCs w:val="21"/>
          <w:color w:val="auto"/>
        </w:rPr>
        <w:t>will not be entitled to any damages or other compensation in respect of any RSU that does not vest or is not awarded due to the Termination of Service of Participant as of the Termination Date for any reason. This Agreement displaces any and all common law and civil law rights Participant may have or claim to have in respect of any RSUs, including any right to damages. The foregoing shall apply, regardless of: (i) the reason for Participant’s Termination of Service; (ii) whether such Termination of Service is lawful or unlawful, with or without cause; (iii) whether it is Participant or the Company or a Subsidiary that initiates the termination; and (iv) any fundamental changes, over time, to the terms and conditions applicable to Participant’s employment, consulting arrangement or service as a Director, as the case may be.</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Settlement</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312" w:lineRule="auto"/>
        <w:tabs>
          <w:tab w:leader="none" w:pos="1941"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RSUs will be paid in newly-issued Shares as soon as administratively practicable after the vesting of the applicable RSU, but in no event later than the March 15 of the year following the year in which the RSU’s vesting date occurs. Notwithstanding Section 9.9 of the Plan, no portion of the RSUs will be settled in cash without Participant’s consent.</w:t>
      </w:r>
    </w:p>
    <w:p>
      <w:pPr>
        <w:spacing w:after="0" w:line="133" w:lineRule="exact"/>
        <w:rPr>
          <w:rFonts w:ascii="Arial" w:cs="Arial" w:eastAsia="Arial" w:hAnsi="Arial"/>
          <w:sz w:val="19"/>
          <w:szCs w:val="19"/>
          <w:color w:val="auto"/>
        </w:rPr>
      </w:pPr>
    </w:p>
    <w:p>
      <w:pPr>
        <w:jc w:val="both"/>
        <w:ind w:firstLine="1304"/>
        <w:spacing w:after="0" w:line="302" w:lineRule="auto"/>
        <w:tabs>
          <w:tab w:leader="none" w:pos="1939" w:val="left"/>
        </w:tabs>
        <w:numPr>
          <w:ilvl w:val="0"/>
          <w:numId w:val="31"/>
        </w:numPr>
        <w:rPr>
          <w:rFonts w:ascii="Arial" w:cs="Arial" w:eastAsia="Arial" w:hAnsi="Arial"/>
          <w:sz w:val="19"/>
          <w:szCs w:val="19"/>
          <w:color w:val="auto"/>
        </w:rPr>
      </w:pPr>
      <w:r>
        <w:rPr>
          <w:rFonts w:ascii="Arial" w:cs="Arial" w:eastAsia="Arial" w:hAnsi="Arial"/>
          <w:sz w:val="19"/>
          <w:szCs w:val="19"/>
          <w:color w:val="auto"/>
        </w:rPr>
        <w:t>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136" w:lineRule="exact"/>
        <w:rPr>
          <w:sz w:val="20"/>
          <w:szCs w:val="20"/>
          <w:color w:val="auto"/>
        </w:rPr>
      </w:pPr>
    </w:p>
    <w:p>
      <w:pPr>
        <w:ind w:left="5380"/>
        <w:spacing w:after="0"/>
        <w:rPr>
          <w:sz w:val="20"/>
          <w:szCs w:val="20"/>
          <w:color w:val="auto"/>
        </w:rPr>
      </w:pPr>
      <w:r>
        <w:rPr>
          <w:rFonts w:ascii="Arial" w:cs="Arial" w:eastAsia="Arial" w:hAnsi="Arial"/>
          <w:sz w:val="22"/>
          <w:szCs w:val="22"/>
          <w:b w:val="1"/>
          <w:bCs w:val="1"/>
          <w:color w:val="auto"/>
        </w:rPr>
        <w:t>Article 3</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TAXATION AND TAX WITHHOLDING</w:t>
      </w:r>
    </w:p>
    <w:p>
      <w:pPr>
        <w:spacing w:after="0" w:line="202"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Representation</w:t>
      </w:r>
      <w:r>
        <w:rPr>
          <w:rFonts w:ascii="Arial" w:cs="Arial" w:eastAsia="Arial" w:hAnsi="Arial"/>
          <w:sz w:val="19"/>
          <w:szCs w:val="19"/>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13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Tax Withholding</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61" w:lineRule="auto"/>
        <w:tabs>
          <w:tab w:leader="none" w:pos="1941" w:val="left"/>
        </w:tabs>
        <w:numPr>
          <w:ilvl w:val="0"/>
          <w:numId w:val="32"/>
        </w:numPr>
        <w:rPr>
          <w:rFonts w:ascii="Arial" w:cs="Arial" w:eastAsia="Arial" w:hAnsi="Arial"/>
          <w:sz w:val="21"/>
          <w:szCs w:val="21"/>
          <w:color w:val="auto"/>
        </w:rPr>
      </w:pPr>
      <w:r>
        <w:rPr>
          <w:rFonts w:ascii="Arial" w:cs="Arial" w:eastAsia="Arial" w:hAnsi="Arial"/>
          <w:sz w:val="21"/>
          <w:szCs w:val="21"/>
          <w:color w:val="auto"/>
        </w:rPr>
        <w:t>Participant must pay the Company, or make provision satisfactory to the Administrator for payment of, any taxes required by Applicable Law to be withheld in connection with such Participant’s Awards in cash, by wire transfer of immediately available funds, by check made payable to the order of the Company by the date of the event creating the tax liability. Alternatively, and subject to any requirements or limitations under Applicable Law, the Company may and the Participant hereby authorizes and consents to the Company, or their respective agents, at their discretion, to satisfy their withholding obligations with regard to the RSUs by any of the following methods only:</w:t>
      </w:r>
    </w:p>
    <w:p>
      <w:pPr>
        <w:spacing w:after="0" w:line="179" w:lineRule="exact"/>
        <w:rPr>
          <w:sz w:val="20"/>
          <w:szCs w:val="20"/>
          <w:color w:val="auto"/>
        </w:rPr>
      </w:pPr>
    </w:p>
    <w:p>
      <w:pPr>
        <w:ind w:left="1960" w:hanging="656"/>
        <w:spacing w:after="0" w:line="263" w:lineRule="auto"/>
        <w:tabs>
          <w:tab w:leader="none" w:pos="1948" w:val="left"/>
        </w:tabs>
        <w:numPr>
          <w:ilvl w:val="0"/>
          <w:numId w:val="33"/>
        </w:numPr>
        <w:rPr>
          <w:rFonts w:ascii="Arial" w:cs="Arial" w:eastAsia="Arial" w:hAnsi="Arial"/>
          <w:sz w:val="22"/>
          <w:szCs w:val="22"/>
          <w:color w:val="auto"/>
        </w:rPr>
      </w:pPr>
      <w:r>
        <w:rPr>
          <w:rFonts w:ascii="Arial" w:cs="Arial" w:eastAsia="Arial" w:hAnsi="Arial"/>
          <w:sz w:val="22"/>
          <w:szCs w:val="22"/>
          <w:color w:val="auto"/>
        </w:rPr>
        <w:t>by surrendering to the Company for cancellation RSUs with respect to that number of Shares with a Fair Market Value equal to the applicable tax withholding obligations;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2" w:lineRule="exact"/>
        <w:rPr>
          <w:rFonts w:ascii="Arial" w:cs="Arial" w:eastAsia="Arial" w:hAnsi="Arial"/>
          <w:sz w:val="22"/>
          <w:szCs w:val="22"/>
          <w:color w:val="auto"/>
        </w:rPr>
      </w:pPr>
    </w:p>
    <w:p>
      <w:pPr>
        <w:ind w:left="5580" w:hanging="136"/>
        <w:spacing w:after="0"/>
        <w:tabs>
          <w:tab w:leader="none" w:pos="5580" w:val="left"/>
        </w:tabs>
        <w:numPr>
          <w:ilvl w:val="1"/>
          <w:numId w:val="33"/>
        </w:numPr>
        <w:rPr>
          <w:rFonts w:ascii="Arial" w:cs="Arial" w:eastAsia="Arial" w:hAnsi="Arial"/>
          <w:sz w:val="22"/>
          <w:szCs w:val="22"/>
          <w:color w:val="auto"/>
        </w:rPr>
      </w:pPr>
      <w:r>
        <w:rPr>
          <w:rFonts w:ascii="Arial" w:cs="Arial" w:eastAsia="Arial" w:hAnsi="Arial"/>
          <w:sz w:val="22"/>
          <w:szCs w:val="22"/>
          <w:color w:val="auto"/>
        </w:rPr>
        <w:t>4 -</w:t>
      </w:r>
    </w:p>
    <w:p>
      <w:pPr>
        <w:sectPr>
          <w:pgSz w:w="11900" w:h="16838" w:orient="portrait"/>
          <w:cols w:equalWidth="0" w:num="1">
            <w:col w:w="11240"/>
          </w:cols>
          <w:pgMar w:left="320" w:top="1266" w:right="339" w:bottom="1440" w:gutter="0" w:footer="0" w:header="0"/>
        </w:sectPr>
      </w:pPr>
    </w:p>
    <w:bookmarkStart w:id="65" w:name="page66"/>
    <w:bookmarkEnd w:id="65"/>
    <w:p>
      <w:pPr>
        <w:jc w:val="both"/>
        <w:ind w:left="1960" w:hanging="656"/>
        <w:spacing w:after="0" w:line="261" w:lineRule="auto"/>
        <w:tabs>
          <w:tab w:leader="none" w:pos="1954" w:val="left"/>
        </w:tabs>
        <w:numPr>
          <w:ilvl w:val="0"/>
          <w:numId w:val="34"/>
        </w:numPr>
        <w:rPr>
          <w:rFonts w:ascii="Arial" w:cs="Arial" w:eastAsia="Arial" w:hAnsi="Arial"/>
          <w:sz w:val="21"/>
          <w:szCs w:val="21"/>
          <w:color w:val="auto"/>
        </w:rPr>
      </w:pPr>
      <w:r>
        <w:rPr>
          <w:rFonts w:ascii="Arial" w:cs="Arial" w:eastAsia="Arial" w:hAnsi="Arial"/>
          <w:sz w:val="21"/>
          <w:szCs w:val="21"/>
          <w:color w:val="auto"/>
        </w:rPr>
        <w:t>if there is a public market for Shares at the time the tax obligations are satisfied, unless the Company otherwise determines, delivery by the Company of a copy of irrevocable and unconditional instructions to a broker acceptable to the Company to sell shares issued in respect of the RSUs in an amount necessary to satisfy the applicable tax withholding obligations and deliver promptly to the Company funds sufficient to satisfy the tax withholding; provided that such amount is paid to the Company at such time as may be required by the Administrator; or</w:t>
      </w:r>
    </w:p>
    <w:p>
      <w:pPr>
        <w:spacing w:after="0" w:line="179" w:lineRule="exact"/>
        <w:rPr>
          <w:rFonts w:ascii="Arial" w:cs="Arial" w:eastAsia="Arial" w:hAnsi="Arial"/>
          <w:sz w:val="21"/>
          <w:szCs w:val="21"/>
          <w:color w:val="auto"/>
        </w:rPr>
      </w:pPr>
    </w:p>
    <w:p>
      <w:pPr>
        <w:ind w:left="1960" w:hanging="656"/>
        <w:spacing w:after="0"/>
        <w:tabs>
          <w:tab w:leader="none" w:pos="19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any combination of the foregoing payment forms approved by the Administrator.</w:t>
      </w:r>
    </w:p>
    <w:p>
      <w:pPr>
        <w:spacing w:after="0" w:line="220" w:lineRule="exact"/>
        <w:rPr>
          <w:sz w:val="20"/>
          <w:szCs w:val="20"/>
          <w:color w:val="auto"/>
        </w:rPr>
      </w:pPr>
    </w:p>
    <w:p>
      <w:pPr>
        <w:jc w:val="both"/>
        <w:ind w:firstLine="1304"/>
        <w:spacing w:after="0" w:line="247" w:lineRule="auto"/>
        <w:tabs>
          <w:tab w:leader="none" w:pos="1939" w:val="left"/>
        </w:tabs>
        <w:numPr>
          <w:ilvl w:val="0"/>
          <w:numId w:val="35"/>
        </w:numPr>
        <w:rPr>
          <w:rFonts w:ascii="Arial" w:cs="Arial" w:eastAsia="Arial" w:hAnsi="Arial"/>
          <w:sz w:val="22"/>
          <w:szCs w:val="22"/>
          <w:color w:val="auto"/>
        </w:rPr>
      </w:pPr>
      <w:r>
        <w:rPr>
          <w:rFonts w:ascii="Arial" w:cs="Arial" w:eastAsia="Arial" w:hAnsi="Arial"/>
          <w:sz w:val="22"/>
          <w:szCs w:val="22"/>
          <w:color w:val="auto"/>
        </w:rPr>
        <w:t>Participant acknowledges that Participant is ultimately liable and responsible for all taxes owed in connection with the RSUs, regardless of any action the Company or any Subsidiary takes with respect to any tax withholding obligations that arise in connection with the RSUs. Neither the Company nor any Subsidiary makes any representation or undertaking regarding the treatment of any tax withholding in connection with the awarding, vesting or payment of the RSUs or the subsequent sale of Shares. The Company and its Subsidiaries do not commit and are under no obligation to structure the RSUs to reduce or eliminate Participant’s tax liability.</w:t>
      </w:r>
    </w:p>
    <w:p>
      <w:pPr>
        <w:spacing w:after="0" w:line="187" w:lineRule="exact"/>
        <w:rPr>
          <w:sz w:val="20"/>
          <w:szCs w:val="20"/>
          <w:color w:val="auto"/>
        </w:rPr>
      </w:pPr>
    </w:p>
    <w:p>
      <w:pPr>
        <w:ind w:left="5380"/>
        <w:spacing w:after="0"/>
        <w:rPr>
          <w:sz w:val="20"/>
          <w:szCs w:val="20"/>
          <w:color w:val="auto"/>
        </w:rPr>
      </w:pPr>
      <w:r>
        <w:rPr>
          <w:rFonts w:ascii="Arial" w:cs="Arial" w:eastAsia="Arial" w:hAnsi="Arial"/>
          <w:sz w:val="22"/>
          <w:szCs w:val="22"/>
          <w:b w:val="1"/>
          <w:bCs w:val="1"/>
          <w:color w:val="auto"/>
        </w:rPr>
        <w:t>Article 4</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Dividends</w:t>
      </w:r>
    </w:p>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Divided Equivalents</w:t>
      </w:r>
      <w:r>
        <w:rPr>
          <w:rFonts w:ascii="Arial" w:cs="Arial" w:eastAsia="Arial" w:hAnsi="Arial"/>
          <w:sz w:val="22"/>
          <w:szCs w:val="22"/>
          <w:color w:val="auto"/>
        </w:rPr>
        <w:t>. Dividend Equivalents, if any, will be credited in the form of additional RSUs as of each dividend payment date in respect of which normal cash dividends are paid on Shares. Such Dividend Equivalents shall be computed by dividing: (a) the amount obtained by multiplying the amount of the dividend declared and paid per Share by the number of RSUs held by Participant on the record date for the payment of such dividend, by (b) the Fair Market Value at the close of the first business day immediately following the dividend record date, rounded down to the nearest whole number. Dividend Equivalents credited to Participant’s account shall be subject to the same vesting and other terms as the RSUs to which they relate.</w:t>
      </w:r>
    </w:p>
    <w:p>
      <w:pPr>
        <w:spacing w:after="0" w:line="190" w:lineRule="exact"/>
        <w:rPr>
          <w:sz w:val="20"/>
          <w:szCs w:val="20"/>
          <w:color w:val="auto"/>
        </w:rPr>
      </w:pPr>
    </w:p>
    <w:p>
      <w:pPr>
        <w:ind w:left="5380"/>
        <w:spacing w:after="0"/>
        <w:rPr>
          <w:sz w:val="20"/>
          <w:szCs w:val="20"/>
          <w:color w:val="auto"/>
        </w:rPr>
      </w:pPr>
      <w:r>
        <w:rPr>
          <w:rFonts w:ascii="Arial" w:cs="Arial" w:eastAsia="Arial" w:hAnsi="Arial"/>
          <w:sz w:val="22"/>
          <w:szCs w:val="22"/>
          <w:b w:val="1"/>
          <w:bCs w:val="1"/>
          <w:color w:val="auto"/>
        </w:rPr>
        <w:t>Article 5</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OTHER PROVISIONS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Adjustments</w:t>
      </w:r>
      <w:r>
        <w:rPr>
          <w:rFonts w:ascii="Arial" w:cs="Arial" w:eastAsia="Arial" w:hAnsi="Arial"/>
          <w:sz w:val="22"/>
          <w:szCs w:val="22"/>
          <w:color w:val="auto"/>
        </w:rPr>
        <w:t>. Participant acknowledges that the RSUs, and the Shares subject to the RSUs, are subject to adjustment, modification and termination in certain events as provided in this Agreement and the Plan.</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Notices</w:t>
      </w:r>
      <w:r>
        <w:rPr>
          <w:rFonts w:ascii="Arial" w:cs="Arial" w:eastAsia="Arial" w:hAnsi="Arial"/>
          <w:sz w:val="19"/>
          <w:szCs w:val="19"/>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240"/>
          </w:cols>
          <w:pgMar w:left="320" w:top="1266" w:right="339" w:bottom="1440" w:gutter="0" w:footer="0" w:header="0"/>
        </w:sectPr>
      </w:pPr>
    </w:p>
    <w:bookmarkStart w:id="66" w:name="page67"/>
    <w:bookmarkEnd w:id="66"/>
    <w:p>
      <w:pPr>
        <w:jc w:val="both"/>
        <w:spacing w:after="0" w:line="253" w:lineRule="auto"/>
        <w:rPr>
          <w:sz w:val="20"/>
          <w:szCs w:val="20"/>
          <w:color w:val="auto"/>
        </w:rPr>
      </w:pPr>
      <w:r>
        <w:rPr>
          <w:rFonts w:ascii="Arial" w:cs="Arial" w:eastAsia="Arial" w:hAnsi="Arial"/>
          <w:sz w:val="22"/>
          <w:szCs w:val="22"/>
          <w:color w:val="auto"/>
        </w:rPr>
        <w:t>given when actually received, when sent by email, when sent by certified mail (return receipt requested) and deposited with postage prepaid in a post office or a regularly maintained branch post office, when delivered by a nationally recognized express shipping company or upon receipt of a facsimile transmission confirmation.</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Titles</w:t>
      </w:r>
      <w:r>
        <w:rPr>
          <w:rFonts w:ascii="Arial" w:cs="Arial" w:eastAsia="Arial" w:hAnsi="Arial"/>
          <w:sz w:val="22"/>
          <w:szCs w:val="22"/>
          <w:color w:val="auto"/>
        </w:rPr>
        <w:t>. Titles are provided herein for convenience only and are not to serve as a basis for interpretation or construction of this Agreement.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Conformity to Securities Laws</w:t>
      </w:r>
      <w:r>
        <w:rPr>
          <w:rFonts w:ascii="Arial" w:cs="Arial" w:eastAsia="Arial" w:hAnsi="Arial"/>
          <w:sz w:val="22"/>
          <w:szCs w:val="22"/>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Compliance with Employment Standards</w:t>
      </w:r>
      <w:r>
        <w:rPr>
          <w:rFonts w:ascii="Arial" w:cs="Arial" w:eastAsia="Arial" w:hAnsi="Arial"/>
          <w:sz w:val="19"/>
          <w:szCs w:val="19"/>
          <w:color w:val="auto"/>
        </w:rPr>
        <w:t>. It is understood and agreed that all provisions of the Plan and this Agreement are subject to all applicable minimum requirements of applicable employment standards legislation (“</w:t>
      </w:r>
      <w:r>
        <w:rPr>
          <w:rFonts w:ascii="Arial" w:cs="Arial" w:eastAsia="Arial" w:hAnsi="Arial"/>
          <w:sz w:val="19"/>
          <w:szCs w:val="19"/>
          <w:b w:val="1"/>
          <w:bCs w:val="1"/>
          <w:i w:val="1"/>
          <w:iCs w:val="1"/>
          <w:u w:val="single" w:color="auto"/>
          <w:color w:val="auto"/>
        </w:rPr>
        <w:t>ESL</w:t>
      </w:r>
      <w:r>
        <w:rPr>
          <w:rFonts w:ascii="Arial" w:cs="Arial" w:eastAsia="Arial" w:hAnsi="Arial"/>
          <w:sz w:val="19"/>
          <w:szCs w:val="19"/>
          <w:color w:val="auto"/>
        </w:rPr>
        <w:t>”) and it is the intention of the Company and its Subsidiaries to comply with the minimum applicable requirements contained in ESL. Accordingly, the Plan and this Agreement shall: (a) not be interpreted as in any way waiving or contracting out of ESL, and (b) be interpreted to achieve compliance with ESL. In the event that ESL provides for a superior right or entitlement upon termination of employment or otherwise (“</w:t>
      </w:r>
      <w:r>
        <w:rPr>
          <w:rFonts w:ascii="Arial" w:cs="Arial" w:eastAsia="Arial" w:hAnsi="Arial"/>
          <w:sz w:val="19"/>
          <w:szCs w:val="19"/>
          <w:b w:val="1"/>
          <w:bCs w:val="1"/>
          <w:i w:val="1"/>
          <w:iCs w:val="1"/>
          <w:u w:val="single" w:color="auto"/>
          <w:color w:val="auto"/>
        </w:rPr>
        <w:t>Statutory Entitlements</w:t>
      </w:r>
      <w:r>
        <w:rPr>
          <w:rFonts w:ascii="Arial" w:cs="Arial" w:eastAsia="Arial" w:hAnsi="Arial"/>
          <w:sz w:val="19"/>
          <w:szCs w:val="19"/>
          <w:color w:val="auto"/>
        </w:rPr>
        <w:t>”) than provided for under the Plan or this Agreement, Participant shall be provided with Participant’s minimum Statutory Entitlements in substitution for Participant’s rights under the Plan and/or this Agreement. There shall be no presumption of strict interpretation against the Company or any Subsidiary.</w:t>
      </w:r>
    </w:p>
    <w:p>
      <w:pPr>
        <w:spacing w:after="0" w:line="1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Language Consent</w:t>
      </w:r>
      <w:r>
        <w:rPr>
          <w:rFonts w:ascii="Arial" w:cs="Arial" w:eastAsia="Arial" w:hAnsi="Arial"/>
          <w:sz w:val="22"/>
          <w:szCs w:val="22"/>
          <w:color w:val="auto"/>
        </w:rPr>
        <w:t xml:space="preserve">. The parties acknowledge that it is their express wish that the Agreement, as well as all documents, notices and legal proceedings entered into, given or instituted pursuant hereto or relating directly or indirectly hereto, be drawn up in English. </w:t>
      </w:r>
      <w:r>
        <w:rPr>
          <w:rFonts w:ascii="Arial" w:cs="Arial" w:eastAsia="Arial" w:hAnsi="Arial"/>
          <w:sz w:val="22"/>
          <w:szCs w:val="22"/>
          <w:i w:val="1"/>
          <w:iCs w:val="1"/>
          <w:color w:val="auto"/>
        </w:rPr>
        <w:t>Les parties reconnaissent avoir exigé la rédaction en anglais de cette convention («Agreement»), ainsi</w:t>
      </w:r>
      <w:r>
        <w:rPr>
          <w:rFonts w:ascii="Arial" w:cs="Arial" w:eastAsia="Arial" w:hAnsi="Arial"/>
          <w:sz w:val="22"/>
          <w:szCs w:val="22"/>
          <w:color w:val="auto"/>
        </w:rPr>
        <w:t xml:space="preserve"> </w:t>
      </w:r>
      <w:r>
        <w:rPr>
          <w:rFonts w:ascii="Arial" w:cs="Arial" w:eastAsia="Arial" w:hAnsi="Arial"/>
          <w:sz w:val="22"/>
          <w:szCs w:val="22"/>
          <w:i w:val="1"/>
          <w:iCs w:val="1"/>
          <w:color w:val="auto"/>
        </w:rPr>
        <w:t>que cette Annexe, ainsi que de tous documents, avis et procédures judiciaires, exécutés, donnés ou intentés en vertu de, ou liés directement ou indirectement à, la présente convention.</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Company may assign any of its rights under this 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u w:val="single" w:color="auto"/>
          <w:color w:val="auto"/>
        </w:rPr>
        <w:t>Limitations Applicable to Section 16 Persons</w:t>
      </w:r>
      <w:r>
        <w:rPr>
          <w:rFonts w:ascii="Arial" w:cs="Arial" w:eastAsia="Arial" w:hAnsi="Arial"/>
          <w:sz w:val="19"/>
          <w:szCs w:val="19"/>
          <w:color w:val="auto"/>
        </w:rPr>
        <w:t>. Notwithstanding any other provision of the Plan or this Agreement, if Participant is subject to Section 16 of the Exchange Act, the Plan, the Grant Notice, this Agreement and the RSUs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5.9 </w:t>
      </w:r>
      <w:r>
        <w:rPr>
          <w:rFonts w:ascii="Arial" w:cs="Arial" w:eastAsia="Arial" w:hAnsi="Arial"/>
          <w:sz w:val="22"/>
          <w:szCs w:val="22"/>
          <w:u w:val="single" w:color="auto"/>
          <w:color w:val="auto"/>
        </w:rPr>
        <w:t>Entire Agreement</w:t>
      </w:r>
      <w:r>
        <w:rPr>
          <w:rFonts w:ascii="Arial" w:cs="Arial" w:eastAsia="Arial" w:hAnsi="Arial"/>
          <w:sz w:val="22"/>
          <w:szCs w:val="22"/>
          <w:color w:val="auto"/>
        </w:rPr>
        <w:t>. The Plan, the Grant Notice and this Agreement (including any exhibit hereto) constitute the entire agreement of the parties and supersede in their entirety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1240"/>
          </w:cols>
          <w:pgMar w:left="320" w:top="1266" w:right="339" w:bottom="1440" w:gutter="0" w:footer="0" w:header="0"/>
        </w:sectPr>
      </w:pPr>
    </w:p>
    <w:bookmarkStart w:id="67" w:name="page68"/>
    <w:bookmarkEnd w:id="67"/>
    <w:p>
      <w:pPr>
        <w:spacing w:after="0"/>
        <w:rPr>
          <w:sz w:val="20"/>
          <w:szCs w:val="20"/>
          <w:color w:val="auto"/>
        </w:rPr>
      </w:pPr>
      <w:r>
        <w:rPr>
          <w:rFonts w:ascii="Arial" w:cs="Arial" w:eastAsia="Arial" w:hAnsi="Arial"/>
          <w:sz w:val="22"/>
          <w:szCs w:val="22"/>
          <w:color w:val="auto"/>
        </w:rPr>
        <w:t>prior undertakings and agreements of the Company and Participant with respect to the subject matter hereof.</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5.10 </w:t>
      </w:r>
      <w:r>
        <w:rPr>
          <w:rFonts w:ascii="Arial" w:cs="Arial" w:eastAsia="Arial" w:hAnsi="Arial"/>
          <w:sz w:val="22"/>
          <w:szCs w:val="22"/>
          <w:u w:val="single" w:color="auto"/>
          <w:color w:val="auto"/>
        </w:rPr>
        <w:t>Agreement Severable</w:t>
      </w:r>
      <w:r>
        <w:rPr>
          <w:rFonts w:ascii="Arial" w:cs="Arial" w:eastAsia="Arial" w:hAnsi="Arial"/>
          <w:sz w:val="22"/>
          <w:szCs w:val="22"/>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5.11 </w:t>
      </w:r>
      <w:r>
        <w:rPr>
          <w:rFonts w:ascii="Arial" w:cs="Arial" w:eastAsia="Arial" w:hAnsi="Arial"/>
          <w:sz w:val="22"/>
          <w:szCs w:val="22"/>
          <w:u w:val="single" w:color="auto"/>
          <w:color w:val="auto"/>
        </w:rPr>
        <w:t>Limitation on Participant’s Rights</w:t>
      </w:r>
      <w:r>
        <w:rPr>
          <w:rFonts w:ascii="Arial" w:cs="Arial" w:eastAsia="Arial" w:hAnsi="Arial"/>
          <w:sz w:val="22"/>
          <w:szCs w:val="22"/>
          <w:color w:val="auto"/>
        </w:rPr>
        <w:t>. The participation of any Participant in the Plan is entirely voluntary and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rights no greater than the right to receive the Shares as a general unsecured creditor with respect to the RSUs, as and when settled pursuant to the terms of this Agreement.</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5.12 </w:t>
      </w:r>
      <w:r>
        <w:rPr>
          <w:rFonts w:ascii="Arial" w:cs="Arial" w:eastAsia="Arial" w:hAnsi="Arial"/>
          <w:sz w:val="21"/>
          <w:szCs w:val="21"/>
          <w:u w:val="single" w:color="auto"/>
          <w:color w:val="auto"/>
        </w:rPr>
        <w:t>Not a Contract of Employment</w:t>
      </w:r>
      <w:r>
        <w:rPr>
          <w:rFonts w:ascii="Arial" w:cs="Arial" w:eastAsia="Arial" w:hAnsi="Arial"/>
          <w:sz w:val="21"/>
          <w:szCs w:val="21"/>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5.13 </w:t>
      </w:r>
      <w:r>
        <w:rPr>
          <w:rFonts w:ascii="Arial" w:cs="Arial" w:eastAsia="Arial" w:hAnsi="Arial"/>
          <w:sz w:val="22"/>
          <w:szCs w:val="22"/>
          <w:u w:val="single" w:color="auto"/>
          <w:color w:val="auto"/>
        </w:rPr>
        <w:t>Counterparts</w:t>
      </w:r>
      <w:r>
        <w:rPr>
          <w:rFonts w:ascii="Arial" w:cs="Arial" w:eastAsia="Arial" w:hAnsi="Arial"/>
          <w:sz w:val="22"/>
          <w:szCs w:val="22"/>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5.14 </w:t>
      </w:r>
      <w:r>
        <w:rPr>
          <w:rFonts w:ascii="Arial" w:cs="Arial" w:eastAsia="Arial" w:hAnsi="Arial"/>
          <w:sz w:val="21"/>
          <w:szCs w:val="21"/>
          <w:u w:val="single" w:color="auto"/>
          <w:color w:val="auto"/>
        </w:rPr>
        <w:t>Restrictions</w:t>
      </w:r>
      <w:r>
        <w:rPr>
          <w:rFonts w:ascii="Arial" w:cs="Arial" w:eastAsia="Arial" w:hAnsi="Arial"/>
          <w:sz w:val="21"/>
          <w:szCs w:val="21"/>
          <w:color w:val="auto"/>
        </w:rPr>
        <w:t>. In the event the Shares are no longer registered with the Securities and Exchange Commission (as determined by the Administrator), any Shares acquired in respect of the RSUs shall be subject to such terms and conditions as the Administrator shall determine, including, without limitation, restrictions on the transferability, repurchase rights, the right of the Company to require that Shares be transferred in the event of certain transactions, rights of first refusal, tag-along rights, bring-along rights, redemption and co-sale rights and voting requirements. Such terms and conditions may be additional to those contained in the Plan and may, as determined by the Administrator, be contained in an exercise notice, securityholders’ agreement or in such other agreement as the Administrator shall determine, in each case in a form determined by the Administrator. The Administrator may condition the issuance of such Shares on Participant’s consent to such terms and conditions and Participant’s entering into such agreement or agreements.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- 7 -</w:t>
      </w:r>
    </w:p>
    <w:p>
      <w:pPr>
        <w:sectPr>
          <w:pgSz w:w="11900" w:h="16838" w:orient="portrait"/>
          <w:cols w:equalWidth="0" w:num="1">
            <w:col w:w="11240"/>
          </w:cols>
          <w:pgMar w:left="320" w:top="1266"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93" w:lineRule="exact"/>
        <w:rPr>
          <w:sz w:val="20"/>
          <w:szCs w:val="20"/>
          <w:color w:val="auto"/>
        </w:rPr>
      </w:pPr>
    </w:p>
    <w:p>
      <w:pPr>
        <w:jc w:val="center"/>
        <w:spacing w:after="0" w:line="313" w:lineRule="auto"/>
        <w:rPr>
          <w:sz w:val="20"/>
          <w:szCs w:val="20"/>
          <w:color w:val="auto"/>
        </w:rPr>
      </w:pPr>
      <w:r>
        <w:rPr>
          <w:rFonts w:ascii="Arial" w:cs="Arial" w:eastAsia="Arial" w:hAnsi="Arial"/>
          <w:sz w:val="18"/>
          <w:szCs w:val="18"/>
          <w:b w:val="1"/>
          <w:bCs w:val="1"/>
          <w:color w:val="auto"/>
        </w:rPr>
        <w:t>CERTIFICATION OF CHIEF EXECUTIVE OFFICER PURSUANT TO EXCHANGE ACT RULES 13a-14(a) AND 15d-14(a) AS ADOPTED PURSUANT TO SECTION 302 OF THE SARBANES-OXLEY ACT OF 2002</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I, Eric Wu, certify that:</w:t>
      </w:r>
    </w:p>
    <w:p>
      <w:pPr>
        <w:spacing w:after="0" w:line="225"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Opendoor Technologies,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60" w:hanging="324"/>
        <w:spacing w:after="0" w:line="263" w:lineRule="auto"/>
        <w:tabs>
          <w:tab w:leader="none" w:pos="97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jc w:val="both"/>
        <w:ind w:left="980" w:right="540" w:hanging="324"/>
        <w:spacing w:after="0" w:line="342" w:lineRule="auto"/>
        <w:tabs>
          <w:tab w:leader="none" w:pos="97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780" w:hanging="324"/>
        <w:spacing w:after="0" w:line="342" w:lineRule="auto"/>
        <w:tabs>
          <w:tab w:leader="none" w:pos="97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p>
      <w:pPr>
        <w:ind w:left="380"/>
        <w:spacing w:after="0"/>
        <w:tabs>
          <w:tab w:leader="none" w:pos="5020" w:val="left"/>
          <w:tab w:leader="none" w:pos="5620" w:val="left"/>
        </w:tabs>
        <w:rPr>
          <w:sz w:val="20"/>
          <w:szCs w:val="20"/>
          <w:color w:val="auto"/>
        </w:rPr>
      </w:pPr>
      <w:r>
        <w:rPr>
          <w:rFonts w:ascii="Arial" w:cs="Arial" w:eastAsia="Arial" w:hAnsi="Arial"/>
          <w:sz w:val="18"/>
          <w:szCs w:val="18"/>
          <w:color w:val="auto"/>
        </w:rPr>
        <w:t>Date: 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27514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Eric Wu</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58"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93" w:lineRule="exact"/>
        <w:rPr>
          <w:sz w:val="20"/>
          <w:szCs w:val="20"/>
          <w:color w:val="auto"/>
        </w:rPr>
      </w:pPr>
    </w:p>
    <w:p>
      <w:pPr>
        <w:jc w:val="center"/>
        <w:spacing w:after="0" w:line="313" w:lineRule="auto"/>
        <w:rPr>
          <w:sz w:val="20"/>
          <w:szCs w:val="20"/>
          <w:color w:val="auto"/>
        </w:rPr>
      </w:pPr>
      <w:r>
        <w:rPr>
          <w:rFonts w:ascii="Arial" w:cs="Arial" w:eastAsia="Arial" w:hAnsi="Arial"/>
          <w:sz w:val="18"/>
          <w:szCs w:val="18"/>
          <w:b w:val="1"/>
          <w:bCs w:val="1"/>
          <w:color w:val="auto"/>
        </w:rPr>
        <w:t>CERTIFICATION OF CHIEF FINANCIAL OFFICER PURSUANT TO EXCHANGE ACT RULES 13a-14(a) AND 15d-14(a) AS ADOPTED PURSUANT TO SECTION 302 OF THE SARBANES-OXLEY ACT OF 2002</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I, Carrie Wheeler, certify that:</w:t>
      </w:r>
    </w:p>
    <w:p>
      <w:pPr>
        <w:spacing w:after="0" w:line="225"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Opendoor Technologies,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60" w:hanging="324"/>
        <w:spacing w:after="0" w:line="263" w:lineRule="auto"/>
        <w:tabs>
          <w:tab w:leader="none" w:pos="97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jc w:val="both"/>
        <w:ind w:left="980" w:right="540" w:hanging="324"/>
        <w:spacing w:after="0" w:line="342" w:lineRule="auto"/>
        <w:tabs>
          <w:tab w:leader="none" w:pos="97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780" w:hanging="324"/>
        <w:spacing w:after="0" w:line="342" w:lineRule="auto"/>
        <w:tabs>
          <w:tab w:leader="none" w:pos="97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p>
      <w:pPr>
        <w:ind w:left="380"/>
        <w:spacing w:after="0"/>
        <w:tabs>
          <w:tab w:leader="none" w:pos="5020" w:val="left"/>
          <w:tab w:leader="none" w:pos="5620" w:val="left"/>
        </w:tabs>
        <w:rPr>
          <w:sz w:val="20"/>
          <w:szCs w:val="20"/>
          <w:color w:val="auto"/>
        </w:rPr>
      </w:pPr>
      <w:r>
        <w:rPr>
          <w:rFonts w:ascii="Arial" w:cs="Arial" w:eastAsia="Arial" w:hAnsi="Arial"/>
          <w:sz w:val="18"/>
          <w:szCs w:val="18"/>
          <w:color w:val="auto"/>
        </w:rPr>
        <w:t>Date: 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27514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Carrie Wheeler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958"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FINANCIAL OFFICER</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31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on Form 10-Q of Opendoor Technologies Inc. (the “Company”) for the period ended June 30, 2021 as filed with the Securities and Exchange Commission on the date hereof (the “Report”), the undersigned, Eric Wu, Chief Executive Officer of the Company, and Carrie Wheeler, Chief Financial Officer of the Company, each certifies, pursuant to 18 U.S.C. Section 1350, as adopted pursuant to Section 906 of the Sarbanes-Oxley Act of 2002, that:</w:t>
      </w:r>
    </w:p>
    <w:p>
      <w:pPr>
        <w:spacing w:after="0" w:line="214"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8" w:lineRule="exact"/>
        <w:rPr>
          <w:sz w:val="20"/>
          <w:szCs w:val="20"/>
          <w:color w:val="auto"/>
        </w:rPr>
      </w:pPr>
    </w:p>
    <w:p>
      <w:pPr>
        <w:ind w:left="20"/>
        <w:spacing w:after="0"/>
        <w:tabs>
          <w:tab w:leader="none" w:pos="780" w:val="left"/>
          <w:tab w:leader="none" w:pos="5020" w:val="left"/>
          <w:tab w:leader="none" w:pos="5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31750</wp:posOffset>
            </wp:positionV>
            <wp:extent cx="28200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Eric Wu</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tabs>
          <w:tab w:leader="none" w:pos="780" w:val="left"/>
          <w:tab w:leader="none" w:pos="5020" w:val="left"/>
          <w:tab w:leader="none" w:pos="5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31750</wp:posOffset>
            </wp:positionV>
            <wp:extent cx="28200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Carrie Wheeler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9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lvl w:ilvl="1">
      <w:lvlJc w:val="left"/>
      <w:lvlText w:val="▪"/>
      <w:numFmt w:val="bullet"/>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upperLetter"/>
      <w:start w:val="35"/>
    </w:lvl>
  </w:abstractNum>
  <w:abstractNum w:abstractNumId="6">
    <w:nsid w:val="2443A858"/>
    <w:multiLevelType w:val="hybridMultilevel"/>
    <w:lvl w:ilvl="0">
      <w:lvlJc w:val="left"/>
      <w:lvlText w:val="%1."/>
      <w:numFmt w:val="decimal"/>
      <w:start w:val="2"/>
    </w:lvl>
  </w:abstractNum>
  <w:abstractNum w:abstractNumId="7">
    <w:nsid w:val="2D1D5AE9"/>
    <w:multiLevelType w:val="hybridMultilevel"/>
    <w:lvl w:ilvl="0">
      <w:lvlJc w:val="left"/>
      <w:lvlText w:val="%1."/>
      <w:numFmt w:val="decimal"/>
      <w:start w:val="3"/>
    </w:lvl>
  </w:abstractNum>
  <w:abstractNum w:abstractNumId="8">
    <w:nsid w:val="6763845E"/>
    <w:multiLevelType w:val="hybridMultilevel"/>
    <w:lvl w:ilvl="0">
      <w:lvlJc w:val="left"/>
      <w:lvlText w:val="%1."/>
      <w:numFmt w:val="decimal"/>
      <w:start w:val="4"/>
    </w:lvl>
  </w:abstractNum>
  <w:abstractNum w:abstractNumId="9">
    <w:nsid w:val="75A2A8D4"/>
    <w:multiLevelType w:val="hybridMultilevel"/>
    <w:lvl w:ilvl="0">
      <w:lvlJc w:val="left"/>
      <w:lvlText w:val="%1."/>
      <w:numFmt w:val="decimal"/>
      <w:start w:val="5"/>
    </w:lvl>
  </w:abstractNum>
  <w:abstractNum w:abstractNumId="10">
    <w:nsid w:val="8EDBDAB"/>
    <w:multiLevelType w:val="hybridMultilevel"/>
    <w:lvl w:ilvl="0">
      <w:lvlJc w:val="left"/>
      <w:lvlText w:val="%1."/>
      <w:numFmt w:val="decimal"/>
      <w:start w:val="6"/>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7"/>
    </w:lvl>
  </w:abstractNum>
  <w:abstractNum w:abstractNumId="13">
    <w:nsid w:val="B03E0C6"/>
    <w:multiLevelType w:val="hybridMultilevel"/>
    <w:lvl w:ilvl="0">
      <w:lvlJc w:val="left"/>
      <w:lvlText w:val="%1."/>
      <w:numFmt w:val="decimal"/>
      <w:start w:val="8"/>
    </w:lvl>
  </w:abstractNum>
  <w:abstractNum w:abstractNumId="14">
    <w:nsid w:val="189A769B"/>
    <w:multiLevelType w:val="hybridMultilevel"/>
    <w:lvl w:ilvl="0">
      <w:lvlJc w:val="left"/>
      <w:lvlText w:val="%1."/>
      <w:numFmt w:val="decimal"/>
      <w:start w:val="9"/>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2"/>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8"/>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8"/>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lowerLetter"/>
      <w:start w:val="1"/>
    </w:lvl>
  </w:abstractNum>
  <w:abstractNum w:abstractNumId="27">
    <w:nsid w:val="4516DDE9"/>
    <w:multiLevelType w:val="hybridMultilevel"/>
    <w:lvl w:ilvl="0">
      <w:lvlJc w:val="left"/>
      <w:lvlText w:val="(%1)"/>
      <w:numFmt w:val="lowerRoman"/>
      <w:start w:val="1"/>
    </w:lvl>
    <w:lvl w:ilvl="1">
      <w:lvlJc w:val="left"/>
      <w:lvlText w:val="-"/>
      <w:numFmt w:val="bullet"/>
      <w:start w:val="1"/>
    </w:lvl>
  </w:abstractNum>
  <w:abstractNum w:abstractNumId="28">
    <w:nsid w:val="3006C83E"/>
    <w:multiLevelType w:val="hybridMultilevel"/>
    <w:lvl w:ilvl="0">
      <w:lvlJc w:val="left"/>
      <w:lvlText w:val="(%1)"/>
      <w:numFmt w:val="lowerRoman"/>
      <w:start w:val="2"/>
    </w:lvl>
  </w:abstractNum>
  <w:abstractNum w:abstractNumId="29">
    <w:nsid w:val="614FD4A1"/>
    <w:multiLevelType w:val="hybridMultilevel"/>
    <w:lvl w:ilvl="0">
      <w:lvlJc w:val="left"/>
      <w:lvlText w:val="(%1)"/>
      <w:numFmt w:val="lowerLetter"/>
      <w:start w:val="4"/>
    </w:lvl>
    <w:lvl w:ilvl="1">
      <w:lvlJc w:val="left"/>
      <w:lvlText w:val="-"/>
      <w:numFmt w:val="bullet"/>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lowerRoman"/>
      <w:start w:val="1"/>
    </w:lvl>
    <w:lvl w:ilvl="1">
      <w:lvlJc w:val="left"/>
      <w:lvlText w:val="-"/>
      <w:numFmt w:val="bullet"/>
      <w:start w:val="1"/>
    </w:lvl>
  </w:abstractNum>
  <w:abstractNum w:abstractNumId="33">
    <w:nsid w:val="5072367"/>
    <w:multiLevelType w:val="hybridMultilevel"/>
    <w:lvl w:ilvl="0">
      <w:lvlJc w:val="left"/>
      <w:lvlText w:val="(%1)"/>
      <w:numFmt w:val="lowerRoman"/>
      <w:start w:val="2"/>
    </w:lvl>
  </w:abstractNum>
  <w:abstractNum w:abstractNumId="34">
    <w:nsid w:val="3804823E"/>
    <w:multiLevelType w:val="hybridMultilevel"/>
    <w:lvl w:ilvl="0">
      <w:lvlJc w:val="left"/>
      <w:lvlText w:val="(%1)"/>
      <w:numFmt w:val="lowerLetter"/>
      <w:start w:val="2"/>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02" Type="http://schemas.openxmlformats.org/officeDocument/2006/relationships/hyperlink" Target="http://www.sec.gov/Archives/edgar/data/1801169/000110465920105791/tm2030935d1_ex2-1.htm" TargetMode="External"/><Relationship Id="rId103" Type="http://schemas.openxmlformats.org/officeDocument/2006/relationships/hyperlink" Target="http://www.sec.gov/Archives/edgar/data/1801169/000110465920137517/tm2038661d2_ex3-1.htm" TargetMode="External"/><Relationship Id="rId104" Type="http://schemas.openxmlformats.org/officeDocument/2006/relationships/hyperlink" Target="https://www.sec.gov/Archives/edgar/data/1801169/000110465921004379/tm2038271d12_ex3-3.htm" TargetMode="External"/><Relationship Id="rId105" Type="http://schemas.openxmlformats.org/officeDocument/2006/relationships/hyperlink" Target="http://www.sec.gov/Archives/edgar/data/1801169/000110465920122215/tm2030455d5_ex4-5.htm" TargetMode="External"/><Relationship Id="rId106" Type="http://schemas.openxmlformats.org/officeDocument/2006/relationships/hyperlink" Target="http://www.sec.gov/Archives/edgar/data/1801169/000110465920054449/tm2017926d1_ex4-1.htm" TargetMode="External"/><Relationship Id="rId107" Type="http://schemas.openxmlformats.org/officeDocument/2006/relationships/hyperlink" Target="https://www.sec.gov/Archives/edgar/data/1801169/000180116921000021/a43opendoor-amendmenttowa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2021-08-11T16:52:13Z</dcterms:created>
  <dcterms:modified xsi:type="dcterms:W3CDTF">2021-08-11T16:52:13Z</dcterms:modified>
</cp:coreProperties>
</file>