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7"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25" w:lineRule="exact"/>
        <w:rPr>
          <w:sz w:val="24"/>
          <w:szCs w:val="24"/>
          <w:color w:val="auto"/>
        </w:rPr>
      </w:pPr>
    </w:p>
    <w:p>
      <w:pPr>
        <w:jc w:val="right"/>
        <w:ind w:right="719"/>
        <w:spacing w:after="0"/>
        <w:rPr>
          <w:sz w:val="20"/>
          <w:szCs w:val="20"/>
          <w:color w:val="auto"/>
        </w:rPr>
      </w:pPr>
      <w:r>
        <w:rPr>
          <w:rFonts w:ascii="Times New Roman" w:cs="Times New Roman" w:eastAsia="Times New Roman" w:hAnsi="Times New Roman"/>
          <w:sz w:val="17"/>
          <w:szCs w:val="17"/>
          <w:b w:val="1"/>
          <w:bCs w:val="1"/>
          <w:color w:val="auto"/>
        </w:rPr>
        <w:t>Registration No. 333-279080</w:t>
      </w:r>
    </w:p>
    <w:p>
      <w:pPr>
        <w:spacing w:after="0" w:line="30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(To Prospectus dated May 2, 2024)</w:t>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99,295,146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1920875</wp:posOffset>
            </wp:positionH>
            <wp:positionV relativeFrom="paragraph">
              <wp:posOffset>157480</wp:posOffset>
            </wp:positionV>
            <wp:extent cx="187896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96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2340610</wp:posOffset>
            </wp:positionH>
            <wp:positionV relativeFrom="paragraph">
              <wp:posOffset>180975</wp:posOffset>
            </wp:positionV>
            <wp:extent cx="10147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4730" cy="762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ind w:left="700" w:right="719"/>
        <w:spacing w:after="0" w:line="273" w:lineRule="auto"/>
        <w:rPr>
          <w:sz w:val="20"/>
          <w:szCs w:val="20"/>
          <w:color w:val="auto"/>
        </w:rPr>
      </w:pPr>
      <w:r>
        <w:rPr>
          <w:rFonts w:ascii="Times New Roman" w:cs="Times New Roman" w:eastAsia="Times New Roman" w:hAnsi="Times New Roman"/>
          <w:sz w:val="16"/>
          <w:szCs w:val="16"/>
          <w:color w:val="auto"/>
        </w:rPr>
        <w:t>This prospectus supplement relates to the issuance and sale of up to 99,295,146 shares of our common stock (“Common Stock”) by us, upon the exercise of warrants issued by us on November 21, 2025, as a distribution to all holders of the shares of Common Stock and our 7.000% Convertible Senior Notes due 2030 (the “2030 Convertible Notes”) on the Record Date (as defined below) (each a “Warrant” and, collectively, the “Warrants”).</w:t>
      </w:r>
    </w:p>
    <w:p>
      <w:pPr>
        <w:spacing w:after="0" w:line="62" w:lineRule="exact"/>
        <w:rPr>
          <w:sz w:val="24"/>
          <w:szCs w:val="24"/>
          <w:color w:val="auto"/>
        </w:rPr>
      </w:pPr>
    </w:p>
    <w:p>
      <w:pPr>
        <w:jc w:val="both"/>
        <w:ind w:left="700" w:right="719"/>
        <w:spacing w:after="0" w:line="300"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(“Nasdaq”) under the symbol “OPEN.” On November 20, 2025, the last reported sale price of our Common Stock on Nasdaq was $6.16 per share.</w:t>
      </w:r>
    </w:p>
    <w:p>
      <w:pPr>
        <w:spacing w:after="0" w:line="39" w:lineRule="exact"/>
        <w:rPr>
          <w:sz w:val="24"/>
          <w:szCs w:val="24"/>
          <w:color w:val="auto"/>
        </w:rPr>
      </w:pPr>
    </w:p>
    <w:p>
      <w:pPr>
        <w:jc w:val="both"/>
        <w:ind w:left="700" w:right="719"/>
        <w:spacing w:after="0" w:line="267" w:lineRule="auto"/>
        <w:rPr>
          <w:sz w:val="20"/>
          <w:szCs w:val="20"/>
          <w:color w:val="auto"/>
        </w:rPr>
      </w:pPr>
      <w:r>
        <w:rPr>
          <w:rFonts w:ascii="Times New Roman" w:cs="Times New Roman" w:eastAsia="Times New Roman" w:hAnsi="Times New Roman"/>
          <w:sz w:val="16"/>
          <w:szCs w:val="16"/>
          <w:color w:val="auto"/>
        </w:rPr>
        <w:t>Our Board of Directors declared a distribution (the “Warrant Distribution”) of three series of transferable Warrants at no charge to all of our stockholders of record and holders of record of the 2030 Convertible Notes as of November 18, 2025 (the “Record Date”). We distributed on November 21, 2025 (the “Distribution Date”),</w:t>
      </w:r>
    </w:p>
    <w:p>
      <w:pPr>
        <w:jc w:val="both"/>
        <w:ind w:left="700" w:right="719" w:firstLine="9"/>
        <w:spacing w:after="0" w:line="263" w:lineRule="auto"/>
        <w:tabs>
          <w:tab w:leader="none" w:pos="92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Series K Warrant for every 30 shares of Common Stock (the “Series K Warrants”), (ii) one Series A Warrant for every 30 shares of Common Stock (the “Series A Warrants”) and (iii) one Series Z Warrant for every 30 shares of Common Stock (the “Series Z Warrants” and, together with the Series K Warrants and the Series A Warrants, the “Warrants”). Holders (“other eligible recipients”) of the 2030 Convertible Notes also received, at the same time and on the same terms as holders of Common Stock, each series of Warrants without having to convert such other eligible recipient’s 2030 Convertible Notes as if such other eligible recipient held a number of shares of Common Stock equal to the product of (i) the Conversion Rate (as defined in the indenture for the 2030 Convertible Notes) in effect on the Record Date (defined below); and (ii) the aggregate principal amount (expressed in thousands) of 2030 Convertible Notes held by such other eligible recipient on such date.</w:t>
      </w:r>
    </w:p>
    <w:p>
      <w:pPr>
        <w:spacing w:after="0" w:line="68" w:lineRule="exact"/>
        <w:rPr>
          <w:sz w:val="24"/>
          <w:szCs w:val="24"/>
          <w:color w:val="auto"/>
        </w:rPr>
      </w:pPr>
    </w:p>
    <w:p>
      <w:pPr>
        <w:jc w:val="both"/>
        <w:ind w:left="700" w:right="719"/>
        <w:spacing w:after="0" w:line="280" w:lineRule="auto"/>
        <w:rPr>
          <w:sz w:val="20"/>
          <w:szCs w:val="20"/>
          <w:color w:val="auto"/>
        </w:rPr>
      </w:pPr>
      <w:r>
        <w:rPr>
          <w:rFonts w:ascii="Times New Roman" w:cs="Times New Roman" w:eastAsia="Times New Roman" w:hAnsi="Times New Roman"/>
          <w:sz w:val="16"/>
          <w:szCs w:val="16"/>
          <w:color w:val="auto"/>
        </w:rPr>
        <w:t>Each Warrant will initially entitle the holder thereof to purchase, at the holder’s sole and exclusive election, at a cash exercise price of $9.00 per Series K Warrant, $13.00 per Series A Warrant and $17.00 per Series Z Warrant, one share of Common Stock.</w:t>
      </w:r>
    </w:p>
    <w:p>
      <w:pPr>
        <w:spacing w:after="0" w:line="55" w:lineRule="exact"/>
        <w:rPr>
          <w:sz w:val="24"/>
          <w:szCs w:val="24"/>
          <w:color w:val="auto"/>
        </w:rPr>
      </w:pPr>
    </w:p>
    <w:p>
      <w:pPr>
        <w:jc w:val="both"/>
        <w:ind w:left="700" w:right="719"/>
        <w:spacing w:after="0" w:line="268" w:lineRule="auto"/>
        <w:rPr>
          <w:sz w:val="20"/>
          <w:szCs w:val="20"/>
          <w:color w:val="auto"/>
        </w:rPr>
      </w:pPr>
      <w:r>
        <w:rPr>
          <w:rFonts w:ascii="Times New Roman" w:cs="Times New Roman" w:eastAsia="Times New Roman" w:hAnsi="Times New Roman"/>
          <w:sz w:val="16"/>
          <w:szCs w:val="16"/>
          <w:color w:val="auto"/>
        </w:rPr>
        <w:t>The Warrants will expire and cease to be exercisable at 5:00 p.m. New York City time on November 20, 2026 (the “Scheduled Expiration Date”), which may be automatically accelerated as described in this prospectus supplement (and we may elect a later alternate expiration date) for a particular series of Warrants if, within any period of thirty (30) consecutive trading days after the Distribution Date, there are at least twenty (20) trading days (whether or not consecutive) on which the daily volume-weighted average price of the Common Stock exceeds the applicable early expiration trigger price for such series of Warrants.</w:t>
      </w:r>
    </w:p>
    <w:p>
      <w:pPr>
        <w:spacing w:after="0" w:line="66" w:lineRule="exact"/>
        <w:rPr>
          <w:sz w:val="24"/>
          <w:szCs w:val="24"/>
          <w:color w:val="auto"/>
        </w:rPr>
      </w:pPr>
    </w:p>
    <w:p>
      <w:pPr>
        <w:jc w:val="both"/>
        <w:ind w:left="700" w:right="719"/>
        <w:spacing w:after="0" w:line="273" w:lineRule="auto"/>
        <w:rPr>
          <w:sz w:val="20"/>
          <w:szCs w:val="20"/>
          <w:color w:val="auto"/>
        </w:rPr>
      </w:pPr>
      <w:r>
        <w:rPr>
          <w:rFonts w:ascii="Times New Roman" w:cs="Times New Roman" w:eastAsia="Times New Roman" w:hAnsi="Times New Roman"/>
          <w:sz w:val="16"/>
          <w:szCs w:val="16"/>
          <w:color w:val="auto"/>
        </w:rPr>
        <w:t>Based on the number of shares of Common Stock issued and outstanding and the principal amount of the 2030 Convertible Notes outstanding as of November 18, 2025, if all Warrants issued in the Warrant Distribution were exercised, we would have 1,053,083,265 shares of Common Stock issued and outstanding following the completion of the exercise period for the Warrants.</w:t>
      </w:r>
    </w:p>
    <w:p>
      <w:pPr>
        <w:spacing w:after="0" w:line="62" w:lineRule="exact"/>
        <w:rPr>
          <w:sz w:val="24"/>
          <w:szCs w:val="24"/>
          <w:color w:val="auto"/>
        </w:rPr>
      </w:pPr>
    </w:p>
    <w:p>
      <w:pPr>
        <w:jc w:val="both"/>
        <w:ind w:left="700" w:right="719"/>
        <w:spacing w:after="0" w:line="268" w:lineRule="auto"/>
        <w:rPr>
          <w:sz w:val="20"/>
          <w:szCs w:val="20"/>
          <w:color w:val="auto"/>
        </w:rPr>
      </w:pPr>
      <w:r>
        <w:rPr>
          <w:rFonts w:ascii="Times New Roman" w:cs="Times New Roman" w:eastAsia="Times New Roman" w:hAnsi="Times New Roman"/>
          <w:sz w:val="16"/>
          <w:szCs w:val="16"/>
          <w:color w:val="auto"/>
        </w:rPr>
        <w:t>The Warrants have been issued by us pursuant to a warrant agreement, dated November 21, 2025, between us and Equiniti Trust Company, LLC, as Warrant Agent (the “Warrant Agreement”). The Warrants are transferable and are expected to trade on Nasdaq under the ticker OPENW for the Series K Warrants, under the ticker OPENL for the Series A Warrants and under the ticker OPENZ for the Series Z Warrants. However, there can be no assurance that an orderly, liquid trading market for the Warrants will develop. Any trading value of the Warrants will be determined by the market.</w:t>
      </w:r>
    </w:p>
    <w:p>
      <w:pPr>
        <w:spacing w:after="0" w:line="66" w:lineRule="exact"/>
        <w:rPr>
          <w:sz w:val="24"/>
          <w:szCs w:val="24"/>
          <w:color w:val="auto"/>
        </w:rPr>
      </w:pPr>
    </w:p>
    <w:p>
      <w:pPr>
        <w:jc w:val="both"/>
        <w:ind w:left="700" w:right="719"/>
        <w:spacing w:after="0" w:line="300" w:lineRule="auto"/>
        <w:rPr>
          <w:sz w:val="20"/>
          <w:szCs w:val="20"/>
          <w:color w:val="auto"/>
        </w:rPr>
      </w:pPr>
      <w:r>
        <w:rPr>
          <w:rFonts w:ascii="Times New Roman" w:cs="Times New Roman" w:eastAsia="Times New Roman" w:hAnsi="Times New Roman"/>
          <w:sz w:val="16"/>
          <w:szCs w:val="16"/>
          <w:color w:val="auto"/>
        </w:rPr>
        <w:t>We will receive proceeds from the exercise of the Warrants for cash. See “Use of Proceeds” in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2340610</wp:posOffset>
            </wp:positionH>
            <wp:positionV relativeFrom="paragraph">
              <wp:posOffset>121920</wp:posOffset>
            </wp:positionV>
            <wp:extent cx="10147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4730" cy="7620"/>
                    </a:xfrm>
                    <a:prstGeom prst="rect">
                      <a:avLst/>
                    </a:prstGeom>
                    <a:noFill/>
                  </pic:spPr>
                </pic:pic>
              </a:graphicData>
            </a:graphic>
          </wp:anchor>
        </w:drawing>
      </w:r>
    </w:p>
    <w:p>
      <w:pPr>
        <w:spacing w:after="0" w:line="315" w:lineRule="exact"/>
        <w:rPr>
          <w:sz w:val="24"/>
          <w:szCs w:val="24"/>
          <w:color w:val="auto"/>
        </w:rPr>
      </w:pPr>
    </w:p>
    <w:p>
      <w:pPr>
        <w:jc w:val="both"/>
        <w:ind w:left="700" w:right="719"/>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Investing in the securities offered by this prospectus supplement involves risks. See “Risk Factors” on page S-</w:t>
      </w:r>
      <w:r>
        <w:rPr>
          <w:rFonts w:ascii="Times New Roman" w:cs="Times New Roman" w:eastAsia="Times New Roman" w:hAnsi="Times New Roman"/>
          <w:sz w:val="16"/>
          <w:szCs w:val="16"/>
          <w:b w:val="1"/>
          <w:bCs w:val="1"/>
          <w:i w:val="1"/>
          <w:iCs w:val="1"/>
          <w:u w:val="single" w:color="auto"/>
          <w:color w:val="0000EE"/>
        </w:rPr>
        <w:t>11</w:t>
      </w:r>
      <w:r>
        <w:rPr>
          <w:rFonts w:ascii="Times New Roman" w:cs="Times New Roman" w:eastAsia="Times New Roman" w:hAnsi="Times New Roman"/>
          <w:sz w:val="16"/>
          <w:szCs w:val="16"/>
          <w:b w:val="1"/>
          <w:bCs w:val="1"/>
          <w:i w:val="1"/>
          <w:iCs w:val="1"/>
          <w:color w:val="0000EE"/>
        </w:rPr>
        <w:t xml:space="preserve"> </w:t>
      </w:r>
      <w:r>
        <w:rPr>
          <w:rFonts w:ascii="Times New Roman" w:cs="Times New Roman" w:eastAsia="Times New Roman" w:hAnsi="Times New Roman"/>
          <w:sz w:val="16"/>
          <w:szCs w:val="16"/>
          <w:b w:val="1"/>
          <w:bCs w:val="1"/>
          <w:i w:val="1"/>
          <w:iCs w:val="1"/>
          <w:color w:val="000000"/>
        </w:rPr>
        <w:t>of this prospectus supplement and any other risk factors included in the accompanying prospectus and in the</w:t>
      </w:r>
      <w:r>
        <w:rPr>
          <w:rFonts w:ascii="Times New Roman" w:cs="Times New Roman" w:eastAsia="Times New Roman" w:hAnsi="Times New Roman"/>
          <w:sz w:val="16"/>
          <w:szCs w:val="16"/>
          <w:b w:val="1"/>
          <w:bCs w:val="1"/>
          <w:i w:val="1"/>
          <w:iCs w:val="1"/>
          <w:color w:val="0000EE"/>
        </w:rPr>
        <w:t xml:space="preserve"> </w:t>
      </w:r>
      <w:r>
        <w:rPr>
          <w:rFonts w:ascii="Times New Roman" w:cs="Times New Roman" w:eastAsia="Times New Roman" w:hAnsi="Times New Roman"/>
          <w:sz w:val="16"/>
          <w:szCs w:val="16"/>
          <w:b w:val="1"/>
          <w:bCs w:val="1"/>
          <w:i w:val="1"/>
          <w:iCs w:val="1"/>
          <w:color w:val="000000"/>
        </w:rPr>
        <w:t>documents incorporated by reference in this prospectus supplement or the accompanying prospectus for a discussion of the factors you should carefully consider before deciding to purchase shares of our common stock.</w:t>
      </w:r>
    </w:p>
    <w:p>
      <w:pPr>
        <w:spacing w:after="0" w:line="258" w:lineRule="exact"/>
        <w:rPr>
          <w:sz w:val="24"/>
          <w:szCs w:val="24"/>
          <w:color w:val="auto"/>
        </w:rPr>
      </w:pPr>
    </w:p>
    <w:p>
      <w:pPr>
        <w:jc w:val="both"/>
        <w:ind w:left="700" w:right="719"/>
        <w:spacing w:after="0" w:line="28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2340610</wp:posOffset>
            </wp:positionH>
            <wp:positionV relativeFrom="paragraph">
              <wp:posOffset>130175</wp:posOffset>
            </wp:positionV>
            <wp:extent cx="10147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4730" cy="7620"/>
                    </a:xfrm>
                    <a:prstGeom prst="rect">
                      <a:avLst/>
                    </a:prstGeom>
                    <a:noFill/>
                  </pic:spPr>
                </pic:pic>
              </a:graphicData>
            </a:graphic>
          </wp:anchor>
        </w:drawing>
      </w:r>
    </w:p>
    <w:p>
      <w:pPr>
        <w:sectPr>
          <w:pgSz w:w="11900" w:h="16838" w:orient="portrait"/>
          <w:cols w:equalWidth="0" w:num="1">
            <w:col w:w="9019"/>
          </w:cols>
          <w:pgMar w:left="1440" w:top="217" w:right="1440" w:bottom="910" w:gutter="0" w:footer="0" w:header="0"/>
        </w:sectPr>
      </w:pPr>
    </w:p>
    <w:p>
      <w:pPr>
        <w:spacing w:after="0" w:line="3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date of this prospectus supplement is November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-369570</wp:posOffset>
            </wp:positionH>
            <wp:positionV relativeFrom="paragraph">
              <wp:posOffset>123825</wp:posOffset>
            </wp:positionV>
            <wp:extent cx="64687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17" w:right="1440" w:bottom="910" w:gutter="0" w:footer="0" w:header="0"/>
          <w:type w:val="continuous"/>
        </w:sectPr>
      </w:pPr>
    </w:p>
    <w:bookmarkStart w:id="1" w:name="page2"/>
    <w:bookmarkEnd w:id="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77"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80" w:type="dxa"/>
            <w:vAlign w:val="bottom"/>
            <w:gridSpan w:val="21"/>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ABOUT THIS PROSPECTUS SUPPLEMENT</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w w:val="89"/>
              </w:rPr>
              <w:t>S-ii</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tcPr>
          <w:p>
            <w:pPr>
              <w:spacing w:after="0" w:line="175" w:lineRule="exact"/>
              <w:rPr>
                <w:sz w:val="20"/>
                <w:szCs w:val="20"/>
                <w:color w:val="auto"/>
              </w:rPr>
            </w:pPr>
            <w:r>
              <w:rPr>
                <w:rFonts w:ascii="Times New Roman" w:cs="Times New Roman" w:eastAsia="Times New Roman" w:hAnsi="Times New Roman"/>
                <w:sz w:val="17"/>
                <w:szCs w:val="17"/>
                <w:color w:val="0000EE"/>
              </w:rPr>
              <w:t>CAUTIONARY STATEMENT REGARDING FORWARD-LOOKING STATEMENTS</w:t>
            </w:r>
          </w:p>
        </w:tc>
        <w:tc>
          <w:tcPr>
            <w:tcW w:w="280" w:type="dxa"/>
            <w:vAlign w:val="bottom"/>
          </w:tcPr>
          <w:p>
            <w:pPr>
              <w:spacing w:after="0"/>
              <w:rPr>
                <w:sz w:val="15"/>
                <w:szCs w:val="15"/>
                <w:color w:val="auto"/>
              </w:rPr>
            </w:pPr>
          </w:p>
        </w:tc>
        <w:tc>
          <w:tcPr>
            <w:tcW w:w="320" w:type="dxa"/>
            <w:vAlign w:val="bottom"/>
            <w:gridSpan w:val="7"/>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95"/>
              </w:rPr>
              <w:t>S-iii</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PROSPECTUS SUPPLEMENT SUMMARY</w:t>
            </w:r>
          </w:p>
        </w:tc>
        <w:tc>
          <w:tcPr>
            <w:tcW w:w="4140" w:type="dxa"/>
            <w:vAlign w:val="bottom"/>
            <w:gridSpan w:val="7"/>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5"/>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92"/>
              </w:rPr>
              <w:t>S-1</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gridSpan w:val="14"/>
          </w:tcPr>
          <w:p>
            <w:pPr>
              <w:spacing w:after="0" w:line="175" w:lineRule="exact"/>
              <w:rPr>
                <w:sz w:val="20"/>
                <w:szCs w:val="20"/>
                <w:color w:val="auto"/>
              </w:rPr>
            </w:pPr>
            <w:r>
              <w:rPr>
                <w:rFonts w:ascii="Times New Roman" w:cs="Times New Roman" w:eastAsia="Times New Roman" w:hAnsi="Times New Roman"/>
                <w:sz w:val="17"/>
                <w:szCs w:val="17"/>
                <w:color w:val="0000EE"/>
              </w:rPr>
              <w:t>RISK FACTORS</w:t>
            </w:r>
          </w:p>
        </w:tc>
        <w:tc>
          <w:tcPr>
            <w:tcW w:w="4140" w:type="dxa"/>
            <w:vAlign w:val="bottom"/>
            <w:gridSpan w:val="7"/>
          </w:tcPr>
          <w:p>
            <w:pPr>
              <w:spacing w:after="0"/>
              <w:rPr>
                <w:sz w:val="15"/>
                <w:szCs w:val="15"/>
                <w:color w:val="auto"/>
              </w:rPr>
            </w:pPr>
          </w:p>
        </w:tc>
        <w:tc>
          <w:tcPr>
            <w:tcW w:w="600" w:type="dxa"/>
            <w:vAlign w:val="bottom"/>
            <w:gridSpan w:val="8"/>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S-11</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600" w:type="dxa"/>
            <w:vAlign w:val="bottom"/>
            <w:gridSpan w:val="8"/>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S-15</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tcPr>
          <w:p>
            <w:pPr>
              <w:spacing w:after="0" w:line="175" w:lineRule="exact"/>
              <w:rPr>
                <w:sz w:val="20"/>
                <w:szCs w:val="20"/>
                <w:color w:val="auto"/>
              </w:rPr>
            </w:pPr>
            <w:r>
              <w:rPr>
                <w:rFonts w:ascii="Times New Roman" w:cs="Times New Roman" w:eastAsia="Times New Roman" w:hAnsi="Times New Roman"/>
                <w:sz w:val="17"/>
                <w:szCs w:val="17"/>
                <w:color w:val="0000EE"/>
              </w:rPr>
              <w:t>DESCRIPTION OF THE WARRANTS</w:t>
            </w:r>
          </w:p>
        </w:tc>
        <w:tc>
          <w:tcPr>
            <w:tcW w:w="600" w:type="dxa"/>
            <w:vAlign w:val="bottom"/>
            <w:gridSpan w:val="8"/>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S-16</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40" w:type="dxa"/>
            <w:vAlign w:val="bottom"/>
            <w:gridSpan w:val="16"/>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CERTAIN U.S. FEDERAL INCOME TAX CONSEQUENCES</w:t>
            </w:r>
          </w:p>
        </w:tc>
        <w:tc>
          <w:tcPr>
            <w:tcW w:w="2940" w:type="dxa"/>
            <w:vAlign w:val="bottom"/>
            <w:gridSpan w:val="5"/>
            <w:shd w:val="clear" w:color="auto" w:fill="CCEEFF"/>
          </w:tcPr>
          <w:p>
            <w:pPr>
              <w:spacing w:after="0"/>
              <w:rPr>
                <w:sz w:val="15"/>
                <w:szCs w:val="15"/>
                <w:color w:val="auto"/>
              </w:rPr>
            </w:pPr>
          </w:p>
        </w:tc>
        <w:tc>
          <w:tcPr>
            <w:tcW w:w="600" w:type="dxa"/>
            <w:vAlign w:val="bottom"/>
            <w:gridSpan w:val="8"/>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S-29</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40" w:type="dxa"/>
            <w:vAlign w:val="bottom"/>
            <w:gridSpan w:val="16"/>
          </w:tcPr>
          <w:p>
            <w:pPr>
              <w:spacing w:after="0" w:line="175" w:lineRule="exact"/>
              <w:rPr>
                <w:sz w:val="20"/>
                <w:szCs w:val="20"/>
                <w:color w:val="auto"/>
              </w:rPr>
            </w:pPr>
            <w:r>
              <w:rPr>
                <w:rFonts w:ascii="Times New Roman" w:cs="Times New Roman" w:eastAsia="Times New Roman" w:hAnsi="Times New Roman"/>
                <w:sz w:val="17"/>
                <w:szCs w:val="17"/>
                <w:color w:val="0000EE"/>
              </w:rPr>
              <w:t>LEGAL MATTERS</w:t>
            </w:r>
          </w:p>
        </w:tc>
        <w:tc>
          <w:tcPr>
            <w:tcW w:w="2940" w:type="dxa"/>
            <w:vAlign w:val="bottom"/>
            <w:gridSpan w:val="5"/>
          </w:tcPr>
          <w:p>
            <w:pPr>
              <w:spacing w:after="0"/>
              <w:rPr>
                <w:sz w:val="15"/>
                <w:szCs w:val="15"/>
                <w:color w:val="auto"/>
              </w:rPr>
            </w:pPr>
          </w:p>
        </w:tc>
        <w:tc>
          <w:tcPr>
            <w:tcW w:w="600" w:type="dxa"/>
            <w:vAlign w:val="bottom"/>
            <w:gridSpan w:val="8"/>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S-36</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2"/>
              </w:rPr>
              <w:t>EXPERTS</w:t>
            </w:r>
          </w:p>
        </w:tc>
        <w:tc>
          <w:tcPr>
            <w:tcW w:w="6480" w:type="dxa"/>
            <w:vAlign w:val="bottom"/>
            <w:gridSpan w:val="19"/>
            <w:shd w:val="clear" w:color="auto" w:fill="CCEEFF"/>
          </w:tcPr>
          <w:p>
            <w:pPr>
              <w:spacing w:after="0"/>
              <w:rPr>
                <w:sz w:val="15"/>
                <w:szCs w:val="15"/>
                <w:color w:val="auto"/>
              </w:rPr>
            </w:pPr>
          </w:p>
        </w:tc>
        <w:tc>
          <w:tcPr>
            <w:tcW w:w="600" w:type="dxa"/>
            <w:vAlign w:val="bottom"/>
            <w:gridSpan w:val="8"/>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S-36</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6340" w:type="dxa"/>
            <w:vAlign w:val="bottom"/>
            <w:tcBorders>
              <w:bottom w:val="single" w:sz="8" w:color="0000EE"/>
            </w:tcBorders>
            <w:gridSpan w:val="20"/>
          </w:tcPr>
          <w:p>
            <w:pPr>
              <w:spacing w:after="0" w:line="175" w:lineRule="exact"/>
              <w:rPr>
                <w:sz w:val="20"/>
                <w:szCs w:val="20"/>
                <w:color w:val="auto"/>
              </w:rPr>
            </w:pPr>
            <w:r>
              <w:rPr>
                <w:rFonts w:ascii="Times New Roman" w:cs="Times New Roman" w:eastAsia="Times New Roman" w:hAnsi="Times New Roman"/>
                <w:sz w:val="17"/>
                <w:szCs w:val="17"/>
                <w:color w:val="0000EE"/>
                <w:w w:val="96"/>
              </w:rPr>
              <w:t>WHERE YOU CAN FIND MORE INFORMATION; INFORMATION INCORPORATED BY</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20" w:type="dxa"/>
            <w:vAlign w:val="bottom"/>
            <w:gridSpan w:val="20"/>
          </w:tcPr>
          <w:p>
            <w:pPr>
              <w:spacing w:after="0" w:line="180" w:lineRule="exact"/>
              <w:rPr>
                <w:sz w:val="20"/>
                <w:szCs w:val="20"/>
                <w:color w:val="auto"/>
              </w:rPr>
            </w:pPr>
            <w:r>
              <w:rPr>
                <w:rFonts w:ascii="Times New Roman" w:cs="Times New Roman" w:eastAsia="Times New Roman" w:hAnsi="Times New Roman"/>
                <w:sz w:val="17"/>
                <w:szCs w:val="17"/>
                <w:color w:val="0000EE"/>
              </w:rPr>
              <w:t>REFERENCE</w:t>
            </w:r>
          </w:p>
        </w:tc>
        <w:tc>
          <w:tcPr>
            <w:tcW w:w="600" w:type="dxa"/>
            <w:vAlign w:val="bottom"/>
            <w:gridSpan w:val="8"/>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S-37</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6"/>
          </w:tcPr>
          <w:p>
            <w:pPr>
              <w:ind w:left="34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2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2"/>
        </w:trPr>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6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6"/>
              </w:rPr>
              <w:t>ABOUT THIS PROSPECTUS</w:t>
            </w:r>
          </w:p>
        </w:tc>
        <w:tc>
          <w:tcPr>
            <w:tcW w:w="5120" w:type="dxa"/>
            <w:vAlign w:val="bottom"/>
            <w:gridSpan w:val="11"/>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tcPr>
          <w:p>
            <w:pPr>
              <w:spacing w:after="0" w:line="175"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20" w:type="dxa"/>
            <w:vAlign w:val="bottom"/>
            <w:gridSpan w:val="19"/>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WHERE YOU CAN FIND MORE INFORMATION; INCORPORATION BY REFERENCE</w:t>
            </w:r>
          </w:p>
        </w:tc>
        <w:tc>
          <w:tcPr>
            <w:tcW w:w="960" w:type="dxa"/>
            <w:vAlign w:val="bottom"/>
            <w:gridSpan w:val="2"/>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20" w:type="dxa"/>
            <w:vAlign w:val="bottom"/>
            <w:gridSpan w:val="19"/>
          </w:tcPr>
          <w:p>
            <w:pPr>
              <w:spacing w:after="0" w:line="175" w:lineRule="exact"/>
              <w:rPr>
                <w:sz w:val="20"/>
                <w:szCs w:val="20"/>
                <w:color w:val="auto"/>
              </w:rPr>
            </w:pPr>
            <w:r>
              <w:rPr>
                <w:rFonts w:ascii="Times New Roman" w:cs="Times New Roman" w:eastAsia="Times New Roman" w:hAnsi="Times New Roman"/>
                <w:sz w:val="17"/>
                <w:szCs w:val="17"/>
                <w:color w:val="0000EE"/>
              </w:rPr>
              <w:t>THE COMPANY</w:t>
            </w:r>
          </w:p>
        </w:tc>
        <w:tc>
          <w:tcPr>
            <w:tcW w:w="960" w:type="dxa"/>
            <w:vAlign w:val="bottom"/>
            <w:gridSpan w:val="2"/>
          </w:tcPr>
          <w:p>
            <w:pPr>
              <w:spacing w:after="0"/>
              <w:rPr>
                <w:sz w:val="15"/>
                <w:szCs w:val="15"/>
                <w:color w:val="auto"/>
              </w:rPr>
            </w:pP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RISK FACTORS</w:t>
            </w: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4540" w:type="dxa"/>
            <w:vAlign w:val="bottom"/>
            <w:gridSpan w:val="10"/>
            <w:shd w:val="clear" w:color="auto" w:fill="CCEEFF"/>
          </w:tcPr>
          <w:p>
            <w:pPr>
              <w:spacing w:after="0"/>
              <w:rPr>
                <w:sz w:val="15"/>
                <w:szCs w:val="15"/>
                <w:color w:val="auto"/>
              </w:rPr>
            </w:pP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tcPr>
          <w:p>
            <w:pPr>
              <w:spacing w:after="0" w:line="175"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10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DESCRIPTION OF OTHER SECURITIES</w:t>
            </w: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17</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00" w:type="dxa"/>
            <w:vAlign w:val="bottom"/>
            <w:gridSpan w:val="13"/>
          </w:tcPr>
          <w:p>
            <w:pPr>
              <w:spacing w:after="0" w:line="175" w:lineRule="exact"/>
              <w:rPr>
                <w:sz w:val="20"/>
                <w:szCs w:val="20"/>
                <w:color w:val="auto"/>
              </w:rPr>
            </w:pPr>
            <w:r>
              <w:rPr>
                <w:rFonts w:ascii="Times New Roman" w:cs="Times New Roman" w:eastAsia="Times New Roman" w:hAnsi="Times New Roman"/>
                <w:sz w:val="17"/>
                <w:szCs w:val="17"/>
                <w:color w:val="0000EE"/>
              </w:rPr>
              <w:t>GLOBAL SECURITIES</w:t>
            </w:r>
          </w:p>
        </w:tc>
        <w:tc>
          <w:tcPr>
            <w:tcW w:w="4280" w:type="dxa"/>
            <w:vAlign w:val="bottom"/>
            <w:gridSpan w:val="8"/>
          </w:tcPr>
          <w:p>
            <w:pPr>
              <w:spacing w:after="0"/>
              <w:rPr>
                <w:sz w:val="15"/>
                <w:szCs w:val="15"/>
                <w:color w:val="auto"/>
              </w:rPr>
            </w:pP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PLAN OF DISTRIBUTION</w:t>
            </w: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880" w:type="dxa"/>
            <w:vAlign w:val="bottom"/>
            <w:gridSpan w:val="9"/>
          </w:tcPr>
          <w:p>
            <w:pPr>
              <w:spacing w:after="0" w:line="175" w:lineRule="exact"/>
              <w:rPr>
                <w:sz w:val="20"/>
                <w:szCs w:val="20"/>
                <w:color w:val="auto"/>
              </w:rPr>
            </w:pPr>
            <w:r>
              <w:rPr>
                <w:rFonts w:ascii="Times New Roman" w:cs="Times New Roman" w:eastAsia="Times New Roman" w:hAnsi="Times New Roman"/>
                <w:sz w:val="17"/>
                <w:szCs w:val="17"/>
                <w:color w:val="0000EE"/>
              </w:rPr>
              <w:t>LEGAL MATTERS</w:t>
            </w:r>
          </w:p>
        </w:tc>
        <w:tc>
          <w:tcPr>
            <w:tcW w:w="5300" w:type="dxa"/>
            <w:vAlign w:val="bottom"/>
            <w:gridSpan w:val="12"/>
          </w:tcPr>
          <w:p>
            <w:pPr>
              <w:spacing w:after="0"/>
              <w:rPr>
                <w:sz w:val="15"/>
                <w:szCs w:val="15"/>
                <w:color w:val="auto"/>
              </w:rPr>
            </w:pPr>
          </w:p>
        </w:tc>
        <w:tc>
          <w:tcPr>
            <w:tcW w:w="540" w:type="dxa"/>
            <w:vAlign w:val="bottom"/>
            <w:gridSpan w:val="6"/>
          </w:tcPr>
          <w:p>
            <w:pPr>
              <w:jc w:val="right"/>
              <w:spacing w:after="0" w:line="175" w:lineRule="exact"/>
              <w:rPr>
                <w:sz w:val="20"/>
                <w:szCs w:val="20"/>
                <w:color w:val="auto"/>
              </w:rPr>
            </w:pPr>
            <w:r>
              <w:rPr>
                <w:rFonts w:ascii="Times New Roman" w:cs="Times New Roman" w:eastAsia="Times New Roman" w:hAnsi="Times New Roman"/>
                <w:sz w:val="17"/>
                <w:szCs w:val="17"/>
                <w:color w:val="0000EE"/>
              </w:rPr>
              <w:t>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21"/>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EXPERTS</w:t>
            </w:r>
          </w:p>
        </w:tc>
        <w:tc>
          <w:tcPr>
            <w:tcW w:w="540" w:type="dxa"/>
            <w:vAlign w:val="bottom"/>
            <w:gridSpan w:val="6"/>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or in any document incorporated by reference that was filed with the U.S. Securities and Exchange Commission (the “SEC”), before the date of this prospectus supplement, you should rely on the information set forth in this prospectus supplement. In general, when we refer to the prospectus, we are referring to both the prospectus supplement and the accompanying prospectus combined.</w:t>
      </w:r>
    </w:p>
    <w:p>
      <w:pPr>
        <w:spacing w:after="0" w:line="77" w:lineRule="exact"/>
        <w:rPr>
          <w:sz w:val="20"/>
          <w:szCs w:val="20"/>
          <w:color w:val="auto"/>
        </w:rPr>
      </w:pPr>
    </w:p>
    <w:p>
      <w:pPr>
        <w:jc w:val="both"/>
        <w:ind w:left="600" w:right="619" w:firstLine="333"/>
        <w:spacing w:after="0" w:line="264" w:lineRule="auto"/>
        <w:rPr>
          <w:sz w:val="20"/>
          <w:szCs w:val="20"/>
          <w:color w:val="auto"/>
        </w:rPr>
      </w:pPr>
      <w:r>
        <w:rPr>
          <w:rFonts w:ascii="Times New Roman" w:cs="Times New Roman" w:eastAsia="Times New Roman" w:hAnsi="Times New Roman"/>
          <w:sz w:val="16"/>
          <w:szCs w:val="16"/>
          <w:color w:val="auto"/>
        </w:rPr>
        <w:t>We have not authorized anyone to provide any information other than that contained in or incorporated by reference in this prospectus supplement, the accompanying prospectus and in any free writing prospectus prepared by or on behalf of us or to which we have referred you. We take no responsibility for, and can provide no assurance as to the reliability of, any other information that others may give you. We are offering to sell, and seeking offers to buy, our securities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71"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You should assume that the information appearing in this prospectus supplement, the accompanying prospectus and the documents incorporated by reference into this prospectus supplement, and in any free writing prospectus that we may authorize for use in connection with this offering, is accurate only as of the date of the respective document. Our business, financial condition, results of operations and prospects may have changed since that date. You should read this prospectus supplement, the accompanying prospectus and the documents incorporated by reference into this prospectus supplement,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titled “Where You Can Find More Information; Information Incorporated by Reference.”</w:t>
      </w:r>
    </w:p>
    <w:p>
      <w:pPr>
        <w:spacing w:after="0" w:line="8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When we refer to “Opendoor,” “we,” “our,” “us,” “our company” and the “Company” in this prospectus supplement, we mean Opendoor Technologies Inc. and its subsidiaries taken as a whole, unless otherwise specified. When we refer to “you,” we mean the holders of common stock of the Company or holders of the Warrants, as applicable.</w:t>
      </w:r>
    </w:p>
    <w:p>
      <w:pPr>
        <w:spacing w:after="0" w:line="75"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We have proprietary rights to trademarks, trade names and service marks appearing in this prospectus supplement and the accompanying prospectus and the documents incorporated herein and therein that are important to our business. This prospectus supplement and the accompanying prospectus and the documents incorporated herein and therein by reference also include trademarks, trade names and service marks that are the property of other organizations. Solely for convenience, the trademarks, trade names and service marks may appear without the ®, TM and SM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prospectus supplement and the accompanying prospectus and the documents incorporated herein and therein are the property of their respective owners.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108" w:lineRule="exact"/>
        <w:rPr>
          <w:sz w:val="20"/>
          <w:szCs w:val="20"/>
          <w:color w:val="auto"/>
        </w:rPr>
      </w:pPr>
    </w:p>
    <w:p>
      <w:pPr>
        <w:jc w:val="both"/>
        <w:ind w:left="600" w:right="619" w:firstLine="333"/>
        <w:spacing w:after="0" w:line="262"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(the “Securities Act”), and Section 21E of the Exchange Act. You can identify these forward-looking statements by the fact they use words such as “believe,” “may,” “will,” “estimate,” “continue,” “anticipate,” “would,” “could,” “should,” “intend” and “expect,” and other words and terms of similar meaning and expression in connection, but the absence of these words does not mean that a statement is not forward looking. You can also identify forward-looking statements by the fact that they do not relate strictly to historical or current facts. Such forward-looking statements are based on current expectations and involve inherent risks and uncertainties, including factors that could delay, divert, or change any of them, and could cause actual outcomes to differ materially from current expectations. These statements are likely to relate to, among other things: the current and future health and stability of the real estate housing market and general economy; volatility of mortgage interest rates, changes in resale clearance rates and expectations regarding future behavior of consumers and partners; the health and status of our financial condition and expectations with respect to our debt and equity financings; anticipated future results of operations or financial performance; priorities to achieve future financial and business goals; impacts to our business from political and regulatory activity, including recent trade policies and potential increased tariffs; the likelihood of offer acceptance among high-quality homes in response to refinements to our spread policy; our ability to continue to effectively navigate the markets in which we operate;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our ability to adopt an effective approach to manage economic and industry risk, as well as inventory health, including by improving the quality of homes in our portfolio and supporting faster sell-through; our expectations with respect to the future success of our partnerships and our ability to drive significant growth in sales volumes through such partnerships; our business strategy and plans, including plans to expand into additional markets; market opportunity and expansion and objectives of management for future operations, including statements regarding the benefits and timing of the roll out of new markets, products, or technology; the expected diversification of funding sources; and the use of proceeds from the exercise of the Warrants.</w:t>
      </w:r>
    </w:p>
    <w:p>
      <w:pPr>
        <w:spacing w:after="0" w:line="271"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We have based the forward-looking statements contained or incorporated by reference in this prospectus supplement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or incorporated by reference into, the section titled “Risk Factors” and elsewhere in this prospectus supplement. Moreover, we operate in a very competitive and rapidly changing environment. New risks and uncertainties emerge from time to time and it is not possible for us to predict all risks and uncertainties or the extent to which any factor or combination of factors may cause actual results to differ materially from those contained in any forward-looking statements we may make in this prospectus supplement or the documents incorporated by reference herein. We cannot assure you that the results, events and circumstances reflected in the forward-looking statements will be achieved or occur. Actual results, events or circumstances could differ materially and adversely from those described or anticipated in the forward-looking statements. As a result, you should not unduly rely on forward-looking statements as predictions of future events.</w:t>
      </w:r>
    </w:p>
    <w:p>
      <w:pPr>
        <w:spacing w:after="0" w:line="81"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forward-looking statements made in, or incorporated by reference into, this prospectus supplement relate only to events as of the date on which the statements are made. We undertake no obligation to update any forward-looking statements made or incorporated by reference in this prospectus supplement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7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Our actual results and timing of selected events may differ materially from those anticipated in these forward-looking statements as a result of many factors, including those described in, or incorporated by reference into, the section titled “Risk Factors” and elsewhere in this prospectus supplement.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83185</wp:posOffset>
            </wp:positionV>
            <wp:extent cx="5220970" cy="3643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0970" cy="364363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106" w:lineRule="exact"/>
        <w:rPr>
          <w:sz w:val="20"/>
          <w:szCs w:val="20"/>
          <w:color w:val="auto"/>
        </w:rPr>
      </w:pPr>
    </w:p>
    <w:p>
      <w:pPr>
        <w:jc w:val="both"/>
        <w:ind w:left="620" w:right="599" w:firstLine="333"/>
        <w:spacing w:after="0" w:line="249"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or incorporated by reference into this prospectus supplement or the accompanying prospectus. This summary is not complete and does not contain all of the information that you should consider in making your investment decision. Before investing in our securities, you should carefully read the entire prospectus supplement, the accompanying prospectus, and the documents incorporated by reference in this prospectus supplement and the accompanying prospectus carefully, including “Risk Factors,” “Management’s Discussion and Analysis of Financial Condition and Results of Operations,” our financial statements and related notes incorporated by reference in this prospectus supplement and the accompanying prospectus.</w:t>
      </w:r>
    </w:p>
    <w:p>
      <w:pPr>
        <w:spacing w:after="0" w:line="3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08" w:lineRule="exact"/>
        <w:rPr>
          <w:sz w:val="20"/>
          <w:szCs w:val="20"/>
          <w:color w:val="auto"/>
        </w:rPr>
      </w:pPr>
    </w:p>
    <w:p>
      <w:pPr>
        <w:jc w:val="both"/>
        <w:ind w:left="620" w:right="599" w:firstLine="333"/>
        <w:spacing w:after="0" w:line="271" w:lineRule="auto"/>
        <w:rPr>
          <w:sz w:val="20"/>
          <w:szCs w:val="20"/>
          <w:color w:val="auto"/>
        </w:rPr>
      </w:pPr>
      <w:r>
        <w:rPr>
          <w:rFonts w:ascii="Times New Roman" w:cs="Times New Roman" w:eastAsia="Times New Roman" w:hAnsi="Times New Roman"/>
          <w:sz w:val="16"/>
          <w:szCs w:val="16"/>
          <w:color w:val="auto"/>
        </w:rPr>
        <w:t>Opendoor’s mission is to power life’s progress, one move at a time. Residential real estate is a trillion-dollar industry underpinned by a process that is complicated, time-consuming, stressful, and offline. Our data-driven pricing models and integrated local operations are modernizing residential real estate by providing a simple, certain, and largely digital way to buy and sell homes. Since our founding, we have completed over 291,000 transactions across the United States, making us one of the largest buyers and sellers of homes in the United States.</w:t>
      </w:r>
    </w:p>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08" w:lineRule="exact"/>
        <w:rPr>
          <w:sz w:val="20"/>
          <w:szCs w:val="20"/>
          <w:color w:val="auto"/>
        </w:rPr>
      </w:pPr>
    </w:p>
    <w:p>
      <w:pPr>
        <w:jc w:val="both"/>
        <w:ind w:left="620" w:right="599" w:firstLine="333"/>
        <w:spacing w:after="0" w:line="251" w:lineRule="auto"/>
        <w:rPr>
          <w:sz w:val="20"/>
          <w:szCs w:val="20"/>
          <w:color w:val="auto"/>
        </w:rPr>
      </w:pPr>
      <w:r>
        <w:rPr>
          <w:rFonts w:ascii="Times New Roman" w:cs="Times New Roman" w:eastAsia="Times New Roman" w:hAnsi="Times New Roman"/>
          <w:sz w:val="17"/>
          <w:szCs w:val="17"/>
          <w:color w:val="auto"/>
        </w:rPr>
        <w:t>We were incorporated in December 2013 as a Delaware corporation. Our principal executive offices are located at 410 N. Scottsdale Road, Suite 1000, Tempe, AZ 85288, and our telephone number is (480) 618-6760. Our website address is www.opendoor.com. The information on, or that can be accessed through, our website is not part of this prospectus supplement or the accompanying prospectus and is not incorporated by reference herein or therein. We have included our website address as an inactive textual reference only.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 w:name="page6"/>
    <w:bookmarkEnd w:id="5"/>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83185</wp:posOffset>
            </wp:positionV>
            <wp:extent cx="5220970" cy="7242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0970" cy="724281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06" w:lineRule="exact"/>
        <w:rPr>
          <w:sz w:val="20"/>
          <w:szCs w:val="20"/>
          <w:color w:val="auto"/>
        </w:rPr>
      </w:pPr>
    </w:p>
    <w:p>
      <w:pPr>
        <w:jc w:val="both"/>
        <w:ind w:left="1200" w:right="1180" w:firstLine="333"/>
        <w:spacing w:after="0" w:line="254" w:lineRule="auto"/>
        <w:rPr>
          <w:sz w:val="20"/>
          <w:szCs w:val="20"/>
          <w:color w:val="auto"/>
        </w:rPr>
      </w:pPr>
      <w:r>
        <w:rPr>
          <w:rFonts w:ascii="Times New Roman" w:cs="Times New Roman" w:eastAsia="Times New Roman" w:hAnsi="Times New Roman"/>
          <w:sz w:val="17"/>
          <w:szCs w:val="17"/>
          <w:i w:val="1"/>
          <w:iCs w:val="1"/>
          <w:color w:val="auto"/>
        </w:rPr>
        <w:t>This summary highlights the information contained elsewhere in this prospectus supplement. You should read carefully the following summary together with the more detailed description of the terms of the Warrants and Common Stock contained elsewhere in this prospectus supplement. See “Description of the Warrants” in this prospectus supplement and “Description of Capital Stock” in the accompanying prospectus.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Opendoor Technologies, Inc.</w:t>
            </w:r>
          </w:p>
        </w:tc>
        <w:tc>
          <w:tcPr>
            <w:tcW w:w="960" w:type="dxa"/>
            <w:vAlign w:val="bottom"/>
          </w:tcPr>
          <w:p>
            <w:pPr>
              <w:spacing w:after="0"/>
              <w:rPr>
                <w:sz w:val="19"/>
                <w:szCs w:val="19"/>
                <w:color w:val="auto"/>
              </w:rPr>
            </w:pPr>
          </w:p>
        </w:tc>
      </w:tr>
      <w:tr>
        <w:trPr>
          <w:trHeight w:val="321"/>
        </w:trPr>
        <w:tc>
          <w:tcPr>
            <w:tcW w:w="1000" w:type="dxa"/>
            <w:vAlign w:val="bottom"/>
          </w:tcPr>
          <w:p>
            <w:pPr>
              <w:spacing w:after="0"/>
              <w:rPr>
                <w:sz w:val="24"/>
                <w:szCs w:val="24"/>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The Warrant Distribution:</w:t>
            </w: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Our  Board  of  Directors  declared  a  distribution  of</w:t>
            </w:r>
          </w:p>
        </w:tc>
        <w:tc>
          <w:tcPr>
            <w:tcW w:w="960" w:type="dxa"/>
            <w:vAlign w:val="bottom"/>
          </w:tcPr>
          <w:p>
            <w:pPr>
              <w:spacing w:after="0"/>
              <w:rPr>
                <w:sz w:val="24"/>
                <w:szCs w:val="24"/>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three series of transferable Warrants at no charge to all</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of our stockholders. We distributed on November 21,</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2025 (the “Distribution Date”), (i) one Series K Warrant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for every 30 shares of our Common Stock (the “Series K</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Warrants”), (ii) one Series A Warrant for every 30 shares</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of our Common Stock (the “Series A Warrants”) and</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(iii) one Series Z Warrant for every 30 shares of our</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Common Stock (the “Series Z Warrants” and, together</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with the Series K Warrants and the Series A Warrants,</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the “Warrants”). Holders (“other eligible recipients”) of</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our 7.000% Convertible Senior Notes due 2030 (the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“2030 Convertible Notes”) also received, at the same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time and on the same terms as holders of Common</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Stock, each series of Warrants without having to convert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such other eligible recipient’s 2030 Convertible Notes as</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if such other eligible recipient held a number of shares</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of Common Stock equal to the product of (i) the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Conversion Rate (as defined in the indenture for the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2030 Convertible Notes) in effect on the Record Date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(defined below) and (ii) the aggregate principal amount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(expressed in thousands) of 2030 Convertible Notes held</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by such other eligible recipient on such date. Each</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Warrant will entitle the holder thereof (the “Holder”) to</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purchase, at the Holder’s sole and exclusive election, at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the applicable Warrant Exercise Price (defined below),</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one share of Common Stock as set forth in “Warrant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Shares”  below  and  subject  to  certain  adjustments</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described in the “Description of the Warrants—Anti-</w:t>
            </w:r>
          </w:p>
        </w:tc>
        <w:tc>
          <w:tcPr>
            <w:tcW w:w="96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Dilution Adjustments” below.</w:t>
            </w:r>
          </w:p>
        </w:tc>
        <w:tc>
          <w:tcPr>
            <w:tcW w:w="960" w:type="dxa"/>
            <w:vAlign w:val="bottom"/>
          </w:tcPr>
          <w:p>
            <w:pPr>
              <w:spacing w:after="0"/>
              <w:rPr>
                <w:sz w:val="18"/>
                <w:szCs w:val="18"/>
                <w:color w:val="auto"/>
              </w:rPr>
            </w:pPr>
          </w:p>
        </w:tc>
      </w:tr>
      <w:tr>
        <w:trPr>
          <w:trHeight w:val="283"/>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We issued a total of (i) 33,098,382 Series K Warrants</w:t>
            </w:r>
          </w:p>
        </w:tc>
        <w:tc>
          <w:tcPr>
            <w:tcW w:w="960" w:type="dxa"/>
            <w:vAlign w:val="bottom"/>
          </w:tcPr>
          <w:p>
            <w:pPr>
              <w:spacing w:after="0"/>
              <w:rPr>
                <w:sz w:val="24"/>
                <w:szCs w:val="24"/>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(which represent the right to purchase up to 33,098,382</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shares of Common Stock, assuming that no Warrants or</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shares  of  Common  Stock  are  rounded  down),  (ii)</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33,098,382 Series A Warrants (which represent the right</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to purchase up to 33,098,382 shares of Common Stock,</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assuming that no Warrants or shares of Common Stock</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are  rounded  down)  and  (iii)  33,098,382  Series  Z</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Warrants (which represent the right to purchase up to</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33,098,382 shares of Common Stock, assuming that no</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Warrants or shares of Common Stock are rounded</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down). Our officers, directors, employees, affiliates and</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advisors and their respective affiliates who are also</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stockholders or other eligible recipients will receive</w:t>
            </w:r>
          </w:p>
        </w:tc>
        <w:tc>
          <w:tcPr>
            <w:tcW w:w="960" w:type="dxa"/>
            <w:vAlign w:val="bottom"/>
          </w:tcPr>
          <w:p>
            <w:pPr>
              <w:spacing w:after="0"/>
              <w:rPr>
                <w:sz w:val="17"/>
                <w:szCs w:val="17"/>
                <w:color w:val="auto"/>
              </w:rPr>
            </w:pPr>
          </w:p>
        </w:tc>
      </w:tr>
      <w:tr>
        <w:trPr>
          <w:trHeight w:val="200"/>
        </w:trPr>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each series of Warrants similar to all other stockholders</w:t>
            </w:r>
          </w:p>
        </w:tc>
        <w:tc>
          <w:tcPr>
            <w:tcW w:w="960" w:type="dxa"/>
            <w:vAlign w:val="bottom"/>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and other eligible recipients.</w:t>
            </w:r>
          </w:p>
        </w:tc>
        <w:tc>
          <w:tcPr>
            <w:tcW w:w="96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396"/>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S-2</w:t>
            </w:r>
          </w:p>
        </w:tc>
        <w:tc>
          <w:tcPr>
            <w:tcW w:w="960" w:type="dxa"/>
            <w:vAlign w:val="bottom"/>
          </w:tcPr>
          <w:p>
            <w:pPr>
              <w:spacing w:after="0"/>
              <w:rPr>
                <w:sz w:val="24"/>
                <w:szCs w:val="24"/>
                <w:color w:val="auto"/>
              </w:rPr>
            </w:pPr>
          </w:p>
        </w:tc>
      </w:tr>
      <w:tr>
        <w:trPr>
          <w:trHeight w:val="180"/>
        </w:trPr>
        <w:tc>
          <w:tcPr>
            <w:tcW w:w="10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ectPr>
          <w:pgSz w:w="11900" w:h="16838" w:orient="portrait"/>
          <w:cols w:equalWidth="0" w:num="1">
            <w:col w:w="10180"/>
          </w:cols>
          <w:pgMar w:left="860" w:top="255" w:right="85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440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Holders may exercise all or a portion of their Warrants</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or choose not to exercise any Warrants at all, or may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otherwise sell or transfer their Warrants, in each case, 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their sole and absolute discretion, subject to applicable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law.</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No Fractional Warrants:</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 Warrant Agent (defined below) is not required to</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effect any transaction that would result in the issuance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 fraction of a Warrant. If any fractional Warrant would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otherwise be required to be issued or distributed, we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rounded down the total number of Warrants to be issued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to the relevant Holder to the nearest whole number. As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result, stockholders who owned fewer than thirty shares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as of the Record Date were not entitled to any Warrants</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as a result of holding such shares.</w:t>
            </w:r>
          </w:p>
        </w:tc>
        <w:tc>
          <w:tcPr>
            <w:tcW w:w="960" w:type="dxa"/>
            <w:vAlign w:val="bottom"/>
          </w:tcPr>
          <w:p>
            <w:pPr>
              <w:spacing w:after="0"/>
              <w:rPr>
                <w:sz w:val="18"/>
                <w:szCs w:val="18"/>
                <w:color w:val="auto"/>
              </w:rPr>
            </w:pPr>
          </w:p>
        </w:tc>
      </w:tr>
      <w:tr>
        <w:trPr>
          <w:trHeight w:val="337"/>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5:00 p.m., New York City time, November 18, 2025.</w:t>
            </w:r>
          </w:p>
        </w:tc>
        <w:tc>
          <w:tcPr>
            <w:tcW w:w="960" w:type="dxa"/>
            <w:vAlign w:val="bottom"/>
          </w:tcPr>
          <w:p>
            <w:pPr>
              <w:spacing w:after="0"/>
              <w:rPr>
                <w:sz w:val="24"/>
                <w:szCs w:val="24"/>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Shares of Common Stock Outstanding:</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As of the Record Date, 953,788,119 shares of our</w:t>
            </w:r>
          </w:p>
        </w:tc>
        <w:tc>
          <w:tcPr>
            <w:tcW w:w="960" w:type="dxa"/>
            <w:vAlign w:val="bottom"/>
          </w:tcPr>
          <w:p>
            <w:pPr>
              <w:spacing w:after="0"/>
              <w:rPr>
                <w:sz w:val="24"/>
                <w:szCs w:val="24"/>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Common Stock were issued and outstanding.</w:t>
            </w:r>
          </w:p>
        </w:tc>
        <w:tc>
          <w:tcPr>
            <w:tcW w:w="960" w:type="dxa"/>
            <w:vAlign w:val="bottom"/>
          </w:tcPr>
          <w:p>
            <w:pPr>
              <w:spacing w:after="0"/>
              <w:rPr>
                <w:sz w:val="18"/>
                <w:szCs w:val="18"/>
                <w:color w:val="auto"/>
              </w:rPr>
            </w:pPr>
          </w:p>
        </w:tc>
      </w:tr>
      <w:tr>
        <w:trPr>
          <w:trHeight w:val="279"/>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Shares of Common Stock Outstanding Assuming</w:t>
            </w:r>
          </w:p>
        </w:tc>
        <w:tc>
          <w:tcPr>
            <w:tcW w:w="440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04"/>
        </w:trPr>
        <w:tc>
          <w:tcPr>
            <w:tcW w:w="1020" w:type="dxa"/>
            <w:vAlign w:val="bottom"/>
            <w:tcBorders>
              <w:right w:val="single" w:sz="8" w:color="auto"/>
            </w:tcBorders>
          </w:tcPr>
          <w:p>
            <w:pPr>
              <w:spacing w:after="0"/>
              <w:rPr>
                <w:sz w:val="17"/>
                <w:szCs w:val="17"/>
                <w:color w:val="auto"/>
              </w:rPr>
            </w:pPr>
          </w:p>
        </w:tc>
        <w:tc>
          <w:tcPr>
            <w:tcW w:w="380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Complete Exercise of the Warrants:</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We will not issue any shares of Common Stock directly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in the Warrant Distribution. Based on the number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shares of Common Stock outstanding as of the Record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Date, if all 99,295,146 Warrants issued in the Warrant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Distribution were exercised in full for cash, we would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have  1,053,083,265  shares  of  Common  Stock</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outstanding (in each case, assuming no Warrants or</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shares of Common Stock are rounded down).</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Warrant Shares:</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Each Warrant for each series will be exercisable for one</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share  of  our  Common  Stock,  subject  to  certain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adjustments  described  in  “Warrant  Exercise  Rate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Adjustments”  below.  Such  number  of  shares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Common Stock, as it may be adjusted, is referred to as</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 “Warrant Exercise Rate.”</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No Fractional Shares:</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We will not issue fractional shares of Common Stock, or</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pay cash in lieu thereof, upon the exercise of any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Warrant,  including  any  net  exercise  (as  described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below). If a Holder would be entitled to receive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fractional number of shares of Common Stock upon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exercise of its Warrants, we will round down the total</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number of shares of Common Stock to be issued to such</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Holder to the nearest whole number. Our calculation</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shall be determinative.</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Warrant Exercise Price:</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Initially, $9.00 per Series K Warrant (the “Series K</w:t>
            </w:r>
          </w:p>
        </w:tc>
        <w:tc>
          <w:tcPr>
            <w:tcW w:w="960" w:type="dxa"/>
            <w:vAlign w:val="bottom"/>
          </w:tcPr>
          <w:p>
            <w:pPr>
              <w:spacing w:after="0"/>
              <w:rPr>
                <w:sz w:val="24"/>
                <w:szCs w:val="24"/>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Exercise Price”).</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Initially, $13.00 per Series A Warrant (the “Series A</w:t>
            </w:r>
          </w:p>
        </w:tc>
        <w:tc>
          <w:tcPr>
            <w:tcW w:w="960" w:type="dxa"/>
            <w:vAlign w:val="bottom"/>
          </w:tcPr>
          <w:p>
            <w:pPr>
              <w:spacing w:after="0"/>
              <w:rPr>
                <w:sz w:val="24"/>
                <w:szCs w:val="24"/>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Exercise Price”).</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Initially, $17.00 per Series Z Warrant (the “Series Z</w:t>
            </w:r>
          </w:p>
        </w:tc>
        <w:tc>
          <w:tcPr>
            <w:tcW w:w="960" w:type="dxa"/>
            <w:vAlign w:val="bottom"/>
          </w:tcPr>
          <w:p>
            <w:pPr>
              <w:spacing w:after="0"/>
              <w:rPr>
                <w:sz w:val="24"/>
                <w:szCs w:val="24"/>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Exercise Price”).</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 Warrant Exercise Price for each series of Warrants</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must be paid in cash unless we elect, in our sole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discretion, to change the exercise method for such series</w:t>
            </w:r>
          </w:p>
        </w:tc>
        <w:tc>
          <w:tcPr>
            <w:tcW w:w="960" w:type="dxa"/>
            <w:vAlign w:val="bottom"/>
          </w:tcPr>
          <w:p>
            <w:pPr>
              <w:spacing w:after="0"/>
              <w:rPr>
                <w:sz w:val="18"/>
                <w:szCs w:val="18"/>
                <w:color w:val="auto"/>
              </w:rPr>
            </w:pPr>
          </w:p>
        </w:tc>
      </w:tr>
      <w:tr>
        <w:trPr>
          <w:trHeight w:val="196"/>
        </w:trPr>
        <w:tc>
          <w:tcPr>
            <w:tcW w:w="102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396"/>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S-3</w:t>
            </w:r>
          </w:p>
        </w:tc>
        <w:tc>
          <w:tcPr>
            <w:tcW w:w="960" w:type="dxa"/>
            <w:vAlign w:val="bottom"/>
          </w:tcPr>
          <w:p>
            <w:pPr>
              <w:spacing w:after="0"/>
              <w:rPr>
                <w:sz w:val="24"/>
                <w:szCs w:val="24"/>
                <w:color w:val="auto"/>
              </w:rPr>
            </w:pPr>
          </w:p>
        </w:tc>
      </w:tr>
      <w:tr>
        <w:trPr>
          <w:trHeight w:val="167"/>
        </w:trPr>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ectPr>
          <w:pgSz w:w="11900" w:h="16838" w:orient="portrait"/>
          <w:cols w:equalWidth="0" w:num="1">
            <w:col w:w="10180"/>
          </w:cols>
          <w:pgMar w:left="860" w:top="255" w:right="85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458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of Warrants to net exercise pursuant to the provisions of</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the Warrant Agreement. If we elect for a series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Warrants to be subject to net exercise, no cash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price will be paid to exercise Warrants of that series and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the number of shares issuable upon exercise of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of that series will be calculated in accordance with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formula set forth below under “Issuer Option to Change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Exercise Method to Net Exercise” below.</w:t>
            </w:r>
          </w:p>
        </w:tc>
        <w:tc>
          <w:tcPr>
            <w:tcW w:w="960" w:type="dxa"/>
            <w:vAlign w:val="bottom"/>
          </w:tcPr>
          <w:p>
            <w:pPr>
              <w:spacing w:after="0"/>
              <w:rPr>
                <w:sz w:val="18"/>
                <w:szCs w:val="18"/>
                <w:color w:val="auto"/>
              </w:rPr>
            </w:pPr>
          </w:p>
        </w:tc>
      </w:tr>
      <w:tr>
        <w:trPr>
          <w:trHeight w:val="317"/>
        </w:trPr>
        <w:tc>
          <w:tcPr>
            <w:tcW w:w="1020" w:type="dxa"/>
            <w:vAlign w:val="bottom"/>
            <w:tcBorders>
              <w:right w:val="single" w:sz="8" w:color="auto"/>
            </w:tcBorders>
          </w:tcPr>
          <w:p>
            <w:pPr>
              <w:spacing w:after="0"/>
              <w:rPr>
                <w:sz w:val="24"/>
                <w:szCs w:val="24"/>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Issuance of Common Stock</w:t>
            </w:r>
          </w:p>
        </w:tc>
        <w:tc>
          <w:tcPr>
            <w:tcW w:w="458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04"/>
        </w:trPr>
        <w:tc>
          <w:tcPr>
            <w:tcW w:w="1020" w:type="dxa"/>
            <w:vAlign w:val="bottom"/>
            <w:tcBorders>
              <w:right w:val="single" w:sz="8" w:color="auto"/>
            </w:tcBorders>
          </w:tcPr>
          <w:p>
            <w:pPr>
              <w:spacing w:after="0"/>
              <w:rPr>
                <w:sz w:val="17"/>
                <w:szCs w:val="17"/>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Upon Exercise of Warrants:</w:t>
            </w: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If you are a holder of record of any Warrants and you</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exercise such Warrants to purchase shares of Common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Stock, our transfer agent will issue a direct registration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account statement representing those shares of Common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Stock to you as soon as practicable after the exercise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such Warrants. If your Warrants are held through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broker, dealer, custodian bank or other nominee and you</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exercise such Warrants, your account at your nominee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will be credited with those shares as soon as practicable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following the exercise of your Warrants, subject to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procedures of such broker, dealer, custodian bank or</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other nominee.</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Exercise Period:</w:t>
            </w: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Subject to applicable laws and regulations, the Warrants</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of each series may be exercised at any time starting 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the date of issuance until 5:00 p.m. New York City time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on the Expiration Date (defined below) for such series of</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Warrants.</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Any otherwise valid exercise of a Warrant submitted</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after the applicable deadline for exercise may, in our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sole and absolute discretion, be accepted and honored.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Our decision with respect to any such exercise shall be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determinative.</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Each series of Warrants will expire and cease to be</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exercisable  at  5:00  p.m.  New  York  City  time  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November 20, 2026 (the “Scheduled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However, as summarized in “Early Expiration Price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Condition and Date” below, the Expiration Date for each</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series of Warrants is subject to automatic acceleration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upon satisfaction of the Early Expiration Price Condition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for such series of Warrants. We may elect to extend the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Expiration Date for any series of Warrants.</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Early Expiration Price Condition and Date:</w:t>
            </w: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With respect to each series of Warrants, upon the</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occurrence of the first 30 consecutive VWAP Trading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Day (as defined in “Description of the Warrants–Certain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Definitions”)  period  (in  each  case,  a  “Reference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Period”)  that  includes  20  Qualifying  Trading  Days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(whether or not consecutive) for such series of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the first of which 20 Qualifying Trading Days must fall</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on or after the first VWAP Trading Day immediately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following the Distribution Date (an “Early Expiration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Price Condition” for a series of Warrants, and the last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such 20 Qualifying Trading Days to occur, an “Early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Expiration Price Condition Date” for such series of</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458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Warrants), the Expiration Date for the applicable series</w:t>
            </w:r>
          </w:p>
        </w:tc>
        <w:tc>
          <w:tcPr>
            <w:tcW w:w="960" w:type="dxa"/>
            <w:vAlign w:val="bottom"/>
          </w:tcPr>
          <w:p>
            <w:pPr>
              <w:spacing w:after="0"/>
              <w:rPr>
                <w:sz w:val="18"/>
                <w:szCs w:val="18"/>
                <w:color w:val="auto"/>
              </w:rPr>
            </w:pPr>
          </w:p>
        </w:tc>
      </w:tr>
      <w:tr>
        <w:trPr>
          <w:trHeight w:val="196"/>
        </w:trPr>
        <w:tc>
          <w:tcPr>
            <w:tcW w:w="1020" w:type="dxa"/>
            <w:vAlign w:val="bottom"/>
            <w:tcBorders>
              <w:right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458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396"/>
        </w:trPr>
        <w:tc>
          <w:tcPr>
            <w:tcW w:w="10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S-4</w:t>
            </w:r>
          </w:p>
        </w:tc>
        <w:tc>
          <w:tcPr>
            <w:tcW w:w="960" w:type="dxa"/>
            <w:vAlign w:val="bottom"/>
          </w:tcPr>
          <w:p>
            <w:pPr>
              <w:spacing w:after="0"/>
              <w:rPr>
                <w:sz w:val="24"/>
                <w:szCs w:val="24"/>
                <w:color w:val="auto"/>
              </w:rPr>
            </w:pPr>
          </w:p>
        </w:tc>
      </w:tr>
      <w:tr>
        <w:trPr>
          <w:trHeight w:val="180"/>
        </w:trPr>
        <w:tc>
          <w:tcPr>
            <w:tcW w:w="10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ectPr>
          <w:pgSz w:w="11900" w:h="16838" w:orient="portrait"/>
          <w:cols w:equalWidth="0" w:num="1">
            <w:col w:w="10180"/>
          </w:cols>
          <w:pgMar w:left="860" w:top="255" w:right="85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83185</wp:posOffset>
            </wp:positionV>
            <wp:extent cx="5220970" cy="7520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0970" cy="75203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620"/>
        <w:spacing w:after="0"/>
        <w:tabs>
          <w:tab w:leader="none" w:pos="4900" w:val="left"/>
          <w:tab w:leader="none" w:pos="5600" w:val="left"/>
          <w:tab w:leader="none" w:pos="6020" w:val="left"/>
          <w:tab w:leader="none" w:pos="7080" w:val="left"/>
          <w:tab w:leader="none" w:pos="7900" w:val="left"/>
          <w:tab w:leader="none" w:pos="8200" w:val="left"/>
        </w:tabs>
        <w:rPr>
          <w:sz w:val="20"/>
          <w:szCs w:val="20"/>
          <w:color w:val="auto"/>
        </w:rPr>
      </w:pPr>
      <w:r>
        <w:rPr>
          <w:rFonts w:ascii="Times New Roman" w:cs="Times New Roman" w:eastAsia="Times New Roman" w:hAnsi="Times New Roman"/>
          <w:sz w:val="17"/>
          <w:szCs w:val="17"/>
          <w:color w:val="auto"/>
        </w:rPr>
        <w:t>of</w:t>
        <w:tab/>
        <w:t>Warrant</w:t>
        <w:tab/>
        <w:t>will</w:t>
        <w:tab/>
        <w:t>automatically</w:t>
        <w:tab/>
        <w:t>accelerate</w:t>
        <w:tab/>
        <w:t>to</w:t>
      </w:r>
      <w:r>
        <w:rPr>
          <w:sz w:val="20"/>
          <w:szCs w:val="20"/>
          <w:color w:val="auto"/>
        </w:rPr>
        <w:tab/>
      </w:r>
      <w:r>
        <w:rPr>
          <w:rFonts w:ascii="Times New Roman" w:cs="Times New Roman" w:eastAsia="Times New Roman" w:hAnsi="Times New Roman"/>
          <w:sz w:val="16"/>
          <w:szCs w:val="16"/>
          <w:color w:val="auto"/>
        </w:rPr>
        <w:t>the</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first Scheduled Trading Day (as defined in “Description</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 the Warrants–Certain Definitions”) (or, if a Net</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Exercise Period is in effect for such series of Warrants,</w:t>
      </w:r>
    </w:p>
    <w:p>
      <w:pPr>
        <w:spacing w:after="0" w:line="4" w:lineRule="exact"/>
        <w:rPr>
          <w:sz w:val="20"/>
          <w:szCs w:val="20"/>
          <w:color w:val="auto"/>
        </w:rPr>
      </w:pPr>
    </w:p>
    <w:p>
      <w:pPr>
        <w:ind w:left="4620"/>
        <w:spacing w:after="0"/>
        <w:tabs>
          <w:tab w:leader="none" w:pos="4960" w:val="left"/>
          <w:tab w:leader="none" w:pos="5560" w:val="left"/>
          <w:tab w:leader="none" w:pos="6400" w:val="left"/>
          <w:tab w:leader="none" w:pos="7080" w:val="left"/>
          <w:tab w:leader="none" w:pos="7560" w:val="left"/>
        </w:tabs>
        <w:rPr>
          <w:sz w:val="20"/>
          <w:szCs w:val="20"/>
          <w:color w:val="auto"/>
        </w:rPr>
      </w:pPr>
      <w:r>
        <w:rPr>
          <w:rFonts w:ascii="Times New Roman" w:cs="Times New Roman" w:eastAsia="Times New Roman" w:hAnsi="Times New Roman"/>
          <w:sz w:val="17"/>
          <w:szCs w:val="17"/>
          <w:color w:val="auto"/>
        </w:rPr>
        <w:t>the</w:t>
        <w:tab/>
        <w:t>second</w:t>
        <w:tab/>
        <w:t>Scheduled</w:t>
        <w:tab/>
        <w:t>Trading</w:t>
        <w:tab/>
        <w:t>Day)</w:t>
      </w:r>
      <w:r>
        <w:rPr>
          <w:sz w:val="20"/>
          <w:szCs w:val="20"/>
          <w:color w:val="auto"/>
        </w:rPr>
        <w:tab/>
      </w:r>
      <w:r>
        <w:rPr>
          <w:rFonts w:ascii="Times New Roman" w:cs="Times New Roman" w:eastAsia="Times New Roman" w:hAnsi="Times New Roman"/>
          <w:sz w:val="16"/>
          <w:szCs w:val="16"/>
          <w:color w:val="auto"/>
        </w:rPr>
        <w:t>immediately</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following the Early Expiration Price Condition Date for</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such series of Warrants. Notwithstanding the foregoing,</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we  may  set  an  Alternate  Expiration  Date  (defined</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below) for a series of Warrants as described below and</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as further described in the Warrant Agreement.</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“Qualifying Trading Day” with respect to a series of</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Warrants means any VWAP Trading Day on which the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Daily  VWAP  (as  defined  in  “Description  of  the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Warrants–Certain Definitions”) is at least equal to the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Early Expiration Trigger Price for such series of Warrant</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 effect on such VWAP Trading Day.</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The “Series K Early Expiration Trigger Price” is initially</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equal to $10.80, subject to certain adjustments described</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 “Warrant Exercise Rate Adjustments” below.</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The “Series A Early Expiration Trigger Price” is initially</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equal to $15.60, subject to certain adjustments described</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 “Warrant Exercise Rate Adjustments” below.</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The “Series Z Early Expiration Trigger Price” is initially</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equal to $20.40, subject to certain adjustments described</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 “Warrant Exercise Rate Adjustments” below.</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“Early Expiration Date” with respect to a series of</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Warrants means either (x) the first Scheduled Trading</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Day (or, if a Net Exercise Period is in effect for such</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series of Warrants, the second Scheduled Trading Day)</w:t>
      </w:r>
    </w:p>
    <w:p>
      <w:pPr>
        <w:spacing w:after="0" w:line="4" w:lineRule="exact"/>
        <w:rPr>
          <w:sz w:val="20"/>
          <w:szCs w:val="20"/>
          <w:color w:val="auto"/>
        </w:rPr>
      </w:pPr>
    </w:p>
    <w:p>
      <w:pPr>
        <w:ind w:left="4620"/>
        <w:spacing w:after="0"/>
        <w:tabs>
          <w:tab w:leader="none" w:pos="5580" w:val="left"/>
          <w:tab w:leader="none" w:pos="6360" w:val="left"/>
          <w:tab w:leader="none" w:pos="6700" w:val="left"/>
          <w:tab w:leader="none" w:pos="7200" w:val="left"/>
          <w:tab w:leader="none" w:pos="8060" w:val="left"/>
        </w:tabs>
        <w:rPr>
          <w:sz w:val="20"/>
          <w:szCs w:val="20"/>
          <w:color w:val="auto"/>
        </w:rPr>
      </w:pPr>
      <w:r>
        <w:rPr>
          <w:rFonts w:ascii="Times New Roman" w:cs="Times New Roman" w:eastAsia="Times New Roman" w:hAnsi="Times New Roman"/>
          <w:sz w:val="17"/>
          <w:szCs w:val="17"/>
          <w:color w:val="auto"/>
        </w:rPr>
        <w:t>immediately</w:t>
        <w:tab/>
        <w:t>following</w:t>
        <w:tab/>
        <w:t>the</w:t>
        <w:tab/>
        <w:t>Early</w:t>
        <w:tab/>
        <w:t>Expiration</w:t>
      </w:r>
      <w:r>
        <w:rPr>
          <w:sz w:val="20"/>
          <w:szCs w:val="20"/>
          <w:color w:val="auto"/>
        </w:rPr>
        <w:tab/>
      </w:r>
      <w:r>
        <w:rPr>
          <w:rFonts w:ascii="Times New Roman" w:cs="Times New Roman" w:eastAsia="Times New Roman" w:hAnsi="Times New Roman"/>
          <w:sz w:val="16"/>
          <w:szCs w:val="16"/>
          <w:color w:val="auto"/>
        </w:rPr>
        <w:t>Price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Condition Date for such series of Warrants or (y) if</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applicable, the Alternate Expiration Date for such series</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 Warrants set as described below.</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In the event of an early expiration of a series of</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Warrants, the Warrants of such series will be exercisable</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until 5:00 p.m. New York City time on such Early</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Expiration Date.</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If the Early Expiration Price Condition Date occurs with</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respect to a series of Warrants, we will make a public</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announcement of such occurrence by issuance of a press</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release (an “Early Expiration Price Condition Notice”)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as promptly as practicable after close of the regular</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trading session of Nasdaq (disregarding any after-hours</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trading) on the Early Expiration Price Condition Date</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for such series of Warrants setting forth the Early</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Expiration Date for such series of Warrants, which may</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be an Alternate Expiration Date for such series of</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Warrants as set forth below. In addition, in the event that</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a Market Disruption Event (as defined in “Description</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of the Warrants–Certain Definitions”) occurs on such</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first Scheduled Trading Day (or, if a Net Exercise Period</w:t>
      </w:r>
    </w:p>
    <w:p>
      <w:pPr>
        <w:spacing w:after="0" w:line="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is in effect for such series of Warrants, the first or</w:t>
      </w:r>
    </w:p>
    <w:p>
      <w:pPr>
        <w:spacing w:after="0" w:line="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second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18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Scheduled  Trading  Day)  immediately  following  the</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Early Expiration Price Condition Date for such series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Warrants, then we may set an Alternate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for such series of Warrant whether or not we made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public announcement to reserve our right to set an</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Alternate Expiration Date.</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Alternate Expiration Date:</w:t>
            </w: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We may, in our sole discretion, elect to set the Early</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Expiration  Date  for  a  series  of  Warrants  on  any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Scheduled Trading Day falling at any time after the first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Scheduled Trading Day (or, if a Net Exercise Period is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in  effect  for  such  series  of  Warrants,  the  second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Scheduled  Trading  Day)  immediately  following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Early Expiration Price Condition Date for such series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Warrants (such date, an “Alternate Expiration Date”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such series of Warrants). Any such Alternate Expiration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Date shall be specified in the Early Expiration Price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Condition Notice for such series of Warrants. In order to</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set an Alternate Expiration Date, we will be required to,</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no later than the fifth Qualifying Trading Day for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series  of  Warrants  (whether  or  not  consecutive)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occurring in any 20 consecutive VWAP Trading Day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period, make a public announcement by issuance of a</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press release that we are reserving the right to set an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Alternate  Expiration  Date  in  the  event  the  Early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Expiration Price Condition for such series of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does occur. For the avoidance of doubt, such election by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us to set an Alternate Expiration Date for a series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Warrants  shall  be  deemed  effective  irrespective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whether the twenty (20) consecutive VWAP Trading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Day period referred to in the immediately preceding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sentence overlaps or not in any part with the Reference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Period that ended on the Early Expiration Condition</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Date for such series of Warrants.</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If we set an Alternate Expiration Date for a series of</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Warrants, the expiration of such series of Warrants 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such Alternate Expiration Date shall be conditioned 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(x)  each  of  the  two  Scheduled  Trading  Days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immediately preceding such Alternate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being a VWAP Trading Day and (y) the Daily VWAP 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each of such two VWAP Trading Days immediately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preceding such Alternate Expiration Date being at least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equal to the quotient obtained by dividing the Warrant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Exercise  Price  for  such  series  of  Warrants  by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Warrant Exercise Rate for such series of Warrants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“Additional Alternate Expiration Date Conditions”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such series of Warrants in respect of such Alternate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Expiration Date). As promptly as practicable after close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of the regular trading session of Nasdaq (disregarding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any after-hours trading) on the Scheduled Trading Day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immediately preceding the Alternate Expiration Date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  series  of  Warrants,  we  will  make  a  public</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announcement by issuance of a press release as to</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whether  the  Additional  Alternate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Conditions for such series of Warrants is met. We may,</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18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7"/>
                <w:szCs w:val="17"/>
                <w:color w:val="auto"/>
              </w:rPr>
              <w:t>in our sole discretion, by making a public</w:t>
            </w:r>
          </w:p>
        </w:tc>
        <w:tc>
          <w:tcPr>
            <w:tcW w:w="960" w:type="dxa"/>
            <w:vAlign w:val="bottom"/>
          </w:tcPr>
          <w:p>
            <w:pPr>
              <w:spacing w:after="0"/>
              <w:rPr>
                <w:sz w:val="18"/>
                <w:szCs w:val="18"/>
                <w:color w:val="auto"/>
              </w:rPr>
            </w:pPr>
          </w:p>
        </w:tc>
      </w:tr>
      <w:tr>
        <w:trPr>
          <w:trHeight w:val="208"/>
        </w:trPr>
        <w:tc>
          <w:tcPr>
            <w:tcW w:w="1020" w:type="dxa"/>
            <w:vAlign w:val="bottom"/>
            <w:tcBorders>
              <w:right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r>
      <w:tr>
        <w:trPr>
          <w:trHeight w:val="396"/>
        </w:trPr>
        <w:tc>
          <w:tcPr>
            <w:tcW w:w="10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18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S-6</w:t>
            </w:r>
          </w:p>
        </w:tc>
        <w:tc>
          <w:tcPr>
            <w:tcW w:w="960" w:type="dxa"/>
            <w:vAlign w:val="bottom"/>
          </w:tcPr>
          <w:p>
            <w:pPr>
              <w:spacing w:after="0"/>
              <w:rPr>
                <w:sz w:val="24"/>
                <w:szCs w:val="24"/>
                <w:color w:val="auto"/>
              </w:rPr>
            </w:pPr>
          </w:p>
        </w:tc>
      </w:tr>
      <w:tr>
        <w:trPr>
          <w:trHeight w:val="167"/>
        </w:trPr>
        <w:tc>
          <w:tcPr>
            <w:tcW w:w="10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ectPr>
          <w:pgSz w:w="11900" w:h="16838" w:orient="portrait"/>
          <w:cols w:equalWidth="0" w:num="1">
            <w:col w:w="10180"/>
          </w:cols>
          <w:pgMar w:left="860" w:top="255" w:right="85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c>
          <w:tcPr>
            <w:tcW w:w="482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announcement by issuance of a press release, postpone</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further (on one or more occasions) such Alternate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Expiration Date for such series of Warrants to a new</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Alternate Expiration Date (which, for the avoidance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doubt, shall be conditional to the Additional Alternate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Expiration Date Conditions for such series of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  respect  of  the  Alternate  Expiration  Date  so</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postponed).</w:t>
            </w:r>
          </w:p>
        </w:tc>
        <w:tc>
          <w:tcPr>
            <w:tcW w:w="960" w:type="dxa"/>
            <w:vAlign w:val="bottom"/>
          </w:tcPr>
          <w:p>
            <w:pPr>
              <w:spacing w:after="0"/>
              <w:rPr>
                <w:sz w:val="18"/>
                <w:szCs w:val="18"/>
                <w:color w:val="auto"/>
              </w:rPr>
            </w:pPr>
          </w:p>
        </w:tc>
      </w:tr>
      <w:tr>
        <w:trPr>
          <w:trHeight w:val="283"/>
        </w:trPr>
        <w:tc>
          <w:tcPr>
            <w:tcW w:w="1020" w:type="dxa"/>
            <w:vAlign w:val="bottom"/>
            <w:tcBorders>
              <w:right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If the Additional Alternate Expiration Date Conditions</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for a series of Warrants are not satisfied in respect of any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Alternate Expiration Date for such series of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and we do not postpone such Alternate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for  such  series  of  Warrants  as  described  in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immediately  preceding  paragraph  (an  “Alternate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Expiration Date Annulment” in respect of such Alternate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Expiration Date), the Expiration Date for such series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Warrants will remain the Scheduled Expiration Date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unless another Early Expiration Price Condition Date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subsequently occurs for such series of Warrants.</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Form, Transfer and Exchange:</w:t>
            </w: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Indirect  “street  name”  holders  of  Warrants  should</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contact their broker, bank or other intermediary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information on how to transfer or exercise Warrants.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deadlines of such intermediaries or of the DTC may be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earlier than the stated deadlines set forth in the Warrant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Agreement and described in this prospectus supplement.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Record holders of Warrants should contact the Warrant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Agent for information on how to transfer or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Warrants. The deadlines established by the Warrant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Agent may also be earlier than the stated deadlines set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forth in the Warrant Agreement and described in this</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prospectus supplement.</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Warrant Exercise Rate Adjustments:</w:t>
            </w: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Warrant Exercise Rate for each series of Warrants is</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subject to certain adjustments for events including: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 stock dividends, splits, subdivisions, reclassifications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and  combinations;  (ii)  rights  issues,  (iii)  other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distributions  and  spin-offs;  (iv)  cash  dividends  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distributions;  and  (v)  shareholder  rights  plans.  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addition, the Warrant Exercise Rate may be voluntarily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increased by us from time to time. The Early Expiration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Trigger Price for each series of Warrants is subject to</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proportional adjustment when the Warrant Exercise Rate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for such series of Warrants is adjusted or amended or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Warrant Exercise Price for such series of Warrants is</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amended.</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Assuming  that  all  Warrants  distributed  are  fully</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exercised  for  cash,  we  would  receive  proceeds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approximately  $1.27  billion  in  the  aggregate,  after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deducting estimated commissions and offering expenses.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We intend to use the proceeds of any Warrant exercises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for general corporate purposes, which may include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spending  to  further  drive  or  accelerate  our  overall</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strategy or pursuit of opportunistic investments.</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Absence of a Public Market:</w:t>
            </w: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The  Warrants  are  new  securities  and  there  is  no</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established   trading   market   for   the   Warrants.</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8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Accordingly,</w:t>
            </w:r>
          </w:p>
        </w:tc>
        <w:tc>
          <w:tcPr>
            <w:tcW w:w="960" w:type="dxa"/>
            <w:vAlign w:val="bottom"/>
          </w:tcPr>
          <w:p>
            <w:pPr>
              <w:spacing w:after="0"/>
              <w:rPr>
                <w:sz w:val="18"/>
                <w:szCs w:val="18"/>
                <w:color w:val="auto"/>
              </w:rPr>
            </w:pPr>
          </w:p>
        </w:tc>
      </w:tr>
      <w:tr>
        <w:trPr>
          <w:trHeight w:val="208"/>
        </w:trPr>
        <w:tc>
          <w:tcPr>
            <w:tcW w:w="1020" w:type="dxa"/>
            <w:vAlign w:val="bottom"/>
            <w:tcBorders>
              <w:right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r>
      <w:tr>
        <w:trPr>
          <w:trHeight w:val="396"/>
        </w:trPr>
        <w:tc>
          <w:tcPr>
            <w:tcW w:w="10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S-7</w:t>
            </w:r>
          </w:p>
        </w:tc>
        <w:tc>
          <w:tcPr>
            <w:tcW w:w="960" w:type="dxa"/>
            <w:vAlign w:val="bottom"/>
          </w:tcPr>
          <w:p>
            <w:pPr>
              <w:spacing w:after="0"/>
              <w:rPr>
                <w:sz w:val="24"/>
                <w:szCs w:val="24"/>
                <w:color w:val="auto"/>
              </w:rPr>
            </w:pPr>
          </w:p>
        </w:tc>
      </w:tr>
      <w:tr>
        <w:trPr>
          <w:trHeight w:val="167"/>
        </w:trPr>
        <w:tc>
          <w:tcPr>
            <w:tcW w:w="10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bl>
    <w:p>
      <w:pPr>
        <w:sectPr>
          <w:pgSz w:w="11900" w:h="16838" w:orient="portrait"/>
          <w:cols w:equalWidth="0" w:num="1">
            <w:col w:w="10180"/>
          </w:cols>
          <w:pgMar w:left="860" w:top="255" w:right="859"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440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there can be no assurances as to the development or</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liquidity of any market for the Warrants. The Series K</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Warrants will be listed for trading on Nasdaq under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ticker OPENW. The Series A Warrants will be listed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trading  on  Nasdaq  under  the  ticker  OPENL.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Series Z Warrants will be listed for trading on Nasdaq</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under the ticker OPENZ. There can be no assurance that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any such market will be available for trading of the</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Warrants.</w:t>
            </w:r>
          </w:p>
        </w:tc>
        <w:tc>
          <w:tcPr>
            <w:tcW w:w="960" w:type="dxa"/>
            <w:vAlign w:val="bottom"/>
          </w:tcPr>
          <w:p>
            <w:pPr>
              <w:spacing w:after="0"/>
              <w:rPr>
                <w:sz w:val="18"/>
                <w:szCs w:val="18"/>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Listing of Shares of Common Stock:</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Shares of our Common Stock trade on the Nasdaq under</w:t>
            </w:r>
          </w:p>
        </w:tc>
        <w:tc>
          <w:tcPr>
            <w:tcW w:w="960" w:type="dxa"/>
            <w:vAlign w:val="bottom"/>
          </w:tcPr>
          <w:p>
            <w:pPr>
              <w:spacing w:after="0"/>
              <w:rPr>
                <w:sz w:val="24"/>
                <w:szCs w:val="24"/>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the symbol OPEN.</w:t>
            </w:r>
          </w:p>
        </w:tc>
        <w:tc>
          <w:tcPr>
            <w:tcW w:w="960" w:type="dxa"/>
            <w:vAlign w:val="bottom"/>
          </w:tcPr>
          <w:p>
            <w:pPr>
              <w:spacing w:after="0"/>
              <w:rPr>
                <w:sz w:val="18"/>
                <w:szCs w:val="18"/>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Maintenance of Registration Statement:</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We will use our commercially reasonable efforts to keep</w:t>
            </w:r>
          </w:p>
        </w:tc>
        <w:tc>
          <w:tcPr>
            <w:tcW w:w="960" w:type="dxa"/>
            <w:vAlign w:val="bottom"/>
          </w:tcPr>
          <w:p>
            <w:pPr>
              <w:spacing w:after="0"/>
              <w:rPr>
                <w:sz w:val="24"/>
                <w:szCs w:val="24"/>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 registration statement effective, subject to certain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exceptions, covering the issuance of the Common Stock</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issuable upon the exercise of the Warrants. If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registration statement ceases to be effective for any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reason at any time, then the right to exercise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shall (unless there is a Net Exercise Period in effect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such series of Warrants) be automatically suspended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until such registration statement becomes effective (any</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such period, an “Exercise Suspension Period”). We shall</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provide  notice  by  press  release  of  any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Suspension  Period  for  any  series  of  Warrants.  No</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calculation  of  the  Daily  VWAP  for  purposes  of</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determining the Early Expiration Price Condition for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any series of Warrants shall occur during any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Suspension Period for such series of Warrants. If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Expiration Date for such series of Warrants would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otherwise fall in an Exercise Suspension Period,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Expiration Date for such series of Warrants shall be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extended by the number of days comprised in such</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Exercise Suspension Period for such series of Warrants.</w:t>
            </w:r>
          </w:p>
        </w:tc>
        <w:tc>
          <w:tcPr>
            <w:tcW w:w="960" w:type="dxa"/>
            <w:vAlign w:val="bottom"/>
          </w:tcPr>
          <w:p>
            <w:pPr>
              <w:spacing w:after="0"/>
              <w:rPr>
                <w:sz w:val="18"/>
                <w:szCs w:val="18"/>
                <w:color w:val="auto"/>
              </w:rPr>
            </w:pPr>
          </w:p>
        </w:tc>
      </w:tr>
      <w:tr>
        <w:trPr>
          <w:trHeight w:val="279"/>
        </w:trPr>
        <w:tc>
          <w:tcPr>
            <w:tcW w:w="1020" w:type="dxa"/>
            <w:vAlign w:val="bottom"/>
            <w:tcBorders>
              <w:right w:val="single" w:sz="8" w:color="auto"/>
            </w:tcBorders>
          </w:tcPr>
          <w:p>
            <w:pPr>
              <w:spacing w:after="0"/>
              <w:rPr>
                <w:sz w:val="24"/>
                <w:szCs w:val="24"/>
                <w:color w:val="auto"/>
              </w:rPr>
            </w:pPr>
          </w:p>
        </w:tc>
        <w:tc>
          <w:tcPr>
            <w:tcW w:w="38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Issuer Option to Change Exercise Method to Net</w:t>
            </w:r>
          </w:p>
        </w:tc>
        <w:tc>
          <w:tcPr>
            <w:tcW w:w="440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204"/>
        </w:trPr>
        <w:tc>
          <w:tcPr>
            <w:tcW w:w="1020" w:type="dxa"/>
            <w:vAlign w:val="bottom"/>
            <w:tcBorders>
              <w:right w:val="single" w:sz="8" w:color="auto"/>
            </w:tcBorders>
          </w:tcPr>
          <w:p>
            <w:pPr>
              <w:spacing w:after="0"/>
              <w:rPr>
                <w:sz w:val="17"/>
                <w:szCs w:val="17"/>
                <w:color w:val="auto"/>
              </w:rPr>
            </w:pPr>
          </w:p>
        </w:tc>
        <w:tc>
          <w:tcPr>
            <w:tcW w:w="380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We may, in our sole discretion, (i) at any time upon at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least 10 calendar days’ prior notice or (ii) at any time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during an Exercise Suspension Period upon one Trading</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Day’s (as defined in “Description of the Warrants–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Certain Definitions”) notice, elect to change the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method for any series of Warrants to net exercise as</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described herein. Subsequent to such change of exercise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method to net exercise, we may, in our sole discretion, at</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any time upon at least 10 calendar days’ prior notice,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change such exercise method back to cash exercise to be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effected as described herein. We shall be deemed to have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provided any such notice by issuance of a press release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of any such election, which shall be deemed to be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effective on the Business Day so designated by us in</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such notice (which, for the avoidance of doubt, must be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no earlier than 10 days or 1 Trading Day, as applicable,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after such date of such announcement as provided in the</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immediately preceding sentence). “Net Exercise Period”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means with respect to any series of Warrants, any period</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beginning on, the first Business Day on which our</w:t>
            </w:r>
          </w:p>
        </w:tc>
        <w:tc>
          <w:tcPr>
            <w:tcW w:w="960" w:type="dxa"/>
            <w:vAlign w:val="bottom"/>
          </w:tcPr>
          <w:p>
            <w:pPr>
              <w:spacing w:after="0"/>
              <w:rPr>
                <w:sz w:val="17"/>
                <w:szCs w:val="17"/>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800" w:type="dxa"/>
            <w:vAlign w:val="bottom"/>
          </w:tcPr>
          <w:p>
            <w:pPr>
              <w:spacing w:after="0"/>
              <w:rPr>
                <w:sz w:val="17"/>
                <w:szCs w:val="17"/>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election to change the exercise method of such series of</w:t>
            </w:r>
          </w:p>
        </w:tc>
        <w:tc>
          <w:tcPr>
            <w:tcW w:w="960" w:type="dxa"/>
            <w:vAlign w:val="bottom"/>
          </w:tcPr>
          <w:p>
            <w:pPr>
              <w:spacing w:after="0"/>
              <w:rPr>
                <w:sz w:val="17"/>
                <w:szCs w:val="17"/>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440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Warrants to net exercise is deemed</w:t>
            </w:r>
          </w:p>
        </w:tc>
        <w:tc>
          <w:tcPr>
            <w:tcW w:w="960" w:type="dxa"/>
            <w:vAlign w:val="bottom"/>
          </w:tcPr>
          <w:p>
            <w:pPr>
              <w:spacing w:after="0"/>
              <w:rPr>
                <w:sz w:val="18"/>
                <w:szCs w:val="18"/>
                <w:color w:val="auto"/>
              </w:rPr>
            </w:pPr>
          </w:p>
        </w:tc>
      </w:tr>
      <w:tr>
        <w:trPr>
          <w:trHeight w:val="196"/>
        </w:trPr>
        <w:tc>
          <w:tcPr>
            <w:tcW w:w="102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396"/>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S-8</w:t>
            </w:r>
          </w:p>
        </w:tc>
        <w:tc>
          <w:tcPr>
            <w:tcW w:w="960" w:type="dxa"/>
            <w:vAlign w:val="bottom"/>
          </w:tcPr>
          <w:p>
            <w:pPr>
              <w:spacing w:after="0"/>
              <w:rPr>
                <w:sz w:val="24"/>
                <w:szCs w:val="24"/>
                <w:color w:val="auto"/>
              </w:rPr>
            </w:pPr>
          </w:p>
        </w:tc>
      </w:tr>
      <w:tr>
        <w:trPr>
          <w:trHeight w:val="180"/>
        </w:trPr>
        <w:tc>
          <w:tcPr>
            <w:tcW w:w="10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bl>
    <w:p>
      <w:pPr>
        <w:sectPr>
          <w:pgSz w:w="11900" w:h="16838" w:orient="portrait"/>
          <w:cols w:equalWidth="0" w:num="1">
            <w:col w:w="10180"/>
          </w:cols>
          <w:pgMar w:left="860" w:top="255" w:right="859" w:bottom="1440" w:gutter="0" w:footer="0" w:header="0"/>
        </w:sectPr>
      </w:pPr>
    </w:p>
    <w:bookmarkStart w:id="12" w:name="page13"/>
    <w:bookmarkEnd w:id="12"/>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83185</wp:posOffset>
            </wp:positionV>
            <wp:extent cx="5220970" cy="773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20970" cy="773430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effective as described in this paragraph, and ending on,</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the  Business  Day  immediately  preceding  the  first</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Business Day on which our election to change the</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exercise method for such series of Warrants to cash</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exercise  is  deemed  effective  as  described  in  this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paragraph.</w:t>
      </w:r>
    </w:p>
    <w:p>
      <w:pPr>
        <w:spacing w:after="0" w:line="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If any Warrant is exercised during a Net Exercise Period,</w:t>
      </w:r>
    </w:p>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 holder of such series of Warrants will not be required</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to pay the Warrant Exercise Price to exercise such series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of Warrants and the number of shares of Common Stock</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issuable for such exercise shall be calculated based on</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Where:</w:t>
            </w: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i w:val="1"/>
                <w:iCs w:val="1"/>
                <w:color w:val="auto"/>
              </w:rPr>
              <w:t>WS</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number of shares of Common Stock</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7"/>
                <w:szCs w:val="17"/>
                <w:color w:val="auto"/>
              </w:rPr>
            </w:pPr>
          </w:p>
        </w:tc>
        <w:tc>
          <w:tcPr>
            <w:tcW w:w="31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issuable for such exercise;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0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i w:val="1"/>
                <w:iCs w:val="1"/>
                <w:color w:val="auto"/>
              </w:rPr>
              <w:t>NW</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number of Warrants of such series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i w:val="1"/>
                <w:iCs w:val="1"/>
                <w:color w:val="auto"/>
              </w:rPr>
              <w:t>WER</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Warrant Exercise Rate for such series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Warrants in effect immediately prior to</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close of business on the relevant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Date;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i w:val="1"/>
                <w:iCs w:val="1"/>
                <w:color w:val="auto"/>
              </w:rPr>
              <w:t>VWAP</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Daily VWAP for the VWAP Trading</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Day immediately preceding the relevant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Date (subject to any adjustment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provided in the Warrant Agreement in the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event of an adjustment to the applicable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Exercise Rate); and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i w:val="1"/>
                <w:iCs w:val="1"/>
                <w:color w:val="auto"/>
              </w:rPr>
              <w:t>SP</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Warrant Exercise Price for such series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of  Warrants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Warrant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Rate for such series of Warrants,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each case in effect immediately prior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the close of business on the relevant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Date.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If the formula set forth above would result in zero or a</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negative number with respect to the exercise of any</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Warrant, no shares will be issued upon exercise of such</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Warrant and the Warrant will cease to be outstanding.</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000" w:type="dxa"/>
            <w:vAlign w:val="bottom"/>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Rights as a Stockholder:</w:t>
            </w: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color w:val="auto"/>
                <w:w w:val="96"/>
              </w:rPr>
              <w:t>Holders</w:t>
            </w:r>
          </w:p>
        </w:tc>
        <w:tc>
          <w:tcPr>
            <w:tcW w:w="348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of  Warrants  do not have  any  rights  as  a</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stockholder with respect to the shares of Common Stock</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issuable upon exercise of the Warrants prior to the time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such Warrants are validly exercised, and the Warrant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Exercise Price is paid (unless net exercise applies).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1000" w:type="dxa"/>
            <w:vAlign w:val="bottom"/>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Settlement:</w:t>
            </w:r>
          </w:p>
        </w:tc>
        <w:tc>
          <w:tcPr>
            <w:tcW w:w="17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Shares</w:t>
            </w:r>
          </w:p>
        </w:tc>
        <w:tc>
          <w:tcPr>
            <w:tcW w:w="348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of Common Stock issuable upon exercise of</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260" w:type="dxa"/>
            <w:vAlign w:val="bottom"/>
            <w:gridSpan w:val="3"/>
          </w:tcPr>
          <w:p>
            <w:pPr>
              <w:ind w:left="1240"/>
              <w:spacing w:after="0"/>
              <w:rPr>
                <w:sz w:val="20"/>
                <w:szCs w:val="20"/>
                <w:color w:val="auto"/>
              </w:rPr>
            </w:pPr>
            <w:r>
              <w:rPr>
                <w:rFonts w:ascii="Times New Roman" w:cs="Times New Roman" w:eastAsia="Times New Roman" w:hAnsi="Times New Roman"/>
                <w:sz w:val="17"/>
                <w:szCs w:val="17"/>
                <w:color w:val="auto"/>
              </w:rPr>
              <w:t>Warrants will be delivered to the applicable Holder of</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S-9</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860" w:top="255" w:right="859"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524"/>
        </w:trPr>
        <w:tc>
          <w:tcPr>
            <w:tcW w:w="1020" w:type="dxa"/>
            <w:vAlign w:val="bottom"/>
            <w:tcBorders>
              <w:right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4720" w:type="dxa"/>
            <w:vAlign w:val="bottom"/>
            <w:tcBorders>
              <w:top w:val="single" w:sz="8" w:color="auto"/>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such Warrants after the applicable Exercise Date (as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defined below) on our Common Stock transfer agent’s</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standard turnaround time, which we expect to occur</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within two trading days after such exercise.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020" w:type="dxa"/>
            <w:vAlign w:val="bottom"/>
            <w:tcBorders>
              <w:right w:val="single" w:sz="8" w:color="auto"/>
            </w:tcBorders>
          </w:tcPr>
          <w:p>
            <w:pPr>
              <w:spacing w:after="0"/>
              <w:rPr>
                <w:sz w:val="24"/>
                <w:szCs w:val="24"/>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Governing Law:</w:t>
            </w: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The Warrants and the Warrant Agreement under which</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they are issued are governed by the laws of the State of</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New York.</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020" w:type="dxa"/>
            <w:vAlign w:val="bottom"/>
            <w:tcBorders>
              <w:right w:val="single" w:sz="8" w:color="auto"/>
            </w:tcBorders>
          </w:tcPr>
          <w:p>
            <w:pPr>
              <w:spacing w:after="0"/>
              <w:rPr>
                <w:sz w:val="24"/>
                <w:szCs w:val="24"/>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Warrant Agent:</w:t>
            </w: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Equiniti Trust Company, LLC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20" w:type="dxa"/>
            <w:vAlign w:val="bottom"/>
            <w:tcBorders>
              <w:right w:val="single" w:sz="8" w:color="auto"/>
            </w:tcBorders>
          </w:tcPr>
          <w:p>
            <w:pPr>
              <w:spacing w:after="0"/>
              <w:rPr>
                <w:sz w:val="24"/>
                <w:szCs w:val="24"/>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Calculation Agent:</w:t>
            </w: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ConvEx Capital Markets LLC</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020" w:type="dxa"/>
            <w:vAlign w:val="bottom"/>
            <w:tcBorders>
              <w:right w:val="single" w:sz="8" w:color="auto"/>
            </w:tcBorders>
          </w:tcPr>
          <w:p>
            <w:pPr>
              <w:spacing w:after="0"/>
              <w:rPr>
                <w:sz w:val="24"/>
                <w:szCs w:val="24"/>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Financial Advisor:</w:t>
            </w: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B. Dyson Capital Advisors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right w:val="single" w:sz="8" w:color="auto"/>
            </w:tcBorders>
          </w:tcPr>
          <w:p>
            <w:pPr>
              <w:spacing w:after="0"/>
              <w:rPr>
                <w:sz w:val="24"/>
                <w:szCs w:val="24"/>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You should carefully read the section entitled “Risk</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2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4720" w:type="dxa"/>
            <w:vAlign w:val="bottom"/>
            <w:tcBorders>
              <w:right w:val="single" w:sz="8" w:color="auto"/>
            </w:tcBorders>
            <w:gridSpan w:val="7"/>
          </w:tcPr>
          <w:p>
            <w:pPr>
              <w:ind w:left="700"/>
              <w:spacing w:after="0" w:line="179" w:lineRule="exact"/>
              <w:rPr>
                <w:sz w:val="20"/>
                <w:szCs w:val="20"/>
                <w:color w:val="auto"/>
              </w:rPr>
            </w:pPr>
            <w:r>
              <w:rPr>
                <w:rFonts w:ascii="Times New Roman" w:cs="Times New Roman" w:eastAsia="Times New Roman" w:hAnsi="Times New Roman"/>
                <w:sz w:val="17"/>
                <w:szCs w:val="17"/>
                <w:color w:val="auto"/>
              </w:rPr>
              <w:t>Factors” on page S-</w:t>
            </w:r>
            <w:r>
              <w:rPr>
                <w:rFonts w:ascii="Times New Roman" w:cs="Times New Roman" w:eastAsia="Times New Roman" w:hAnsi="Times New Roman"/>
                <w:sz w:val="17"/>
                <w:szCs w:val="17"/>
                <w:color w:val="0000EE"/>
              </w:rPr>
              <w:t>11</w:t>
            </w:r>
            <w:r>
              <w:rPr>
                <w:rFonts w:ascii="Times New Roman" w:cs="Times New Roman" w:eastAsia="Times New Roman" w:hAnsi="Times New Roman"/>
                <w:sz w:val="17"/>
                <w:szCs w:val="17"/>
                <w:color w:val="auto"/>
              </w:rPr>
              <w:t xml:space="preserve"> of this prospectus supplement and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2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4720" w:type="dxa"/>
            <w:vAlign w:val="bottom"/>
            <w:tcBorders>
              <w:right w:val="single" w:sz="8" w:color="auto"/>
            </w:tcBorders>
            <w:gridSpan w:val="7"/>
          </w:tcPr>
          <w:p>
            <w:pPr>
              <w:ind w:left="700"/>
              <w:spacing w:after="0" w:line="180" w:lineRule="exact"/>
              <w:rPr>
                <w:sz w:val="20"/>
                <w:szCs w:val="20"/>
                <w:color w:val="auto"/>
              </w:rPr>
            </w:pPr>
            <w:r>
              <w:rPr>
                <w:rFonts w:ascii="Times New Roman" w:cs="Times New Roman" w:eastAsia="Times New Roman" w:hAnsi="Times New Roman"/>
                <w:sz w:val="17"/>
                <w:szCs w:val="17"/>
                <w:color w:val="auto"/>
              </w:rPr>
              <w:t xml:space="preserve">on page </w:t>
            </w: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color w:val="auto"/>
              </w:rPr>
              <w:t xml:space="preserve"> of the accompanying prospectus.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4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U.S. Federal Income Tax Consequences:</w:t>
            </w:r>
          </w:p>
        </w:tc>
        <w:tc>
          <w:tcPr>
            <w:tcW w:w="1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20" w:type="dxa"/>
            <w:vAlign w:val="bottom"/>
            <w:tcBorders>
              <w:right w:val="single" w:sz="8" w:color="auto"/>
            </w:tcBorders>
          </w:tcPr>
          <w:p>
            <w:pPr>
              <w:spacing w:after="0"/>
              <w:rPr>
                <w:sz w:val="24"/>
                <w:szCs w:val="24"/>
                <w:color w:val="auto"/>
              </w:rPr>
            </w:pPr>
          </w:p>
        </w:tc>
        <w:tc>
          <w:tcPr>
            <w:tcW w:w="3480" w:type="dxa"/>
            <w:vAlign w:val="bottom"/>
            <w:vMerge w:val="continue"/>
          </w:tcPr>
          <w:p>
            <w:pPr>
              <w:spacing w:after="0"/>
              <w:rPr>
                <w:sz w:val="24"/>
                <w:szCs w:val="24"/>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You should carefully read the section entitled “Certain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020" w:type="dxa"/>
            <w:vAlign w:val="bottom"/>
            <w:tcBorders>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c>
          <w:tcPr>
            <w:tcW w:w="4720" w:type="dxa"/>
            <w:vAlign w:val="bottom"/>
            <w:tcBorders>
              <w:right w:val="single" w:sz="8" w:color="auto"/>
            </w:tcBorders>
            <w:gridSpan w:val="7"/>
          </w:tcPr>
          <w:p>
            <w:pPr>
              <w:ind w:left="700"/>
              <w:spacing w:after="0" w:line="179" w:lineRule="exact"/>
              <w:rPr>
                <w:sz w:val="20"/>
                <w:szCs w:val="20"/>
                <w:color w:val="auto"/>
              </w:rPr>
            </w:pPr>
            <w:r>
              <w:rPr>
                <w:rFonts w:ascii="Times New Roman" w:cs="Times New Roman" w:eastAsia="Times New Roman" w:hAnsi="Times New Roman"/>
                <w:sz w:val="17"/>
                <w:szCs w:val="17"/>
                <w:color w:val="auto"/>
              </w:rPr>
              <w:t>U.S. Federal Income Tax Consequences” on page S-</w:t>
            </w:r>
            <w:r>
              <w:rPr>
                <w:rFonts w:ascii="Times New Roman" w:cs="Times New Roman" w:eastAsia="Times New Roman" w:hAnsi="Times New Roman"/>
                <w:sz w:val="17"/>
                <w:szCs w:val="17"/>
                <w:color w:val="0000EE"/>
              </w:rPr>
              <w:t>29</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of this prospectus supplement, and consult your tax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advisors on tax treatment of the Warrant Distribution,</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the Warrants and the shares of our Common Stock</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4720" w:type="dxa"/>
            <w:vAlign w:val="bottom"/>
            <w:tcBorders>
              <w:right w:val="single" w:sz="8" w:color="auto"/>
            </w:tcBorders>
            <w:gridSpan w:val="7"/>
          </w:tcPr>
          <w:p>
            <w:pPr>
              <w:ind w:left="700"/>
              <w:spacing w:after="0"/>
              <w:rPr>
                <w:sz w:val="20"/>
                <w:szCs w:val="20"/>
                <w:color w:val="auto"/>
              </w:rPr>
            </w:pPr>
            <w:r>
              <w:rPr>
                <w:rFonts w:ascii="Times New Roman" w:cs="Times New Roman" w:eastAsia="Times New Roman" w:hAnsi="Times New Roman"/>
                <w:sz w:val="17"/>
                <w:szCs w:val="17"/>
                <w:color w:val="auto"/>
              </w:rPr>
              <w:t>received upon exercise of the Warrants.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Borders>
              <w:right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720" w:type="dxa"/>
            <w:vAlign w:val="bottom"/>
            <w:gridSpan w:val="7"/>
          </w:tcPr>
          <w:p>
            <w:pPr>
              <w:ind w:left="420"/>
              <w:spacing w:after="0"/>
              <w:rPr>
                <w:sz w:val="20"/>
                <w:szCs w:val="20"/>
                <w:color w:val="auto"/>
              </w:rPr>
            </w:pPr>
            <w:r>
              <w:rPr>
                <w:rFonts w:ascii="Times New Roman" w:cs="Times New Roman" w:eastAsia="Times New Roman" w:hAnsi="Times New Roman"/>
                <w:sz w:val="17"/>
                <w:szCs w:val="17"/>
                <w:color w:val="auto"/>
              </w:rPr>
              <w:t>S-10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180"/>
          </w:cols>
          <w:pgMar w:left="860" w:top="255" w:right="859"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6"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i w:val="1"/>
          <w:iCs w:val="1"/>
          <w:color w:val="auto"/>
        </w:rPr>
        <w:t>Investing in our securities involves significant risks. Please see the risk factors below and under the heading “Risk Factors” in our most recently filed Annual Report on Form 10-K and our subsequently filed Quarterly Reports on Form 10-Q, which are incorporated by reference in this prospectus supplement. Before making an investment decision, you should carefully consider these risks as well as other information we include or incorporate by reference in this prospectus supplement, including those described under “Cautionary Statement Regarding Forward-Looking Statements,” and the accompanying prospectus. The risks and uncertainties we have described are not the only ones facing our company. Additional risks and uncertainties not presently known to us or that we currently deem immaterial may also affect our business operations.</w:t>
      </w:r>
    </w:p>
    <w:p>
      <w:pPr>
        <w:spacing w:after="0" w:line="2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The price of the Warrants may decline rapidly and significantly following their distribution.</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If there is little or no market demand for the Warrants once trading begins, the trading price of the Warrants will likely decline following their distribution. Warrants are being distributed all at once, which could lead to demand and supply imbalances and cause the trading price of the Warrants to decline rapidly and significantly.</w:t>
      </w:r>
    </w:p>
    <w:p>
      <w:pPr>
        <w:spacing w:after="0" w:line="167"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An active public market for the Warrants may not develop, which would adversely affect the liquidity and market price of the Warrants.</w:t>
      </w:r>
    </w:p>
    <w:p>
      <w:pPr>
        <w:spacing w:after="0" w:line="55" w:lineRule="exact"/>
        <w:rPr>
          <w:sz w:val="20"/>
          <w:szCs w:val="20"/>
          <w:color w:val="auto"/>
        </w:rPr>
      </w:pPr>
    </w:p>
    <w:p>
      <w:pPr>
        <w:jc w:val="both"/>
        <w:ind w:left="600" w:right="619" w:firstLine="333"/>
        <w:spacing w:after="0" w:line="271" w:lineRule="auto"/>
        <w:rPr>
          <w:sz w:val="20"/>
          <w:szCs w:val="20"/>
          <w:color w:val="auto"/>
        </w:rPr>
      </w:pPr>
      <w:r>
        <w:rPr>
          <w:rFonts w:ascii="Times New Roman" w:cs="Times New Roman" w:eastAsia="Times New Roman" w:hAnsi="Times New Roman"/>
          <w:sz w:val="16"/>
          <w:szCs w:val="16"/>
          <w:color w:val="auto"/>
        </w:rPr>
        <w:t>Prior to this Warrant Distribution, there has been no existing trading market for the Warrants. After we issue the Warrants and they start to trade on Nasdaq, they will be subject to trading dynamics over which we will have no control. An active and orderly trading market for the Warrants may never develop or, if it develops, it may not be sustained. The trading market for the Warrants may lack adequate size, liquidity or price transparency or may have an unusually high bid-ask spread. You may be unable to sell your Warrants at a price that is favorable to you.</w:t>
      </w:r>
    </w:p>
    <w:p>
      <w:pPr>
        <w:spacing w:after="0" w:line="156" w:lineRule="exact"/>
        <w:rPr>
          <w:sz w:val="20"/>
          <w:szCs w:val="20"/>
          <w:color w:val="auto"/>
        </w:rPr>
      </w:pPr>
    </w:p>
    <w:p>
      <w:pPr>
        <w:jc w:val="both"/>
        <w:ind w:left="600" w:right="619" w:firstLine="33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trading price for the Warrants may bear little or no relationship to traditional valuation methods, or to the market price of our Common Stock, and therefore the trading price of the Warrants may fluctuate significantly following their issuance.</w:t>
      </w:r>
    </w:p>
    <w:p>
      <w:pPr>
        <w:spacing w:after="0" w:line="6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trading price of the Warrants may have little or no relationship to, and may be significantly lower, or at times higher, than the price that would otherwise be established using traditional indicators of value, such as our future prospects and those of our industry in general; future potential revenues, earnings, cash flows, and other financial and operating information, or multiples thereof; market prices of securities and other financial and operating information of companies engaged in activities similar to ours; and the views of research analysts. Potential investors should not buy Warrants in the open market unless they are willing to take the risk that the trading price of the Warrants could fluctuate and decline significantly.</w:t>
      </w:r>
    </w:p>
    <w:p>
      <w:pPr>
        <w:spacing w:after="0" w:line="174"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Hedging arrangements relating to the Warrants may affect the value and volatility of our Common Stock or other securities of ours.</w:t>
      </w:r>
    </w:p>
    <w:p>
      <w:pPr>
        <w:spacing w:after="0" w:line="55"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In order to hedge their financial positions, holders of the Warrants may enter into hedging transactions with respect to our Common Stock or other securities of ours, may unwind or adjust hedging transactions and may purchase or sell large blocks of our Common Stock or other securities of ours in one or more market transactions. The effect, if any, of these activities on the trading price of our Common Stock or such other securities will depend in part on market conditions and cannot be known in advance, but any of these activities could adversely affect the value and price volatility of our Common Stock or such other securities.</w:t>
      </w:r>
    </w:p>
    <w:p>
      <w:pPr>
        <w:spacing w:after="0" w:line="172" w:lineRule="exact"/>
        <w:rPr>
          <w:sz w:val="20"/>
          <w:szCs w:val="20"/>
          <w:color w:val="auto"/>
        </w:rPr>
      </w:pPr>
    </w:p>
    <w:p>
      <w:pPr>
        <w:jc w:val="both"/>
        <w:ind w:left="600" w:right="619" w:firstLine="33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Exercising the Warrants is a risky investment and you may not be able to recover the value of your investment in the Common Stock received upon exercise of the Warrants. You should be prepared to sustain a loss of the Warrant Exercise Price of your Warrants.</w:t>
      </w:r>
    </w:p>
    <w:p>
      <w:pPr>
        <w:spacing w:after="0" w:line="6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As of November 20, 2025, the last reported price of our Common Stock on Nasdaq was $6.16 per share. In order for you to recover the value of your investment in the shares of Common Stock received upon exercise of a Warrant at the Warrant Exercise Price, the aggregate value of Common Stock so received per Warrant must be more than the Warrant Exercise Price of such Warrant. If the value of the shares of Common Stock you receive upon exercise of a Warrant is lower than the amount you pay to exercise such Warrant, you could sustain a financial or other loss from exercising such Warrant. We cannot assure you that the value of our Common Stock receivable upon exercise of a Warrant will not fluctuate or decline significantly below the Warrant Exercise Price in the future, in which case you could incur substantial losses.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5" w:name="page16"/>
    <w:bookmarkEnd w:id="1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You may lose some or all of your financial investment after exercising a Warrant.</w:t>
      </w:r>
    </w:p>
    <w:p>
      <w:pPr>
        <w:spacing w:after="0" w:line="10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You may incur a financial or other loss upon or subsequent to the exercise of a Warrant due to a drop in our stock price, or by a failure to timely deliver Warrant shares as of any particular date after exercise, or for other reasons. If the market value of our Common Stock price declines, you may be unable to resell your shares at or above the price at which you acquired them through the exercise of Warrants. We cannot assure you that the price of our Common Stock will not fluctuate or decline significantly below your exercise price in the future, in which case you could incur substantial losses.</w:t>
      </w:r>
    </w:p>
    <w:p>
      <w:pPr>
        <w:spacing w:after="0" w:line="172" w:lineRule="exact"/>
        <w:rPr>
          <w:sz w:val="20"/>
          <w:szCs w:val="20"/>
          <w:color w:val="auto"/>
        </w:rPr>
      </w:pPr>
    </w:p>
    <w:p>
      <w:pPr>
        <w:jc w:val="both"/>
        <w:ind w:left="600" w:right="619" w:firstLine="33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you exercise your Warrant during a Net Exercise Period for Warrants of such series, and the net exercise formula results in zero or a negative number, then you will not receive any shares of Common Stock upon exercise of such Warrant and the Warrant will cease to be outstanding.</w:t>
      </w:r>
    </w:p>
    <w:p>
      <w:pPr>
        <w:spacing w:after="0" w:line="6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If the formula for calculating the number of shares of Common Stock issuable upon net exercise of a Warrant during a Net Exercise Period for such series of Warrants would result in zero or a negative number, no shares of Common Stock will be issued upon exercise of such Warrant and the Warrant will cease to be outstanding. This would occur if the Daily VWAP for the VWAP Trading Day immediately preceding the applicable relevant Exercise Date is less than the applicable Warrant Exercise Price. You should check the Daily VWAP before submitting a notice of exercise of any Warrant.</w:t>
      </w:r>
    </w:p>
    <w:p>
      <w:pPr>
        <w:spacing w:after="0" w:line="2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Speculation in our publicly-traded Common Stock or the Warrants may result in extreme price volatility.</w:t>
      </w:r>
    </w:p>
    <w:p>
      <w:pPr>
        <w:spacing w:after="0" w:line="10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Our stockholders or Warrant holders or outside investors may speculate on the direction of movements in the price of our Common Stock or Warrants. Speculation in the price of our Common Stock or Warrants may involve long and short exposures. Sudden changes in demand or supply for our Common Stock or Warrants due to speculation or other reasons may create trading anomalies that add volatility to the trading price of these securities. The volatility or direction of our stock price or Warrant price may be unrelated or disproportionate to our operating results, which could cause significant losses to your investments.</w:t>
      </w:r>
    </w:p>
    <w:p>
      <w:pPr>
        <w:spacing w:after="0" w:line="172"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an Early Expiration Condition is triggered for a series of Warrants, such series of Warrants will automatically expire earlier than scheduled.</w:t>
      </w:r>
    </w:p>
    <w:p>
      <w:pPr>
        <w:spacing w:after="0" w:line="55"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If the Early Expiration Price Condition is triggered with respect to any series of Warrants, the Expiration Date for such series of Warrants will automatically accelerate to an Early Expiration Date, which is the first Trading Day (or, if a Net Exercise Period is in effect for such series of Warrants, the second Trading Day) immediately following the Early Expiration Price Condition Date for such series of Warrants, unless we set an Alternate Expiration Date for such series of Warrants.</w:t>
      </w:r>
    </w:p>
    <w:p>
      <w:pPr>
        <w:spacing w:after="0" w:line="172" w:lineRule="exact"/>
        <w:rPr>
          <w:sz w:val="20"/>
          <w:szCs w:val="20"/>
          <w:color w:val="auto"/>
        </w:rPr>
      </w:pPr>
    </w:p>
    <w:p>
      <w:pPr>
        <w:jc w:val="both"/>
        <w:ind w:left="600" w:right="63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settlement process for shares of Common Stock issuable upon exercise of the Warrants is outside of our control and may cause you to lose the value of your investment.</w:t>
      </w:r>
    </w:p>
    <w:p>
      <w:pPr>
        <w:spacing w:after="0" w:line="55"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The settlement process with respect to exercised Warrants refers to the time between exercise of a Warrant and when the issued Common Stock is delivered to your account. The settlement process is conducted by outside parties and broker-dealers and is therefore outside of our control.</w:t>
      </w:r>
    </w:p>
    <w:p>
      <w:pPr>
        <w:spacing w:after="0" w:line="71"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Under Rule 15c6-1 of the Securities Exchange Act of 1934, the standard settlement cycle for most broker-dealer transactions is one business day, unless the parties to any such trade expressly agree otherwise. We understand that under existing financial industry practices, delivery of the shares of Common Stock upon exercise of Warrants will likely not occur within one business day, and delivery may take several business days. You could experience a significant loss of your investment in exercising Warrants if the settlement process takes longer than anticipated or fails to settle.</w:t>
      </w:r>
    </w:p>
    <w:p>
      <w:pPr>
        <w:spacing w:after="0" w:line="26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The issuance of Common Stock upon the exercise of the Warrants may depress our stock price.</w:t>
      </w:r>
    </w:p>
    <w:p>
      <w:pPr>
        <w:spacing w:after="0" w:line="10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Subject to the adjustment provisions of the Warrant Agreement, if all Warrants distributed in the Warrant Distribution are exercised, we would issue 99,295,146 shares of Common Stock, which would be an approximately 10.41% increase from our number of shares outstanding as of the Record Date. The issuance of such additional shares of Common Stock upon exercise of the Warrants, and the resale of such shares on the open market after their issuance, or the perception that such sales could occur, could result in significant downward pressure on our stock price.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i w:val="1"/>
          <w:iCs w:val="1"/>
          <w:color w:val="auto"/>
        </w:rPr>
        <w:t>In general, holders of the Warrants will not be entitled to any of the rights of holders of our Common Stock.</w:t>
      </w:r>
    </w:p>
    <w:p>
      <w:pPr>
        <w:spacing w:after="0" w:line="120"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In general, holders of the Warrants will not be entitled to any rights with respect to our Common Stock, including, without limitation, voting rights and rights to receive any dividends or other distributions on our Common Stock, but holders of the Warrants will be subject to all changes affecting our Common Stock.</w:t>
      </w:r>
    </w:p>
    <w:p>
      <w:pPr>
        <w:spacing w:after="0" w:line="71"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In general, you will have rights with respect to our Common Stock only if you receive our Common Stock upon exercising the Warrants and only as of the date when you become a record owner of the shares of our Common Stock upon such exercise. For example, if an amendment is proposed to our charter or bylaws requiring stockholder approval and the record date for determining the stockholders of record entitled to vote on the amendment occurs prior to the date you are deemed to be the owner of the shares of our Common Stock due upon exercise of your Warrants, you will not be entitled to vote on the amendment, although you will nevertheless be subject to any changes in the powers, preferences or special rights of our Common Stock. However, there may be circumstances in which holders of the Warrants participate, at the same time and upon the same terms as holders of our Common Stock, without having to exercise their Warrants, as if they held a number of shares of our Common Stock equal to the Warrant Exercise Rate per Warrant, as described in the “Description of the Warrants—Anti-Dilution Adjustments” below.</w:t>
      </w:r>
    </w:p>
    <w:p>
      <w:pPr>
        <w:spacing w:after="0" w:line="180" w:lineRule="exact"/>
        <w:rPr>
          <w:sz w:val="20"/>
          <w:szCs w:val="20"/>
          <w:color w:val="auto"/>
        </w:rPr>
      </w:pPr>
    </w:p>
    <w:p>
      <w:pPr>
        <w:jc w:val="both"/>
        <w:ind w:left="600" w:right="619" w:firstLine="33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Future issuance of additional warrants may adversely affect the market price of the Warrants and the market price of our Common Stock, but there may be no adjustment to the Warrant Exercise Rate for such issuances.</w:t>
      </w:r>
    </w:p>
    <w:p>
      <w:pPr>
        <w:spacing w:after="0" w:line="6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Without the consent of any holder of any Warrants, we may issue additional warrants with the same terms as the Warrants distributed on November 21, 2025 as described in this prospectus supplement, which additional warrants will, subject to the foregoing, be considered to be part of the same series of and rank equally and ratably with all other Warrants issued under the Warrant Agreement. We may issue such additional warrants through a sale or another distribution to holders of our Common Stock and other holders of our securities such as 2030 Convertible Notes and the Warrants. Any dividend or distribution by us of any rights, options or warrants to purchase our Common Stock will not result in an adjustment to the Warrant Exercise Rate for any Warrant. The issuance, sale or distribution of substantial amounts of such additional warrants, or the perception that such issuances, sale or distribution may occur, could adversely affect the trading price of the Warrants and the market price of our Common Stock.</w:t>
      </w:r>
    </w:p>
    <w:p>
      <w:pPr>
        <w:spacing w:after="0" w:line="173"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Because we do not currently intend to pay cash dividends on our Common Stock, stockholders will benefit from an investment in our Common Stock primarily if it appreciates in value.</w:t>
      </w:r>
    </w:p>
    <w:p>
      <w:pPr>
        <w:spacing w:after="0" w:line="55"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We do not currently anticipate paying any cash dividends on shares of our Common Stock. Any determination to pay dividends in the future would be made by our Board of Directors and would depend upon results of operations, financial conditions, contractual restrictions, restrictions imposed by applicable law, and other factors our Board of Directors would deem relevant. Accordingly, realization of a gain on stockholders’ investments will primarily depend on the appreciation of the price of our Common Stock.</w:t>
      </w:r>
    </w:p>
    <w:p>
      <w:pPr>
        <w:spacing w:after="0" w:line="2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i w:val="1"/>
          <w:iCs w:val="1"/>
          <w:color w:val="auto"/>
        </w:rPr>
        <w:t>We have broad discretion in the use of the net proceeds from this offering and may not use them effectively.</w:t>
      </w:r>
    </w:p>
    <w:p>
      <w:pPr>
        <w:spacing w:after="0" w:line="120"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if any, from the exercise of the Warrants,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Pending their use, we intend to invest the net proceeds from this offering in short-term, investment-grade, interest-bearing securities or accounts. Our management might not apply our net proceeds in ways that ultimately increase the value of your investment. We intend to use the net proceeds from the exercise of the Warrants, if any, for general corporate purposes, which may include spending to further drive or accelerate our overall strategy or pursuit of opportunistic investments. These spendings or investments may not yield a favorable return to our stockholders and we may lose the value of any net proceeds invested. If we do not invest or apply the net proceeds from this offering in ways that enhance stockholder value, we may fail to achieve expected financial results, which could cause our stock price to decline.</w:t>
      </w:r>
    </w:p>
    <w:p>
      <w:pPr>
        <w:spacing w:after="0" w:line="177"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Warrants do not automatically exercise, and any Warrant you do not exercise prior to the Expiration Date will lose all financial value.</w:t>
      </w:r>
    </w:p>
    <w:p>
      <w:pPr>
        <w:spacing w:after="0" w:line="55" w:lineRule="exact"/>
        <w:rPr>
          <w:sz w:val="20"/>
          <w:szCs w:val="20"/>
          <w:color w:val="auto"/>
        </w:rPr>
      </w:pPr>
    </w:p>
    <w:p>
      <w:pPr>
        <w:jc w:val="both"/>
        <w:ind w:left="600" w:right="639" w:firstLine="333"/>
        <w:spacing w:after="0" w:line="302" w:lineRule="auto"/>
        <w:rPr>
          <w:sz w:val="20"/>
          <w:szCs w:val="20"/>
          <w:color w:val="auto"/>
        </w:rPr>
      </w:pPr>
      <w:r>
        <w:rPr>
          <w:rFonts w:ascii="Times New Roman" w:cs="Times New Roman" w:eastAsia="Times New Roman" w:hAnsi="Times New Roman"/>
          <w:sz w:val="16"/>
          <w:szCs w:val="16"/>
          <w:color w:val="auto"/>
        </w:rPr>
        <w:t>Your Warrants do not automatically exercise, even if the value of our Common Stock receivable upon exercise of a Warrant exceeds the Warrant Exercise Price. You are entitled to exercise the full number of Warrants you hold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or any portion thereof. Any Warrant held by you that are not exercised (including due to your failure to pay the Warrant Exercise Price when due) during the Exercise Period will expire unexercised, meaning the Warrants will no longer exist, and you will also not receive any shares of our Common Stock nor other value in connection with such Warrants.</w:t>
      </w:r>
    </w:p>
    <w:p>
      <w:pPr>
        <w:spacing w:after="0" w:line="3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Future sales or other dilution of our equity may adversely affect the market price of our Common Stock.</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The Warrant Agreement does not restrict us from issuing additional shares of Common Stock to the public or under our employee and director compensation plans. We regularly evaluate opportunities to access capital markets, taking into account our capital needs, financial condition, strategic plans and other relevant considerations. The issuance of additional shares of Common Stock or common equivalent securities in future equity offerings will dilute the ownership interest of our existing Common Stockholders and may depress the trading value of the Warrants or our Common Stock. There can be no assurances that we will not in the future determine that it is advisable or necessary to issue additional shares of Common Stock or other securities convertible or exercisable for shares of Common Stock to fund our business needs. We also expect to continue to use equity and stock options to compensate our employees and directors and others. The market price of our Common Stock and the Warrants could decline significantly as a result of such offerings or issuances, or the perception that such offerings or issuances could occur.</w:t>
      </w:r>
    </w:p>
    <w:p>
      <w:pPr>
        <w:spacing w:after="0" w:line="317" w:lineRule="exact"/>
        <w:rPr>
          <w:sz w:val="20"/>
          <w:szCs w:val="20"/>
          <w:color w:val="auto"/>
        </w:rPr>
      </w:pPr>
    </w:p>
    <w:p>
      <w:pPr>
        <w:jc w:val="both"/>
        <w:ind w:left="600" w:right="619" w:firstLine="33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registration statement covering the issuance of Common Stock issuable upon exercise of the Warrants may not be available at times.</w:t>
      </w:r>
    </w:p>
    <w:p>
      <w:pPr>
        <w:spacing w:after="0" w:line="55"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We will use our commercially reasonable efforts to keep a registration statement effective, subject to certain exceptions, covering the issuance of the Common Stock issuable upon the exercise of the Warrants; however, we are not prohibited from suspending the use of the registration statement and can suspend it at any time at our discretion as described in this prospectus supplement under the heading “Description of the Warrants–Registration and Suspension.” If the registration statement ceases to be effective for any reason at any time, then the right to exercise Warrants shall (unless there is a Net Exercise Period in effect for such series of Warrants) be automatically suspended until such registration statement becomes effective (any such period, an “Exercise Suspension Period”). We shall provide notice by press release of any Exercise Suspension Period for any series of Warrants. No calculation of the Daily VWAP for purposes of determining the Early Expiration Price Condition for any series of Warrants shall occur during any Exercise Suspension Period for such series of Warrants. If the Expiration Date for such series of Warrants would otherwise fall in an Exercise Suspension Period, the Expiration Date for such series of Warrants shall be extended by the number of days comprised in such Exercise Suspension Period for such series of Warrants.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Assuming that the Warrants are fully exercised for cash, we expect that the net proceeds of this offering would be approximately $1.27 billion, after deducting estimated commissions and offering expenses. We cannot assure you that any of the Warrants will be exercised or that, if any Warrants are exercised, we will use the resulting proceeds in a way with which you agree. We intend to use the net proceeds from the exercise of Warrants, if any, for general corporate purposes, which may include spending to further drive or accelerate our overall strategy or pursuit of opportunistic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THE WARRANTS</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On November 21, 2025, the Issuer issued (i) 33,098,382 Series K Warrants, (ii) 33,098,382 Series A Warrants and (iii) 33,098,382 Series Z Warrants as a distribution to holders of record of shares of Common Stock and other eligible recipients holding 2030 Convertible Notes on November 18, 2025 (the “Record Date”). The Warrants were issued by the Issuer pursuant to the Warrant Agreement dated as of November 21, 2025 between the Issuer and Equiniti Trust Company, LLC, as Warrant Agent. The following description of the Warrants and the Warrant Agreement is only a brief summary and is qualified in its entirety by reference to the complete description of the terms of the Warrants set forth in the Warrant Agreement (including the Form of Warrant attached thereto), which has been filed as an exhibit to our Current Report on Form 8-K, filed on the date of this prospectus supplement. The issuance of the Warrants has not been registered under the Securities Act because the issuance of a dividend in the form of a Warrant for no consideration is not a sale or disposition of a security or interest in a security for value pursuant to Section 2(a)(3) of the Securities Act. The Series K Warrants will be listed for trading on Nasdaq under the ticker OPENW. The Series A Warrants will be listed for trading on Nasdaq under the ticker OPENL. The Series Z Warrants will be listed for trading on Nasdaq under the ticker OPENZ.</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Warrant Exercise Rate</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Each Series K Warrant represents the right to purchase from the Issuer one share of Common Stock (the “Series A Warrant Exercise Rate”) at an initial exercise price of $9.00 (the “Series K Exercise Price”) per Series K Warrant, payable in U.S. dollars unless a Net Exercise Period is in effect for the Series K Warrants. Each Series A Warrant represents the right to purchase from the Issuer one share of Common Stock (the “Series A Warrant Exercise Rate”) at an initial exercise price of $13.00 (the “Series A Exercise Price”) per Series A Warrant, payable in U.S. dollars unless a Net Exercise Period is in effect for the Series A Warrants. Each Series Z Warrant represents the right to purchase from the Issuer one share of Common Stock (the “Series Z Warrant Exercise Rate” and, together with the Series K Warrant Exercise Rate and Series A Warrant Exercise Rate, each a “Warrant Exercise Rate”) at an initial exercise price of $17.00 (the “Series Z Exercise Price” and, together with the Series K Warrant Exercise Price and Series A Warrant Exercise Price, each a “Warrant Exercise Price”) per Series Z Warrant, payable in U.S. dollars unless a Net Exercise Period is in effect for the Series Z Warrants. If a Net Exercise Period is in effect with respect to a series of Warrants, no cash exercise price will be paid to exercise the Warrants of that series and the number of shares issuable upon exercise of Warrants of that series will be calculated in accordance with the formula set forth below under “—Net Exercise.”</w:t>
      </w:r>
    </w:p>
    <w:p>
      <w:pPr>
        <w:spacing w:after="0" w:line="80"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Warrant Exercise Rates are subject to certain adjustments described in the “Anti-Dilution Adjustments” section below.</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Expiration</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Unless the Early Expiration Price Condition for a series of Warrants is met as described below, each series of Warrants will expire and cease to be exercisable at 5:00 p.m. New York City time on November 20, 2026 (the “Scheduled Expiration Date”). The Scheduled Expiration Date for each series of Warrants is subject to automatic acceleration upon satisfaction of the Early Expiration Price Condition. The Issuer may elect to extend the Expiration Date for any series of Warrants.</w:t>
      </w:r>
    </w:p>
    <w:p>
      <w:pPr>
        <w:spacing w:after="0" w:line="76"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With respect to each series of Warrants, upon the occurrence of the first 30 consecutive VWAP Trading Day (as defined in “—Certain Definitions”) period (in each case, a “Reference Period”) that includes 20 Qualifying Trading Days (whether or not consecutive) for such series of Warrants, the first of which 20 Qualifying Trading Days must fall on or after the first VWAP Trading Day immediately following the Distribution Date (an “Early Expiration Price Condition” for a series of Warrants, and the last of such 20 Qualifying Trading Days to occur, an “Early Expiration Price Condition Date” for such series of Warrants), the Expiration Date for the applicable series of Warrant will automatically accelerate to the first Scheduled Trading Day (as defined in “—Certain Definitions”) (or, if a Net Exercise Period is in effect for such series of Warrants, the second Scheduled Trading Day) immediately following the Early Expiration Price Condition Date for such series of Warrants. Notwithstanding the foregoing, the Issuer may set an Alternate Expiration Date (defined below) for a series of Warrants as described below and as further described in the Warrant Agreement.</w:t>
      </w:r>
    </w:p>
    <w:p>
      <w:pPr>
        <w:spacing w:after="0" w:line="84"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If the Early Expiration Price Condition Date occurs with respect to a series of Warrants, the Issuer will make a public announcement of such occurrence by issuance of a press release (an “Early Expiration Price Condition Notice”) as promptly as practicable after close of the regular trading session of Nasdaq (disregarding any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after-hours trading) on the Early Expiration Price Condition Date for such series of Warrants setting forth the Early Expiration Date for such series of Warrants, which may be an Alternate Expiration Date for such series of Warrants as set forth below. In addition, in the event that a Market Disruption Event (as defined in “—Certain Definitions”) occurs on such first Scheduled Trading Day (or, if a Net Exercise Period is in effect for such series of Warrants, the first or second Scheduled Trading Day) immediately following the Early Expiration Price Condition Date for such series of Warrants, then the Issuer may set an Alternate Expiration Date for such series of Warrant whether or not it made a public announcement to reserve its right to set an Alternate Expiration Date.</w:t>
      </w:r>
    </w:p>
    <w:p>
      <w:pPr>
        <w:spacing w:after="0" w:line="7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The Issuer may, in its sole discretion, elect to set the Early Expiration Date for a series of Warrants on any Scheduled Trading Day falling at any time after the first Scheduled Trading Day (or, if a Net Exercise Period is in effect for such series of Warrants, the second Scheduled Trading Day) immediately following the Early Expiration Price Condition Date for such series of Warrants (such date, an “Alternate Expiration Date” for such series of Warrants). Any such Alternate Expiration Date shall be specified in the Early Expiration Price Condition Notice for such series of Warrants. In order to set an Alternate Expiration Date, the Issuer will be required to, no later than the fifth Qualifying Trading Day for a series of Warrants (whether or not consecutive) occurring in any 20 consecutive VWAP Trading Day period, make a public announcement by issuance of a press release that the Issuer is reserving the right to set an Alternate Expiration Date in the event the Early Expiration Price Condition for such series of Warrants does occur. For the avoidance of doubt, such election by the Issuer to set an Alternate Expiration Date for a series of Warrants shall be deemed effective irrespective of whether the twenty (20) consecutive VWAP Trading Day period referred to in the immediately preceding sentence overlaps or not in any part with the Reference Period that ended on the Early Expiration Condition Date for such series of Warrants.</w:t>
      </w:r>
    </w:p>
    <w:p>
      <w:pPr>
        <w:spacing w:after="0" w:line="81" w:lineRule="exact"/>
        <w:rPr>
          <w:sz w:val="20"/>
          <w:szCs w:val="20"/>
          <w:color w:val="auto"/>
        </w:rPr>
      </w:pPr>
    </w:p>
    <w:p>
      <w:pPr>
        <w:jc w:val="both"/>
        <w:ind w:left="600" w:right="619" w:firstLine="333"/>
        <w:spacing w:after="0" w:line="263" w:lineRule="auto"/>
        <w:rPr>
          <w:sz w:val="20"/>
          <w:szCs w:val="20"/>
          <w:color w:val="auto"/>
        </w:rPr>
      </w:pPr>
      <w:r>
        <w:rPr>
          <w:rFonts w:ascii="Times New Roman" w:cs="Times New Roman" w:eastAsia="Times New Roman" w:hAnsi="Times New Roman"/>
          <w:sz w:val="16"/>
          <w:szCs w:val="16"/>
          <w:color w:val="auto"/>
        </w:rPr>
        <w:t>If the Issuer sets an Alternate Expiration Date for a series of Warrants, the expiration of such series of Warrants on such Alternate Expiration Date shall be conditioned on (x) each of the two Scheduled Trading Days immediately preceding such Alternate Expiration Date being a VWAP Trading Day and (y) the Daily VWAP on each of such two VWAP Trading Days immediately preceding such Alternate Expiration Date being at least equal to the quotient obtained by dividing the Warrant Exercise Price for such series of Warrants by the Warrant Exercise Rate for such series of Warrants (the “Additional Alternate Expiration Date Conditions” for such series of Warrants in respect of such Alternate Expiration Date). As promptly as practicable after close of the regular trading session of Nasdaq (disregarding any after-hours trading) on the Scheduled Trading Day immediately preceding the Alternate Expiration Date for a series of Warrants, the Issuer will make a public announcement by issuance of a press release as to whether the Additional Alternate Expiration Date Conditions for such series of Warrants is met. The Issuer may, in its sole discretion, by making a public announcement by issuance of a press release, postpone further (on one or more occasions) such Alternate Expiration Date for such series of Warrants to a new Alternate Expiration Date (which, for the avoidance of doubt, shall be conditional to the Additional Alternate Expiration Date Conditions for such series of Warrants in respect of the Alternate Expiration Date so postponed).</w:t>
      </w:r>
    </w:p>
    <w:p>
      <w:pPr>
        <w:spacing w:after="0" w:line="74"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If the Additional Alternate Expiration Date Conditions for a series of Warrants are not satisfied in respect of any Alternate Expiration Date for such series of Warrants and the Issuer does not postpone such Alternate Expiration Date for such series of Warrants as described in the immediately preceding paragraph (an “Alternate Expiration Date Annulment” in respect of such Alternate Expiration Date), the Expiration Date for such series of Warrants will remain the Scheduled Expiration Date unless another Early Expiration Price Condition Date subsequently occurs for such series of Warrants.</w:t>
      </w:r>
    </w:p>
    <w:p>
      <w:pPr>
        <w:spacing w:after="0" w:line="77"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“Series K Early Expiration Trigger Price” is initially equal to $10.80, subject to certain adjustments described in “—Anti-Dilution Adjustments” below.</w:t>
      </w:r>
    </w:p>
    <w:p>
      <w:pPr>
        <w:spacing w:after="0" w:line="60"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“Series A Early Expiration Trigger Price” is initially equal to $15.60, subject to certain adjustments described in “—Anti-Dilution Adjustments” below.</w:t>
      </w:r>
    </w:p>
    <w:p>
      <w:pPr>
        <w:spacing w:after="0" w:line="60"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“Series Z Early Expiration Trigger Price” is initially equal to $20.40, subject to certain adjustments described in “—Anti-Dilution Adjustments” below.</w:t>
      </w:r>
    </w:p>
    <w:p>
      <w:pPr>
        <w:spacing w:after="0" w:line="6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“Early Expiration Date” with respect to a series of Warrants means either (x) the first Scheduled Trading Day (or, if a Net Exercise Period is in effect for such series of Warrants, the second Scheduled Trading Day) immediately following the Early Expiration Price Condition Date for such series of Warrants or (y) if applicable, the Alternate Expiration Date for such series of Warrants set as described herein.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Subject to applicable laws and regulations and the terms of the Warrant Agreement, including the satisfaction of the Early Expiration Price Condition or the Additional Alternate Expiration Date Conditions, the Warrants of each series may be exercised at any time starting on the date of issuance until 5:00 p.m. New York City time on the applicable Expiration Date.</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Form and Transfer</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The Issuer is issuing the Warrants in uncertificated, direct registration form. Warrant holders will not be entitled to receive physical certificates. Registration of ownership will be maintained by the Warrant Agent. If you are a holder of record of shares of Common Stock as of the Record Date, the Warrant Agent will issue a direct registration account statement representing those Warrants. For holders of shares of Common Stock as of the Record Date that hold such shares through a broker, dealer, custodian bank or other nominee, the Warrants will be represented by a global security registered in the name of a depository, which will be the holder of all the Warrants represented by the global security. Those holders who own beneficial interests in a global Warrant will do so through participants in the depository’s system, and the rights of these indirect owners will be governed solely by the applicable procedures of the depository and its participants.</w:t>
      </w:r>
    </w:p>
    <w:p>
      <w:pPr>
        <w:spacing w:after="0" w:line="8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The Warrant Agent will not be required to effect any registration of transfer or exchange that would result in any fraction of a Warrant. If any fractional Warrant would otherwise be required to be issued or distributed, the Issuer or the Warrant Agent, as applicable, will round down the total number of Warrants to be issued to the relevant holder to the nearest whole number.</w:t>
      </w:r>
    </w:p>
    <w:p>
      <w:pPr>
        <w:spacing w:after="0" w:line="75"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Record owners of Warrants may transfer Warrants through the process established by the Warrant Agent. Indirect, “street name” holders of Warrants should contact their broker, bank or other intermediary for information on how to transfer Warrants.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Exercise</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All or any part of the Warrants of a series may be exercised prior to 5:00 p.m. New York City time on the Expiration Date for such series of Warrants (as it may be adjusted) by delivering a completed form of election to purchase shares of Common Stock, which contains certain representations by the holder of the Warrants, and if no Net Exercise Period is in effect for such series of Warrants, payment of the applicable Warrant Exercise Price in cash. Any such delivery that occurs on a day that is not a Business Day or is received after 5:00 p.m., New York City time, on any given Business Day will be deemed received and exercised on the next succeeding Business Day. Record holders of Warrants may exercise Warrants through the process established by the Warrant Agent. Indirect, “street name” holders of Warrants should contact their broker, bank or other intermediary for information on how to exercise Warrants. Any otherwise valid exercise of a Warrant submitted after any applicable deadline for exercise may, in the sole and absolute discretion of the Issuer, be accepted and honored. The Issuer’s decision with respect to any such exercise shall be determinative.</w:t>
      </w:r>
    </w:p>
    <w:p>
      <w:pPr>
        <w:spacing w:after="0" w:line="84"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If a registration statement is not effective at any time or from time to time for a series of Warrants, the right to exercise Warrants of such series shall be automatically suspended until such registration statement becomes effective as described under “Registration and Suspension” below, unless a Net Exercise Period is in effect for such series of Warrants.</w:t>
      </w:r>
    </w:p>
    <w:p>
      <w:pPr>
        <w:spacing w:after="0" w:line="75"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Upon delivery of Warrant Shares upon exercise of Warrants, the Issuer will issue such whole number of Warrant Shares as the exercising Warrant holder is entitled to receive. If you are a holder of record of any Warrants and you exercise such Warrants to purchase shares of Common Stock, the Issuer’s transfer agent will issue a direct registration account statement representing those shares of Common Stock to you as soon as practicable after the exercise of such Warrants. If your Warrants are held through a broker, dealer, custodian bank or other nominee and you exercise such Warrants, your account at your nominee will be credited with those shares as soon as practicable following the exercise of your Warrants, subject to the procedures of such broker, dealer, custodian bank or other nominee.</w:t>
      </w:r>
    </w:p>
    <w:p>
      <w:pPr>
        <w:spacing w:after="0" w:line="82"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Shares of Common Stock issuable upon exercise of Warrants will be delivered to the applicable holder of such Warrants after the applicable Exercise Date (as defined below) on our Common Stock transfer agent’s standard turnaround time, which we expect to occur within two trading days after such exercise.</w:t>
      </w:r>
    </w:p>
    <w:p>
      <w:pPr>
        <w:spacing w:after="0" w:line="71" w:lineRule="exact"/>
        <w:rPr>
          <w:sz w:val="20"/>
          <w:szCs w:val="20"/>
          <w:color w:val="auto"/>
        </w:rPr>
      </w:pPr>
    </w:p>
    <w:p>
      <w:pPr>
        <w:jc w:val="both"/>
        <w:ind w:left="600" w:right="619" w:firstLine="333"/>
        <w:spacing w:after="0" w:line="281" w:lineRule="auto"/>
        <w:rPr>
          <w:sz w:val="20"/>
          <w:szCs w:val="20"/>
          <w:color w:val="auto"/>
        </w:rPr>
      </w:pPr>
      <w:r>
        <w:rPr>
          <w:rFonts w:ascii="Times New Roman" w:cs="Times New Roman" w:eastAsia="Times New Roman" w:hAnsi="Times New Roman"/>
          <w:sz w:val="16"/>
          <w:szCs w:val="16"/>
          <w:color w:val="auto"/>
        </w:rPr>
        <w:t>The Issuer shall not be required to issue fractional shares of Common Stock on the exercise of Warrants or pay cash in lieu thereof. The number of shares of Common Stock that shall be issuable upon an exercise of Warrants by a Holder pursuant to any one Exercise Notice at any time shall be computed on the basis of the aggregate number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of shares of Common Stock which may be purchased pursuant to the Warrants being exercised by that Holder pursuant to such Exercise Notice. If any fraction of a share of Common Stock would be issuable upon the exercise of Warrants pursuant to such Exercise Notice, the total number of shares of Common Stock to be issued to the relevant Holder in respect of such Exercise Notice shall be rounded down to the nearest whole number and no cash or other adjustment will be made in lieu of the fraction of a share so rounded down.</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Amendment</w:t>
      </w:r>
    </w:p>
    <w:p>
      <w:pPr>
        <w:spacing w:after="0" w:line="108" w:lineRule="exact"/>
        <w:rPr>
          <w:sz w:val="20"/>
          <w:szCs w:val="20"/>
          <w:color w:val="auto"/>
        </w:rPr>
      </w:pPr>
    </w:p>
    <w:p>
      <w:pPr>
        <w:jc w:val="both"/>
        <w:ind w:left="600" w:right="619" w:firstLine="333"/>
        <w:spacing w:after="0" w:line="246" w:lineRule="auto"/>
        <w:rPr>
          <w:sz w:val="20"/>
          <w:szCs w:val="20"/>
          <w:color w:val="auto"/>
        </w:rPr>
      </w:pPr>
      <w:r>
        <w:rPr>
          <w:rFonts w:ascii="Times New Roman" w:cs="Times New Roman" w:eastAsia="Times New Roman" w:hAnsi="Times New Roman"/>
          <w:sz w:val="17"/>
          <w:szCs w:val="17"/>
          <w:color w:val="auto"/>
        </w:rPr>
        <w:t>The Warrant Agreement may be amended without the consent of any Holder to cure any ambiguity, omission, defect or inconsistency, to provide for the assumption by a successor company in any Share Exchange Event, to extend the Expiration Date for any series of Warrants, to increase the Warrant Exercise Rate or decrease the Warrant Exercise Price for any series of Warrants, to provide for net share settlement upon exercise of any series of Warrants in a manner other than as provided in “—Net Exercise” below, to make any change that does not adversely affect the rights of any Holder in any material respect, to provide for a successor Warrant Agent or Calculation Agent, in connection with any Share Exchange Event, to provide that Warrants are exercisable for Units of Reference Property, to conform the provisions of the Warrant Agreement or the certificates for the Warrant to this “Description of the Warrants” section of this prospectus supplement or to provide for or confirm the issuance of additional Warrants as provided in “—Additional Warrants.” With the written consent of the Holders of a majority of the then outstanding Warrants of any series, the Issuer may from time to time amend the Warrant Agreement and/or the certificates for such Series of Warrants in a manner that has a material adverse effect on the interests of the Holders of such series of Warrants. Notwithstanding the foregoing, in the event that any amendment would have a material adverse effect on the interests of the Holders of all series of Warrants in the same manner, then such amendment shall require the written consent of the Holders of a majority of the then outstanding Warrants of all series, voting as a single class.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Additional Warrants</w:t>
      </w:r>
    </w:p>
    <w:p>
      <w:pPr>
        <w:spacing w:after="0" w:line="10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Issuer may, subject to the provisions of the Warrant Agreement, issue additional Warrants of one or more series with the same terms as the Warrants issued on the Distribution Date for such series, which additional Warrants will, subject to the foregoing, be considered to be part of the same series of, and rank equally and ratably with all other, Warrants of such series issued under the Warrant Agreement; provided, however, that if any such additional Warrants of such series are not fungible, for federal securities laws purposes, with other Warrants of such series issued under the Warrant Agreement and assigned a CUSIP number, then such additional Warrants of such series will be identified by a separate CUSIP number or by no CUSIP number.</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and Suspension</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The Issuer has agreed in the Warrant Agreement to use commercially reasonable efforts to cause a shelf registration statement (including, at the Issuer’s election, an existing registration statement or a replacement thereof), filed pursuant to Rule 415 (or any successor provision) of the Securities Act, covering the issuance of Warrant Shares to the Holders upon exercise of each series of Warrants by the Holders thereof to, subject to certain exceptions, remain effective at least until the earlier of (i) such time as all Warrants have been exercised and (ii) 5:00 p.m. New York City time on the latest Expiration Date for all series of Warrants. If the registration statement ceases to be effective for any reason at any time, the right to exercise each series of Warrants shall (unless there is a Net Exercise Period in effect for such series of Warrants) be automatically suspended until such registration statement becomes effective (any such period, an “Exercise Suspension Period”). As promptly as practicable upon each occurrence of an Exercise Suspension Period for any series of Warrants, the Issuer shall provide notice by press release of such Exercise Suspension Period.</w:t>
      </w:r>
    </w:p>
    <w:p>
      <w:pPr>
        <w:spacing w:after="0" w:line="84"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The Issuer may suspend the availability of the registration statement relating to the Warrants from time to time if the Board of Directors of the Issuer determines in the exercise of its reasonable judgment that such suspension is necessary or desirable, as determined by the Issuer in its sole discretion, and the Issuer provides notice via press release to the Holders. Any such suspension shall be treated as an Exercise Suspension Period. In no event shall the Issuer be required to disclose the business purpose for such suspension if the Issuer determines in good faith that such business purpose should remain confidential.</w:t>
      </w:r>
    </w:p>
    <w:p>
      <w:pPr>
        <w:spacing w:after="0" w:line="77"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No calculation of the Daily VWAP for purposes of determining the Early Expiration Price Condition for any series of Warrants shall occur during any Exercise Suspension Period for such series of Warrants. If the Expiration Date for a series of Warrants would otherwise fall in an Exercise Suspension Period for such series of Warrants, the Expiration Date for such series of Warrants shall be delayed by the number of days comprised in such Exercise Suspension Period for such series of Warrants.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Exercise</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The Issuer may, in its sole discretion, (i) at any time upon at least 10 calendar days’ prior notice or (ii) at any time during an Exercise Suspension Period upon one Trading Day’s (as defined in “—Certain Definitions”) notice, elect to change the exercise method for any series of Warrants to net exercise as described herein. Subsequent to such change of exercise method to net exercise, the Issuer may, in its sole discretion, at any time upon at least 10 calendar days’ prior notice, change such exercise method back to cash exercise to be effected as described herein. The Issuer shall be deemed to have provided any such notice by issuance of a press release of any such election, which shall be deemed to be effective on the Business Day so designated by the Issuer in such notice (which, for the avoidance of doubt, must be no earlier than 10 days or 1 Trading Day, as applicable, after such date of such announcement as provided in the immediately preceding sentence).</w:t>
      </w:r>
    </w:p>
    <w:p>
      <w:pPr>
        <w:spacing w:after="0" w:line="80"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“Net Exercise Period” means with respect to any series of Warrants, any period beginning on, the first Business Day on which the Issuer’s election to change the exercise method of such series of Warrants to net exercise is deemed effective as described in this paragraph, and ending on, the Business Day immediately preceding the first Business Day on which the Issuer’s election to change the exercise method for such series of Warrants to cash exercise is deemed effective as described in the immediately preceding paragraph.</w:t>
      </w:r>
    </w:p>
    <w:p>
      <w:pPr>
        <w:spacing w:after="0" w:line="76"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If any Warrant is exercised during a Net Exercise Period, a holder of such series of Warrants will not be required to pay the Warrant Exercise Price to exercise such series of Warrants and the number of shares of Common Stock issuable for such exercise shall be calculated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158750</wp:posOffset>
            </wp:positionV>
            <wp:extent cx="1680845" cy="673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0845" cy="67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Where:</w:t>
            </w:r>
          </w:p>
        </w:tc>
        <w:tc>
          <w:tcPr>
            <w:tcW w:w="34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349"/>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i w:val="1"/>
                <w:iCs w:val="1"/>
                <w:color w:val="auto"/>
              </w:rPr>
              <w:t>WS</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number of shares of Common Stock issuable for such exercise;</w:t>
            </w:r>
          </w:p>
        </w:tc>
      </w:tr>
      <w:tr>
        <w:trPr>
          <w:trHeight w:val="216"/>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r>
      <w:tr>
        <w:trPr>
          <w:trHeight w:val="204"/>
        </w:trPr>
        <w:tc>
          <w:tcPr>
            <w:tcW w:w="200" w:type="dxa"/>
            <w:vAlign w:val="bottom"/>
          </w:tcPr>
          <w:p>
            <w:pPr>
              <w:spacing w:after="0"/>
              <w:rPr>
                <w:sz w:val="17"/>
                <w:szCs w:val="17"/>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i w:val="1"/>
                <w:iCs w:val="1"/>
                <w:color w:val="auto"/>
              </w:rPr>
              <w:t>NW</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number of Warrants of such series exercised;</w:t>
            </w:r>
          </w:p>
        </w:tc>
      </w:tr>
      <w:tr>
        <w:trPr>
          <w:trHeight w:val="216"/>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20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i w:val="1"/>
                <w:iCs w:val="1"/>
                <w:color w:val="auto"/>
              </w:rPr>
              <w:t>WER</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the Warrant Exercise Rate for such series of Warrants in effect immediately prior to the</w:t>
            </w:r>
          </w:p>
        </w:tc>
      </w:tr>
      <w:tr>
        <w:trPr>
          <w:trHeight w:val="200"/>
        </w:trPr>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close of business on the relevant Exercise Date;</w:t>
            </w:r>
          </w:p>
        </w:tc>
      </w:tr>
      <w:tr>
        <w:trPr>
          <w:trHeight w:val="216"/>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r>
      <w:tr>
        <w:trPr>
          <w:trHeight w:val="206"/>
        </w:trPr>
        <w:tc>
          <w:tcPr>
            <w:tcW w:w="200" w:type="dxa"/>
            <w:vAlign w:val="bottom"/>
          </w:tcPr>
          <w:p>
            <w:pPr>
              <w:spacing w:after="0"/>
              <w:rPr>
                <w:sz w:val="17"/>
                <w:szCs w:val="17"/>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i w:val="1"/>
                <w:iCs w:val="1"/>
                <w:color w:val="auto"/>
              </w:rPr>
              <w:t>VWAP</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Daily VWAP for the VWAP Trading Day immediately preceding the relevant</w:t>
            </w:r>
          </w:p>
        </w:tc>
      </w:tr>
      <w:tr>
        <w:trPr>
          <w:trHeight w:val="202"/>
        </w:trPr>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xml:space="preserve">Exercise Date, subject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immediately below; and</w:t>
            </w:r>
          </w:p>
        </w:tc>
      </w:tr>
      <w:tr>
        <w:trPr>
          <w:trHeight w:val="216"/>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200" w:type="dxa"/>
            <w:vAlign w:val="bottom"/>
          </w:tcPr>
          <w:p>
            <w:pPr>
              <w:spacing w:after="0"/>
              <w:rPr>
                <w:sz w:val="18"/>
                <w:szCs w:val="18"/>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7"/>
                <w:szCs w:val="17"/>
                <w:i w:val="1"/>
                <w:iCs w:val="1"/>
                <w:color w:val="auto"/>
              </w:rPr>
              <w:t>SP</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xml:space="preserve">the Warrant Exercise Price for such series of Warrants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the Warrant Exercise</w:t>
            </w:r>
          </w:p>
        </w:tc>
      </w:tr>
      <w:tr>
        <w:trPr>
          <w:trHeight w:val="200"/>
        </w:trPr>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Rate for such series of Warrants, in each case in effect immediately prior to the close of</w:t>
            </w:r>
          </w:p>
        </w:tc>
      </w:tr>
      <w:tr>
        <w:trPr>
          <w:trHeight w:val="216"/>
        </w:trPr>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business on the relevant Exercise Date.</w:t>
            </w:r>
          </w:p>
        </w:tc>
      </w:tr>
    </w:tbl>
    <w:p>
      <w:pPr>
        <w:spacing w:after="0" w:line="133"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provided that, if (i) the VWAP Trading Day immediately preceding the relevant Exercise Date falls prior to the Ex-Date or effective date, as the case may be, of any event giving rise to an adjustment pursuant to “–Anti-Dilution Adjustments” to the Warrant Exercise Rate for such series of Warrants, and (ii) the Warrant Exercise Rate for such series of Warrants in effect immediately prior to the close of business on such Exercise Date has been so adjusted in respect of such event, “VWAP” for the purposes of the above formula shall instead be equal to the product (rounded to the nearest whole multiple of $0.0001 (with $0.00005 being rounded upwards)) of (a) the Daily VWAP for the VWAP Trading Day immediately preceding such Exercise Date and (b) a fraction, the numerator of which is the Warrant Exercise Rate for such Series of Warrants in effect immediately prior to such adjustment and the denominator of which is the Warrant Exercise Rate for such Series of Warrants as so adjusted.</w:t>
      </w:r>
    </w:p>
    <w:p>
      <w:pPr>
        <w:spacing w:after="0" w:line="80"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If the calculation for any exercise of a Warrant using the formula set forth above would result zero or in a negative number (i.e., if VWAP is equal to or less than SP), then the number of Warrant Shares issuable for such exercise shall be zero and the Warrant so exercised shall cease to be outstanding. For the avoidance of doubt, the Issuer shall not be required to issue fractional shares of Common Stock on the exercise of Warrants or pay cash in lieu thereof.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A holder of unexercised Warrants, in his or her capacity as such, is not entitled to any rights of a holder of shares of Common Stock, including, without limitation, the right to vote or to receive dividends or other distributions.</w:t>
      </w:r>
    </w:p>
    <w:p>
      <w:pPr>
        <w:spacing w:after="0" w:line="71" w:lineRule="exact"/>
        <w:rPr>
          <w:sz w:val="20"/>
          <w:szCs w:val="20"/>
          <w:color w:val="auto"/>
        </w:rPr>
      </w:pPr>
    </w:p>
    <w:p>
      <w:pPr>
        <w:jc w:val="both"/>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All expenses related to the registration and approval of the shares of Common Stock issuable upon exercise of the Warrants will be borne by the Issuer.</w:t>
      </w: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Anti-Dilution Adjustments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Warrant Exercise Rate shall be subject to adjustment, without duplication, as follows.</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Stock Dividends, Splits, Subdivisions, Reclassifications and Combinations</w:t>
      </w:r>
      <w:r>
        <w:rPr>
          <w:rFonts w:ascii="Times New Roman" w:cs="Times New Roman" w:eastAsia="Times New Roman" w:hAnsi="Times New Roman"/>
          <w:sz w:val="17"/>
          <w:szCs w:val="17"/>
          <w:color w:val="auto"/>
        </w:rPr>
        <w:t>. If the Issuer shall</w:t>
      </w:r>
    </w:p>
    <w:p>
      <w:pPr>
        <w:spacing w:after="0" w:line="21" w:lineRule="exact"/>
        <w:rPr>
          <w:sz w:val="20"/>
          <w:szCs w:val="20"/>
          <w:color w:val="auto"/>
        </w:rPr>
      </w:pPr>
    </w:p>
    <w:p>
      <w:pPr>
        <w:jc w:val="both"/>
        <w:ind w:left="940" w:right="619" w:firstLine="2"/>
        <w:spacing w:after="0" w:line="246" w:lineRule="auto"/>
        <w:tabs>
          <w:tab w:leader="none" w:pos="114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exclusively issue shares of Common Stock to all or substantially all holders of Common Stock as a dividend or distribution on shares of the Common Stock, (ii) subdivide or reclassify the issued and outstanding shares of Common Stock into a greater number of shares, or (iii) combine, consolidate or reclassify the issued and outstanding shares of Common Stock into a smaller number of shares, then the Warrant Exercise Rate for each series of Warrants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156210</wp:posOffset>
            </wp:positionV>
            <wp:extent cx="1125855" cy="507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5855"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0"/>
        <w:spacing w:after="0"/>
        <w:tabs>
          <w:tab w:leader="none" w:pos="920" w:val="left"/>
        </w:tabs>
        <w:rPr>
          <w:sz w:val="20"/>
          <w:szCs w:val="20"/>
          <w:color w:val="auto"/>
        </w:rPr>
      </w:pPr>
      <w:r>
        <w:rPr>
          <w:rFonts w:ascii="Times New Roman" w:cs="Times New Roman" w:eastAsia="Times New Roman" w:hAnsi="Times New Roman"/>
          <w:sz w:val="33"/>
          <w:szCs w:val="33"/>
          <w:color w:val="auto"/>
          <w:vertAlign w:val="subscript"/>
        </w:rPr>
        <w:t xml:space="preserve">  </w:t>
      </w:r>
      <w:r>
        <w:rPr>
          <w:sz w:val="20"/>
          <w:szCs w:val="20"/>
          <w:color w:val="auto"/>
        </w:rPr>
        <w:tab/>
      </w:r>
      <w:r>
        <w:rPr>
          <w:rFonts w:ascii="Times New Roman" w:cs="Times New Roman" w:eastAsia="Times New Roman" w:hAnsi="Times New Roman"/>
          <w:sz w:val="17"/>
          <w:szCs w:val="17"/>
          <w:color w:val="auto"/>
        </w:rPr>
        <w:t>where:</w:t>
      </w:r>
    </w:p>
    <w:p>
      <w:pPr>
        <w:spacing w:after="0" w:line="83" w:lineRule="exact"/>
        <w:rPr>
          <w:sz w:val="20"/>
          <w:szCs w:val="20"/>
          <w:color w:val="auto"/>
        </w:rPr>
      </w:pPr>
    </w:p>
    <w:tbl>
      <w:tblPr>
        <w:tblLayout w:type="fixed"/>
        <w:tblInd w:w="1400" w:type="dxa"/>
        <w:tblCellMar>
          <w:top w:w="0" w:type="dxa"/>
          <w:left w:w="0" w:type="dxa"/>
          <w:bottom w:w="0" w:type="dxa"/>
          <w:right w:w="0" w:type="dxa"/>
        </w:tblCellMar>
      </w:tblP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at the open of business on the Ex-Date for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such dividend or distribution, or at the open of business on the effective date of such</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subdivision, combination, consolidation or reclassification, as applicable;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WER</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immediately prior to the open of business</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on the Ex-Date for such dividend or distribution, or immediately prior to open of business</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on the effective date of such subdivision, combination, consolidation or reclassification,</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 applicable;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OS</w:t>
            </w:r>
            <w:r>
              <w:rPr>
                <w:rFonts w:ascii="Times New Roman" w:cs="Times New Roman" w:eastAsia="Times New Roman" w:hAnsi="Times New Roman"/>
                <w:sz w:val="24"/>
                <w:szCs w:val="24"/>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after, and solely as a</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result  of  giving  effect  to,  such  dividend,  distribution,  subdivision,  combination,</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consolidation or reclassification, as applicable;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OS</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prior to the open of</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on the Ex-Date for such dividend or distribution or immediately prior to the</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8"/>
              </w:rPr>
              <w:t>open of business on the effective date of such subdivision, combination, consolidation or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reclassification, as applicable (before giving effect to any such dividend, distribution, or</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subdivision, consolidation, combination or reclassification, as applicable).</w:t>
            </w:r>
          </w:p>
        </w:tc>
      </w:tr>
    </w:tbl>
    <w:p>
      <w:pPr>
        <w:spacing w:after="0" w:line="133"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Any adjustment made under this clause (a)‎ shall become effective at the open of business on such Ex-Date for such dividend or distribution, or at the open of business on the effective date for such subdivision, consolidation, combination or reclassification, as applicable. If an adjustment to the Warrant Exercise Rate is made in respect of any dividend or distribution, subdivision, consolidation, combination or reclassification of the type described in this clause (a)‎ but such dividend or distribution, subdivision, consolidation, combination or reclassification is not so paid or made, the applicable Warrant Exercise Rate shall be readjusted, effective as of the date the Board of Directors determines not to pay or make such dividend or distribution, subdivision, consolidation, combination or reclassification, to the applicable Warrant Exercise Rate that would then be in effect at such time had no such adjustment been made.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940" w:right="619" w:firstLine="333"/>
        <w:spacing w:after="0" w:line="249"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Rights Issues</w:t>
      </w:r>
      <w:r>
        <w:rPr>
          <w:rFonts w:ascii="Times New Roman" w:cs="Times New Roman" w:eastAsia="Times New Roman" w:hAnsi="Times New Roman"/>
          <w:sz w:val="17"/>
          <w:szCs w:val="17"/>
          <w:color w:val="auto"/>
        </w:rPr>
        <w:t>. If the Issuer issues to all or substantially all holders of the Common Stock any rights, options or warrants entitling them, for a period of not more than 45 calendar days after the announcement date of such issuance, to subscribe for or purchase shares of the Common Stock at a price per share that is less than the arithmetic average of the Last Reported Sale Prices of the Common Stock on each Trading Day comprised in the period of 10 consecutive Trading Days immediately preceding the date of announcement of such issuance,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163195</wp:posOffset>
            </wp:positionV>
            <wp:extent cx="1323975" cy="507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3975"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40" w:hanging="331"/>
        <w:spacing w:after="0"/>
        <w:tabs>
          <w:tab w:leader="none" w:pos="940" w:val="left"/>
        </w:tabs>
        <w:numPr>
          <w:ilvl w:val="0"/>
          <w:numId w:val="3"/>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where:</w:t>
      </w:r>
    </w:p>
    <w:p>
      <w:pPr>
        <w:spacing w:after="0" w:line="35" w:lineRule="exact"/>
        <w:rPr>
          <w:sz w:val="20"/>
          <w:szCs w:val="20"/>
          <w:color w:val="auto"/>
        </w:rPr>
      </w:pPr>
    </w:p>
    <w:tbl>
      <w:tblPr>
        <w:tblLayout w:type="fixed"/>
        <w:tblInd w:w="1400" w:type="dxa"/>
        <w:tblCellMar>
          <w:top w:w="0" w:type="dxa"/>
          <w:left w:w="0" w:type="dxa"/>
          <w:bottom w:w="0" w:type="dxa"/>
          <w:right w:w="0" w:type="dxa"/>
        </w:tblCellMar>
      </w:tblPr>
      <w:tr>
        <w:trPr>
          <w:trHeight w:val="310"/>
        </w:trPr>
        <w:tc>
          <w:tcPr>
            <w:tcW w:w="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at the open of business on the Ex-Date for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such issuance;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WER</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immediately prior to the open of business</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the Ex-Date for such issuance;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OS</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number of shares of Common Stock outstanding immediately prior to the open of</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business on the Ex-Date for such issuance;</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bl>
    <w:p>
      <w:pPr>
        <w:spacing w:after="0" w:line="8" w:lineRule="exact"/>
        <w:rPr>
          <w:sz w:val="20"/>
          <w:szCs w:val="20"/>
          <w:color w:val="auto"/>
        </w:rPr>
      </w:pPr>
    </w:p>
    <w:p>
      <w:pPr>
        <w:ind w:left="2400" w:right="619" w:hanging="992"/>
        <w:spacing w:after="0" w:line="255" w:lineRule="auto"/>
        <w:tabs>
          <w:tab w:leader="none" w:pos="2001"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the total number of shares of Common Stock issuable pursuant to such rights, options or warrants; and</w:t>
      </w:r>
    </w:p>
    <w:p>
      <w:pPr>
        <w:ind w:left="24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w:t>
      </w:r>
    </w:p>
    <w:p>
      <w:pPr>
        <w:spacing w:after="0" w:line="13" w:lineRule="exact"/>
        <w:rPr>
          <w:sz w:val="20"/>
          <w:szCs w:val="20"/>
          <w:color w:val="auto"/>
        </w:rPr>
      </w:pPr>
    </w:p>
    <w:p>
      <w:pPr>
        <w:ind w:left="2400" w:right="619" w:hanging="992"/>
        <w:spacing w:after="0" w:line="251" w:lineRule="auto"/>
        <w:tabs>
          <w:tab w:leader="none" w:pos="2001"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the number of shares of Common Stock equal to the aggregate price payable to exercise such rights, options or warrants, divided by the arithmetic average of the Last Reported Sale Prices of the Common Stock on each Trading Day comprised in the period of 10 consecutive Trading Days immediately preceding the date of announcement of the issuance of such rights, options or warrants.</w:t>
      </w:r>
    </w:p>
    <w:p>
      <w:pPr>
        <w:spacing w:after="0" w:line="12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Any adjustment to the applicable Warrant Exercise Rate made under this clause (b)‎ shall be made whenever any such rights, options or warrants are issued and shall become effective at the open of business on the Ex-Date for such issuance. To the extent that shares of the Common Stock are not delivered after the expiration of such rights, options or warrants, the Warrant Exercise Rate shall be decreased to the applicable Warrant Exercise Rate that would then be in effect had the increase with respect to the issuance of such rights, options or warrants been made on the basis of delivery of only the number of shares of Common Stock actually delivered. If an adjustment to the applicable Warrant Exercise Rate is made in respect of any such issuance of rights, options or warrants but such rights, options or warrants are not so issued, the applicable Warrant Exercise Rate shall be readjusted, effective as of the date the Board of Directors determines not to issue such rights, options or warrants, to the applicable Warrant Exercise Rate that would then be in effect at such time had no such adjustment been made.</w:t>
      </w:r>
    </w:p>
    <w:p>
      <w:pPr>
        <w:spacing w:after="0" w:line="77"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For purposes of this clause (b),‎ in determining whether any rights, options or warrants entitle the holders of the Common Stock to subscribe for or purchase shares of the Common Stock at less than such arithmetic average of the Last Reported Sale Prices of the Common Stock on each Trading Day comprised in the period of 10 consecutive Trading Days immediately preceding the date of announcement for such issuance, and in determining the aggregate offering price of such shares of Common Stock, there shall be taken into account any consideration received by the Issuer for such rights, options or warrants and any amount payable on exercise or conversion thereof, the value of such consideration, if other than cash, to be determined by the Board of Directors.</w:t>
      </w:r>
    </w:p>
    <w:p>
      <w:pPr>
        <w:spacing w:after="0" w:line="1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Other Distributions and Spin-Offs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both"/>
        <w:ind w:left="1280" w:right="619" w:firstLine="333"/>
        <w:spacing w:after="0" w:line="257"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Distributions Other than Spin-Offs.</w:t>
      </w:r>
      <w:r>
        <w:rPr>
          <w:rFonts w:ascii="Times New Roman" w:cs="Times New Roman" w:eastAsia="Times New Roman" w:hAnsi="Times New Roman"/>
          <w:sz w:val="17"/>
          <w:szCs w:val="17"/>
          <w:color w:val="auto"/>
        </w:rPr>
        <w:t xml:space="preserve"> If the Issuer makes a distribution to all or substantially all holders of its Common Stock, of its Capital Stock, evidences of indebtedness, other assets or property of the Issuer, or rights, options or warrants to acquire its Capital Stock or other securities, excluding:</w:t>
      </w:r>
    </w:p>
    <w:p>
      <w:pPr>
        <w:spacing w:after="0" w:line="1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(1)   any dividends, distributions or issuances described in clause ‎(a) above or clause (b) above;</w:t>
      </w:r>
    </w:p>
    <w:p>
      <w:pPr>
        <w:spacing w:after="0" w:line="15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(2)   any dividends or distributions paid exclusively in cash described in clause ‎(d) below;</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6" w:name="page27"/>
    <w:bookmarkEnd w:id="26"/>
    <w:p>
      <w:pPr>
        <w:ind w:left="118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2180" w:right="1200" w:firstLine="333"/>
        <w:spacing w:after="0" w:line="253" w:lineRule="auto"/>
        <w:rPr>
          <w:sz w:val="20"/>
          <w:szCs w:val="20"/>
          <w:color w:val="auto"/>
        </w:rPr>
      </w:pPr>
      <w:r>
        <w:rPr>
          <w:rFonts w:ascii="Times New Roman" w:cs="Times New Roman" w:eastAsia="Times New Roman" w:hAnsi="Times New Roman"/>
          <w:sz w:val="17"/>
          <w:szCs w:val="17"/>
          <w:color w:val="auto"/>
        </w:rPr>
        <w:t>(3)  any dividends or distributions in connection with a Share Exchange Event, reclassification, change, consolidation conveyance, transfer, sale, lease or other disposition resulting in the change in the securities or property receivable upon the exercise of a warrant as described under “-Share Exchange Event”;</w:t>
      </w:r>
    </w:p>
    <w:p>
      <w:pPr>
        <w:spacing w:after="0" w:line="75" w:lineRule="exact"/>
        <w:rPr>
          <w:sz w:val="20"/>
          <w:szCs w:val="20"/>
          <w:color w:val="auto"/>
        </w:rPr>
      </w:pPr>
    </w:p>
    <w:p>
      <w:pPr>
        <w:jc w:val="both"/>
        <w:ind w:left="2180" w:right="1200" w:firstLine="333"/>
        <w:spacing w:after="0" w:line="270" w:lineRule="auto"/>
        <w:rPr>
          <w:sz w:val="20"/>
          <w:szCs w:val="20"/>
          <w:color w:val="auto"/>
        </w:rPr>
      </w:pPr>
      <w:r>
        <w:rPr>
          <w:rFonts w:ascii="Times New Roman" w:cs="Times New Roman" w:eastAsia="Times New Roman" w:hAnsi="Times New Roman"/>
          <w:sz w:val="17"/>
          <w:szCs w:val="17"/>
          <w:color w:val="auto"/>
        </w:rPr>
        <w:t>(4)  any rights issued pursuant to a shareholders’ rights plan adopted by the Issuer, other than as described in clause (e);‎</w:t>
      </w:r>
    </w:p>
    <w:p>
      <w:pPr>
        <w:spacing w:after="0" w:line="10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color w:val="auto"/>
        </w:rPr>
        <w:t>(5)   any Spin-Offs described below in clause (c)(ii); and</w:t>
      </w:r>
    </w:p>
    <w:p>
      <w:pPr>
        <w:spacing w:after="0" w:line="104" w:lineRule="exact"/>
        <w:rPr>
          <w:sz w:val="20"/>
          <w:szCs w:val="20"/>
          <w:color w:val="auto"/>
        </w:rPr>
      </w:pPr>
    </w:p>
    <w:p>
      <w:pPr>
        <w:jc w:val="both"/>
        <w:ind w:left="2180" w:right="1220" w:firstLine="333"/>
        <w:spacing w:after="0" w:line="270" w:lineRule="auto"/>
        <w:rPr>
          <w:sz w:val="20"/>
          <w:szCs w:val="20"/>
          <w:color w:val="auto"/>
        </w:rPr>
      </w:pPr>
      <w:r>
        <w:rPr>
          <w:rFonts w:ascii="Times New Roman" w:cs="Times New Roman" w:eastAsia="Times New Roman" w:hAnsi="Times New Roman"/>
          <w:sz w:val="17"/>
          <w:szCs w:val="17"/>
          <w:color w:val="auto"/>
        </w:rPr>
        <w:t>(6)  any dividend or distribution by the Issuer of any rights, options or warrants to purchase Common Stock (each, an “Excluded Distribution”),</w:t>
      </w:r>
    </w:p>
    <w:p>
      <w:pPr>
        <w:spacing w:after="0" w:line="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2494915</wp:posOffset>
            </wp:positionH>
            <wp:positionV relativeFrom="paragraph">
              <wp:posOffset>171450</wp:posOffset>
            </wp:positionV>
            <wp:extent cx="1474470" cy="507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447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520" w:hanging="331"/>
        <w:spacing w:after="0"/>
        <w:tabs>
          <w:tab w:leader="none" w:pos="1520" w:val="left"/>
        </w:tabs>
        <w:numPr>
          <w:ilvl w:val="0"/>
          <w:numId w:val="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where:</w:t>
      </w:r>
    </w:p>
    <w:tbl>
      <w:tblPr>
        <w:tblLayout w:type="fixed"/>
        <w:tblInd w:w="1980" w:type="dxa"/>
        <w:tblCellMar>
          <w:top w:w="0" w:type="dxa"/>
          <w:left w:w="0" w:type="dxa"/>
          <w:bottom w:w="0" w:type="dxa"/>
          <w:right w:w="0" w:type="dxa"/>
        </w:tblCellMar>
      </w:tblPr>
      <w:tr>
        <w:trPr>
          <w:trHeight w:val="271"/>
        </w:trPr>
        <w:tc>
          <w:tcPr>
            <w:tcW w:w="520" w:type="dxa"/>
            <w:vAlign w:val="bottom"/>
          </w:tcPr>
          <w:p>
            <w:pPr>
              <w:spacing w:after="0" w:line="271" w:lineRule="exact"/>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at the open of business on the Ex-Date for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such distribution;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WER</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immediately prior to the open of business</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the Ex-Date for such distribution;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SP</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arithmetic average of the Last Reported Sale Prices of the Common Stock on each</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Trading Day comprised in the period of 10 consecutive Trading Days immediately</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preceding the Ex-Date for such distribution; and</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FMV</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8"/>
              </w:rPr>
              <w:t>the Fair Market Value, as of the open of business on the Ex-Date for such distribution, of</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shares of Capital Stock, evidences of indebtedness, assets or property of the Issuer,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rights or warrants distributed with respect to each outstanding share of Common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w:t>
            </w:r>
          </w:p>
        </w:tc>
      </w:tr>
    </w:tbl>
    <w:p>
      <w:pPr>
        <w:spacing w:after="0" w:line="133" w:lineRule="exact"/>
        <w:rPr>
          <w:sz w:val="20"/>
          <w:szCs w:val="20"/>
          <w:color w:val="auto"/>
        </w:rPr>
      </w:pPr>
    </w:p>
    <w:p>
      <w:pPr>
        <w:jc w:val="both"/>
        <w:ind w:left="1180" w:right="1200" w:firstLine="333"/>
        <w:spacing w:after="0" w:line="270" w:lineRule="auto"/>
        <w:rPr>
          <w:sz w:val="20"/>
          <w:szCs w:val="20"/>
          <w:color w:val="auto"/>
        </w:rPr>
      </w:pPr>
      <w:r>
        <w:rPr>
          <w:rFonts w:ascii="Times New Roman" w:cs="Times New Roman" w:eastAsia="Times New Roman" w:hAnsi="Times New Roman"/>
          <w:sz w:val="17"/>
          <w:szCs w:val="17"/>
          <w:color w:val="auto"/>
        </w:rPr>
        <w:t>Any adjustment to the applicable Warrant Exercise Rate under this clause (c)(i) shall become effective at the open of business on the Ex-Date for such distribution.</w:t>
      </w:r>
    </w:p>
    <w:p>
      <w:pPr>
        <w:spacing w:after="0" w:line="60" w:lineRule="exact"/>
        <w:rPr>
          <w:sz w:val="20"/>
          <w:szCs w:val="20"/>
          <w:color w:val="auto"/>
        </w:rPr>
      </w:pPr>
    </w:p>
    <w:p>
      <w:pPr>
        <w:jc w:val="both"/>
        <w:ind w:left="1860" w:right="1200" w:firstLine="333"/>
        <w:spacing w:after="0" w:line="249"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Spin-Offs</w:t>
      </w:r>
      <w:r>
        <w:rPr>
          <w:rFonts w:ascii="Times New Roman" w:cs="Times New Roman" w:eastAsia="Times New Roman" w:hAnsi="Times New Roman"/>
          <w:sz w:val="17"/>
          <w:szCs w:val="17"/>
          <w:color w:val="auto"/>
        </w:rPr>
        <w:t>. With respect to an adjustment pursuant to this clause (c) where there has been a payment of a dividend or other distribution by the Issuer to all or substantially all holders of its Common Stock (other than solely pursuant to a Share Exchange Event) in shares of Capital Stock of any class or series, or similar equity interests, of or relating to a subsidiary or other business unit of the Issuer that will be, upon distribution, listed or quoted on a U.S. national or regional securities exchange (a “Spin-Off”), 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2479040</wp:posOffset>
            </wp:positionH>
            <wp:positionV relativeFrom="paragraph">
              <wp:posOffset>147320</wp:posOffset>
            </wp:positionV>
            <wp:extent cx="1498600" cy="507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98600"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20" w:hanging="331"/>
        <w:spacing w:after="0"/>
        <w:tabs>
          <w:tab w:leader="none" w:pos="1520" w:val="left"/>
        </w:tabs>
        <w:numPr>
          <w:ilvl w:val="0"/>
          <w:numId w:val="7"/>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where:</w:t>
      </w:r>
    </w:p>
    <w:tbl>
      <w:tblPr>
        <w:tblLayout w:type="fixed"/>
        <w:tblInd w:w="0" w:type="dxa"/>
        <w:tblCellMar>
          <w:top w:w="0" w:type="dxa"/>
          <w:left w:w="0" w:type="dxa"/>
          <w:bottom w:w="0" w:type="dxa"/>
          <w:right w:w="0" w:type="dxa"/>
        </w:tblCellMar>
      </w:tblPr>
      <w:tr>
        <w:trPr>
          <w:trHeight w:val="271"/>
        </w:trPr>
        <w:tc>
          <w:tcPr>
            <w:tcW w:w="2500" w:type="dxa"/>
            <w:vAlign w:val="bottom"/>
          </w:tcPr>
          <w:p>
            <w:pPr>
              <w:ind w:left="1980"/>
              <w:spacing w:after="0" w:line="271" w:lineRule="exact"/>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applicable Warrant Exercise Rate in effect at the open of business on the Ex-Date of</w:t>
            </w:r>
          </w:p>
        </w:tc>
      </w:tr>
      <w:tr>
        <w:trPr>
          <w:trHeight w:val="200"/>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Spin-Off;</w:t>
            </w:r>
          </w:p>
        </w:tc>
      </w:tr>
      <w:tr>
        <w:trPr>
          <w:trHeight w:val="216"/>
        </w:trPr>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2500" w:type="dxa"/>
            <w:vAlign w:val="bottom"/>
          </w:tcPr>
          <w:p>
            <w:pPr>
              <w:ind w:left="1980"/>
              <w:spacing w:after="0" w:line="209" w:lineRule="exact"/>
              <w:rPr>
                <w:sz w:val="20"/>
                <w:szCs w:val="20"/>
                <w:color w:val="auto"/>
              </w:rPr>
            </w:pPr>
            <w:r>
              <w:rPr>
                <w:rFonts w:ascii="Times New Roman" w:cs="Times New Roman" w:eastAsia="Times New Roman" w:hAnsi="Times New Roman"/>
                <w:sz w:val="15"/>
                <w:szCs w:val="15"/>
                <w:i w:val="1"/>
                <w:iCs w:val="1"/>
                <w:color w:val="auto"/>
              </w:rPr>
              <w:t>WER</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applicable Warrant Exercise Rate in effect immediately prior to the open of business</w:t>
            </w:r>
          </w:p>
        </w:tc>
      </w:tr>
      <w:tr>
        <w:trPr>
          <w:trHeight w:val="200"/>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the Ex-Date of the Spin-Off;</w:t>
            </w:r>
          </w:p>
        </w:tc>
      </w:tr>
      <w:tr>
        <w:trPr>
          <w:trHeight w:val="216"/>
        </w:trPr>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2500" w:type="dxa"/>
            <w:vAlign w:val="bottom"/>
          </w:tcPr>
          <w:p>
            <w:pPr>
              <w:ind w:left="1980"/>
              <w:spacing w:after="0"/>
              <w:rPr>
                <w:sz w:val="20"/>
                <w:szCs w:val="20"/>
                <w:color w:val="auto"/>
              </w:rPr>
            </w:pPr>
            <w:r>
              <w:rPr>
                <w:rFonts w:ascii="Times New Roman" w:cs="Times New Roman" w:eastAsia="Times New Roman" w:hAnsi="Times New Roman"/>
                <w:sz w:val="17"/>
                <w:szCs w:val="17"/>
                <w:i w:val="1"/>
                <w:iCs w:val="1"/>
                <w:color w:val="auto"/>
              </w:rPr>
              <w:t>FMV</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arithmetic average of the Last Reported Sale Prices of the Capital Stock or similar</w:t>
            </w:r>
          </w:p>
        </w:tc>
      </w:tr>
      <w:tr>
        <w:trPr>
          <w:trHeight w:val="200"/>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interest distributed to holders of the Common Stock applicable to one share of</w:t>
            </w:r>
          </w:p>
        </w:tc>
      </w:tr>
      <w:tr>
        <w:trPr>
          <w:trHeight w:val="200"/>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on each day which is a Trading Day for both the Common Stock and the</w:t>
            </w:r>
          </w:p>
        </w:tc>
      </w:tr>
      <w:tr>
        <w:trPr>
          <w:trHeight w:val="200"/>
        </w:trPr>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Stock or similar equity interest so distributed (each, a “Valuation Trading Day”)</w:t>
            </w:r>
          </w:p>
        </w:tc>
      </w:tr>
      <w:tr>
        <w:trPr>
          <w:trHeight w:val="216"/>
        </w:trPr>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comprised in the</w:t>
            </w:r>
          </w:p>
        </w:tc>
      </w:tr>
      <w:tr>
        <w:trPr>
          <w:trHeight w:val="449"/>
        </w:trPr>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S-23</w:t>
            </w:r>
          </w:p>
        </w:tc>
      </w:tr>
      <w:tr>
        <w:trPr>
          <w:trHeight w:val="167"/>
        </w:trPr>
        <w:tc>
          <w:tcPr>
            <w:tcW w:w="2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340" w:type="dxa"/>
            <w:vAlign w:val="bottom"/>
            <w:tcBorders>
              <w:bottom w:val="single" w:sz="8" w:color="auto"/>
            </w:tcBorders>
          </w:tcPr>
          <w:p>
            <w:pPr>
              <w:spacing w:after="0"/>
              <w:rPr>
                <w:sz w:val="14"/>
                <w:szCs w:val="14"/>
                <w:color w:val="auto"/>
              </w:rPr>
            </w:pPr>
          </w:p>
        </w:tc>
      </w:tr>
    </w:tbl>
    <w:p>
      <w:pPr>
        <w:sectPr>
          <w:pgSz w:w="11900" w:h="16838" w:orient="portrait"/>
          <w:cols w:equalWidth="0" w:num="1">
            <w:col w:w="10180"/>
          </w:cols>
          <w:pgMar w:left="860" w:top="255" w:right="859" w:bottom="1440" w:gutter="0" w:footer="0" w:header="0"/>
        </w:sectPr>
      </w:pPr>
    </w:p>
    <w:bookmarkStart w:id="27" w:name="page28"/>
    <w:bookmarkEnd w:id="27"/>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6240" w:type="dxa"/>
            <w:vAlign w:val="bottom"/>
          </w:tcPr>
          <w:p>
            <w:pPr>
              <w:spacing w:after="0"/>
              <w:rPr>
                <w:sz w:val="12"/>
                <w:szCs w:val="12"/>
                <w:color w:val="auto"/>
              </w:rPr>
            </w:pPr>
          </w:p>
        </w:tc>
      </w:tr>
      <w:tr>
        <w:trPr>
          <w:trHeight w:val="400"/>
        </w:trPr>
        <w:tc>
          <w:tcPr>
            <w:tcW w:w="14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period of 10 consecutive Valuation Trading Days commencing on the Ex-Date for such</w:t>
            </w:r>
          </w:p>
        </w:tc>
      </w:tr>
      <w:tr>
        <w:trPr>
          <w:trHeight w:val="200"/>
        </w:trPr>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Spin-Off (or, if such Ex-Date is not a Valuation Trading Day, commencing on the</w:t>
            </w:r>
          </w:p>
        </w:tc>
      </w:tr>
      <w:tr>
        <w:trPr>
          <w:trHeight w:val="200"/>
        </w:trPr>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immediately following Valuation Trading Day) (such period, the “Valuation Period”); and</w:t>
            </w:r>
          </w:p>
        </w:tc>
      </w:tr>
      <w:tr>
        <w:trPr>
          <w:trHeight w:val="216"/>
        </w:trPr>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1560" w:type="dxa"/>
            <w:vAlign w:val="bottom"/>
            <w:gridSpan w:val="2"/>
          </w:tcPr>
          <w:p>
            <w:pPr>
              <w:ind w:left="800"/>
              <w:spacing w:after="0" w:line="209" w:lineRule="exact"/>
              <w:rPr>
                <w:sz w:val="20"/>
                <w:szCs w:val="20"/>
                <w:color w:val="auto"/>
              </w:rPr>
            </w:pPr>
            <w:r>
              <w:rPr>
                <w:rFonts w:ascii="Times New Roman" w:cs="Times New Roman" w:eastAsia="Times New Roman" w:hAnsi="Times New Roman"/>
                <w:sz w:val="15"/>
                <w:szCs w:val="15"/>
                <w:i w:val="1"/>
                <w:iCs w:val="1"/>
                <w:color w:val="auto"/>
              </w:rPr>
              <w:t>SP</w:t>
            </w:r>
            <w:r>
              <w:rPr>
                <w:rFonts w:ascii="Times New Roman" w:cs="Times New Roman" w:eastAsia="Times New Roman" w:hAnsi="Times New Roman"/>
                <w:sz w:val="24"/>
                <w:szCs w:val="24"/>
                <w:color w:val="auto"/>
                <w:vertAlign w:val="subscript"/>
              </w:rPr>
              <w:t>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t>
            </w: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arithmetic average of the Last Reported Sale Prices of the Common Stock on each</w:t>
            </w:r>
          </w:p>
        </w:tc>
      </w:tr>
      <w:tr>
        <w:trPr>
          <w:trHeight w:val="216"/>
        </w:trPr>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Trading Day comprised in the Valuation Period.</w:t>
            </w:r>
          </w:p>
        </w:tc>
      </w:tr>
    </w:tbl>
    <w:p>
      <w:pPr>
        <w:spacing w:after="0" w:line="133"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Any adjustment to the applicable Warrant Exercise Rate under this clause (c)(ii) shall be made immediately after 5:00 p.m., New York City time, on the last day of the Valuation Period, but shall become effective at the open of business on the Ex-Date for the Spin-Off, subject to clause (b).</w:t>
      </w:r>
    </w:p>
    <w:p>
      <w:pPr>
        <w:spacing w:after="0" w:line="71"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If an adjustment to the applicable Warrant Exercise Rate is made in respect of any distribution of the type described in this clause (c) but such distribution is not so made, the applicable Warrant Exercise Rate shall be readjusted, effective as of the date the Board of Directors determines not to make such distribution, to the applicable Warrant Exercise Rate that would then be in effect at such time had no such adjustment been made.</w:t>
      </w:r>
    </w:p>
    <w:p>
      <w:pPr>
        <w:spacing w:after="0" w:line="75" w:lineRule="exact"/>
        <w:rPr>
          <w:sz w:val="20"/>
          <w:szCs w:val="20"/>
          <w:color w:val="auto"/>
        </w:rPr>
      </w:pPr>
    </w:p>
    <w:p>
      <w:pPr>
        <w:jc w:val="both"/>
        <w:ind w:left="940" w:right="619" w:firstLine="333"/>
        <w:spacing w:after="0" w:line="257"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Cash Dividends or Distributions</w:t>
      </w:r>
      <w:r>
        <w:rPr>
          <w:rFonts w:ascii="Times New Roman" w:cs="Times New Roman" w:eastAsia="Times New Roman" w:hAnsi="Times New Roman"/>
          <w:sz w:val="17"/>
          <w:szCs w:val="17"/>
          <w:color w:val="auto"/>
        </w:rPr>
        <w:t>. If any cash dividend or distribution is paid to all or substantially all holders of Common Stock, then the Warrant Exercise Rate for each series of Warrants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158750</wp:posOffset>
            </wp:positionV>
            <wp:extent cx="1323975" cy="507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3975" cy="50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40" w:hanging="331"/>
        <w:spacing w:after="0"/>
        <w:tabs>
          <w:tab w:leader="none" w:pos="940" w:val="left"/>
        </w:tabs>
        <w:numPr>
          <w:ilvl w:val="0"/>
          <w:numId w:val="8"/>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where:</w:t>
      </w:r>
    </w:p>
    <w:tbl>
      <w:tblPr>
        <w:tblLayout w:type="fixed"/>
        <w:tblInd w:w="1400" w:type="dxa"/>
        <w:tblCellMar>
          <w:top w:w="0" w:type="dxa"/>
          <w:left w:w="0" w:type="dxa"/>
          <w:bottom w:w="0" w:type="dxa"/>
          <w:right w:w="0" w:type="dxa"/>
        </w:tblCellMar>
      </w:tblPr>
      <w:tr>
        <w:trPr>
          <w:trHeight w:val="258"/>
        </w:trPr>
        <w:tc>
          <w:tcPr>
            <w:tcW w:w="520" w:type="dxa"/>
            <w:vAlign w:val="bottom"/>
          </w:tcPr>
          <w:p>
            <w:pPr>
              <w:spacing w:after="0" w:line="258" w:lineRule="exact"/>
              <w:rPr>
                <w:sz w:val="20"/>
                <w:szCs w:val="20"/>
                <w:color w:val="auto"/>
              </w:rPr>
            </w:pPr>
            <w:r>
              <w:rPr>
                <w:rFonts w:ascii="Times New Roman" w:cs="Times New Roman" w:eastAsia="Times New Roman" w:hAnsi="Times New Roman"/>
                <w:sz w:val="17"/>
                <w:szCs w:val="17"/>
                <w:i w:val="1"/>
                <w:iCs w:val="1"/>
                <w:color w:val="auto"/>
              </w:rPr>
              <w:t>WER</w:t>
            </w:r>
            <w:r>
              <w:rPr>
                <w:rFonts w:ascii="Times New Roman" w:cs="Times New Roman" w:eastAsia="Times New Roman" w:hAnsi="Times New Roman"/>
                <w:sz w:val="27"/>
                <w:szCs w:val="27"/>
                <w:color w:val="auto"/>
                <w:vertAlign w:val="subscript"/>
              </w:rPr>
              <w:t>1</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at the open of business on the Ex-Date for</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such dividend or distribution; and</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WER</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the applicable Warrant Exercise Rate in effect immediately prior to the open of business</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on the Ex-Date for such dividend or distribution;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r>
        <w:trPr>
          <w:trHeight w:val="208"/>
        </w:trPr>
        <w:tc>
          <w:tcPr>
            <w:tcW w:w="520" w:type="dxa"/>
            <w:vAlign w:val="bottom"/>
          </w:tcPr>
          <w:p>
            <w:pPr>
              <w:spacing w:after="0" w:line="209" w:lineRule="exact"/>
              <w:rPr>
                <w:sz w:val="20"/>
                <w:szCs w:val="20"/>
                <w:color w:val="auto"/>
              </w:rPr>
            </w:pPr>
            <w:r>
              <w:rPr>
                <w:rFonts w:ascii="Times New Roman" w:cs="Times New Roman" w:eastAsia="Times New Roman" w:hAnsi="Times New Roman"/>
                <w:sz w:val="15"/>
                <w:szCs w:val="15"/>
                <w:i w:val="1"/>
                <w:iCs w:val="1"/>
                <w:color w:val="auto"/>
              </w:rPr>
              <w:t>SP</w:t>
            </w:r>
            <w:r>
              <w:rPr>
                <w:rFonts w:ascii="Times New Roman" w:cs="Times New Roman" w:eastAsia="Times New Roman" w:hAnsi="Times New Roman"/>
                <w:sz w:val="24"/>
                <w:szCs w:val="24"/>
                <w:color w:val="auto"/>
                <w:vertAlign w:val="subscript"/>
              </w:rPr>
              <w:t>0</w:t>
            </w:r>
          </w:p>
        </w:tc>
        <w:tc>
          <w:tcPr>
            <w:tcW w:w="3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arithmetic average of the Last Reported Sale Prices of the Common Stock on each</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Trading Day comprised in the period of ten consecutive Trading Days immediately</w:t>
            </w:r>
          </w:p>
        </w:tc>
      </w:tr>
      <w:tr>
        <w:trPr>
          <w:trHeight w:val="200"/>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preceding the Ex-Date for such dividend or distribution;</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w:t>
            </w:r>
          </w:p>
        </w:tc>
      </w:tr>
    </w:tbl>
    <w:p>
      <w:pPr>
        <w:spacing w:after="0" w:line="8" w:lineRule="exact"/>
        <w:rPr>
          <w:sz w:val="20"/>
          <w:szCs w:val="20"/>
          <w:color w:val="auto"/>
        </w:rPr>
      </w:pPr>
    </w:p>
    <w:p>
      <w:pPr>
        <w:ind w:left="2000" w:hanging="592"/>
        <w:spacing w:after="0"/>
        <w:tabs>
          <w:tab w:leader="none" w:pos="200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the amount in cash per share the Issuer distributes to holders of the Common Stock;</w:t>
      </w:r>
    </w:p>
    <w:p>
      <w:pPr>
        <w:spacing w:after="0" w:line="154"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Any adjustment to the applicable Warrant Exercise Rate made under this clause (d) shall become effective at the open of business on the Ex-Date for such dividend or distribution. If an adjustment to the applicable Warrant Exercise Rate is made in respect of any dividend or distribution of the type described in this clause (d) but such dividend or distribution is not so paid, the applicable Warrant Exercise Rate shall be readjusted, effective as of the date the Board of Directors determines not to pay such dividend or distribution, to the applicable Warrant Exercise Rate that would then be in effect at such time had no such adjustment been made.</w:t>
      </w:r>
    </w:p>
    <w:p>
      <w:pPr>
        <w:spacing w:after="0" w:line="77" w:lineRule="exact"/>
        <w:rPr>
          <w:sz w:val="20"/>
          <w:szCs w:val="20"/>
          <w:color w:val="auto"/>
        </w:rPr>
      </w:pPr>
    </w:p>
    <w:p>
      <w:pPr>
        <w:jc w:val="both"/>
        <w:ind w:left="940" w:right="619" w:firstLine="333"/>
        <w:spacing w:after="0" w:line="265"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Shareholder Rights Plan</w:t>
      </w:r>
      <w:r>
        <w:rPr>
          <w:rFonts w:ascii="Times New Roman" w:cs="Times New Roman" w:eastAsia="Times New Roman" w:hAnsi="Times New Roman"/>
          <w:sz w:val="16"/>
          <w:szCs w:val="16"/>
          <w:color w:val="auto"/>
        </w:rPr>
        <w:t>. If the Issuer has a shareholder rights plan in effect upon the Exercise Date of a Warrant, each share of Common Stock, if any,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the rights have separated from the shares of Common Stock in accordance with the provisions of the applicable shareholder rights plan so that the Holders of Warrants would not be entitled to receive any rights in respect of Common Stock, if any, issuable upon exercise, the applicable Warrant Exercise Rate shall be adjusted at the time of separation as if the Issuer had made a distribution to all holders of its Common Stock as provided in clause (b), subject to readjustment in the event of the expiration, termination or redemption of such rights.</w:t>
      </w:r>
    </w:p>
    <w:p>
      <w:pPr>
        <w:spacing w:after="0" w:line="1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No Adjustments in Certain Cases</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ind w:left="1280" w:right="619" w:firstLine="333"/>
        <w:spacing w:after="0" w:line="270" w:lineRule="auto"/>
        <w:rPr>
          <w:sz w:val="20"/>
          <w:szCs w:val="20"/>
          <w:color w:val="auto"/>
        </w:rPr>
      </w:pPr>
      <w:r>
        <w:rPr>
          <w:rFonts w:ascii="Times New Roman" w:cs="Times New Roman" w:eastAsia="Times New Roman" w:hAnsi="Times New Roman"/>
          <w:sz w:val="17"/>
          <w:szCs w:val="17"/>
          <w:color w:val="auto"/>
        </w:rPr>
        <w:t>(i)  Notwithstanding anything to the contrary in clauses (a) through (e), the Issuer will not be obligated to adjust the Warrant Exercise Rate for any series on account of a transaction or other event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1280" w:right="619"/>
        <w:spacing w:after="0" w:line="248" w:lineRule="auto"/>
        <w:rPr>
          <w:sz w:val="20"/>
          <w:szCs w:val="20"/>
          <w:color w:val="auto"/>
        </w:rPr>
      </w:pPr>
      <w:r>
        <w:rPr>
          <w:rFonts w:ascii="Times New Roman" w:cs="Times New Roman" w:eastAsia="Times New Roman" w:hAnsi="Times New Roman"/>
          <w:sz w:val="17"/>
          <w:szCs w:val="17"/>
          <w:color w:val="auto"/>
        </w:rPr>
        <w:t>otherwise requiring an adjustment pursuant to such clauses (other than a stock split or combination of the type set forth in clause (a)) if each Holder participates, at the same time and on the same terms as holders of Common Stock, at the same time and upon the same terms as holders of the shares of Common Stock and solely as a result of holding the applicable Warrants in such transaction or event without having to exercise such Holder’s Warrants, as if such Holder held a number of shares of Common Stock equal to the product (rounded down to the nearest whole number) of (i) the Warrant Exercise Rate in effect for such series of Warrants on the record date for such transaction and (ii) the number of Warrants of such series held by it on such record date.</w:t>
      </w:r>
    </w:p>
    <w:p>
      <w:pPr>
        <w:spacing w:after="0" w:line="82" w:lineRule="exact"/>
        <w:rPr>
          <w:sz w:val="20"/>
          <w:szCs w:val="20"/>
          <w:color w:val="auto"/>
        </w:rPr>
      </w:pPr>
    </w:p>
    <w:p>
      <w:pPr>
        <w:jc w:val="both"/>
        <w:ind w:left="1280" w:right="619" w:firstLine="333"/>
        <w:spacing w:after="0" w:line="257" w:lineRule="auto"/>
        <w:rPr>
          <w:sz w:val="20"/>
          <w:szCs w:val="20"/>
          <w:color w:val="auto"/>
        </w:rPr>
      </w:pPr>
      <w:r>
        <w:rPr>
          <w:rFonts w:ascii="Times New Roman" w:cs="Times New Roman" w:eastAsia="Times New Roman" w:hAnsi="Times New Roman"/>
          <w:sz w:val="17"/>
          <w:szCs w:val="17"/>
          <w:color w:val="auto"/>
        </w:rPr>
        <w:t>(ii)  The Issuer will not be required to adjust the Warrant Exercise Rate for any series except as described herein. Without limiting the foregoing, the Issuer will not be obligated to adjust the Warrant Exercise Rate for any series on account of:</w:t>
      </w:r>
    </w:p>
    <w:p>
      <w:pPr>
        <w:spacing w:after="0" w:line="71" w:lineRule="exact"/>
        <w:rPr>
          <w:sz w:val="20"/>
          <w:szCs w:val="20"/>
          <w:color w:val="auto"/>
        </w:rPr>
      </w:pPr>
    </w:p>
    <w:p>
      <w:pPr>
        <w:jc w:val="both"/>
        <w:ind w:left="1600" w:right="619" w:firstLine="333"/>
        <w:spacing w:after="0" w:line="257" w:lineRule="auto"/>
        <w:rPr>
          <w:sz w:val="20"/>
          <w:szCs w:val="20"/>
          <w:color w:val="auto"/>
        </w:rPr>
      </w:pPr>
      <w:r>
        <w:rPr>
          <w:rFonts w:ascii="Times New Roman" w:cs="Times New Roman" w:eastAsia="Times New Roman" w:hAnsi="Times New Roman"/>
          <w:sz w:val="17"/>
          <w:szCs w:val="17"/>
          <w:color w:val="auto"/>
        </w:rPr>
        <w:t>(1)  except as otherwise described herein, the sale of shares of Common Stock for a purchase price that is less than the market price per share of Common Stock or less than quotient obtained by dividing the Warrant Exercise Price for such series by the Warrant Exercise Rate for such series;</w:t>
      </w:r>
    </w:p>
    <w:p>
      <w:pPr>
        <w:spacing w:after="0" w:line="71" w:lineRule="exact"/>
        <w:rPr>
          <w:sz w:val="20"/>
          <w:szCs w:val="20"/>
          <w:color w:val="auto"/>
        </w:rPr>
      </w:pPr>
    </w:p>
    <w:p>
      <w:pPr>
        <w:jc w:val="both"/>
        <w:ind w:left="1600" w:right="619" w:firstLine="333"/>
        <w:spacing w:after="0" w:line="257" w:lineRule="auto"/>
        <w:rPr>
          <w:sz w:val="20"/>
          <w:szCs w:val="20"/>
          <w:color w:val="auto"/>
        </w:rPr>
      </w:pPr>
      <w:r>
        <w:rPr>
          <w:rFonts w:ascii="Times New Roman" w:cs="Times New Roman" w:eastAsia="Times New Roman" w:hAnsi="Times New Roman"/>
          <w:sz w:val="17"/>
          <w:szCs w:val="17"/>
          <w:color w:val="auto"/>
        </w:rPr>
        <w:t>(2)  the issuance of any shares of Common Stock pursuant to any present or future plan providing for the reinvestment of dividends or interest payable on the Issuer’s securities and the investment of additional optional amounts in shares of Common Stock under any such plan;</w:t>
      </w:r>
    </w:p>
    <w:p>
      <w:pPr>
        <w:spacing w:after="0" w:line="71" w:lineRule="exact"/>
        <w:rPr>
          <w:sz w:val="20"/>
          <w:szCs w:val="20"/>
          <w:color w:val="auto"/>
        </w:rPr>
      </w:pPr>
    </w:p>
    <w:p>
      <w:pPr>
        <w:jc w:val="both"/>
        <w:ind w:left="1600" w:right="619" w:firstLine="333"/>
        <w:spacing w:after="0" w:line="257" w:lineRule="auto"/>
        <w:rPr>
          <w:sz w:val="20"/>
          <w:szCs w:val="20"/>
          <w:color w:val="auto"/>
        </w:rPr>
      </w:pPr>
      <w:r>
        <w:rPr>
          <w:rFonts w:ascii="Times New Roman" w:cs="Times New Roman" w:eastAsia="Times New Roman" w:hAnsi="Times New Roman"/>
          <w:sz w:val="17"/>
          <w:szCs w:val="17"/>
          <w:color w:val="auto"/>
        </w:rPr>
        <w:t>(3)  the issuance of any shares of Common Stock or options or rights to purchase shares of Common Stock pursuant to any present or future employee, director or consultant benefit plan or program of, or assumed by, the Issuer or any of its subsidiaries;</w:t>
      </w:r>
    </w:p>
    <w:p>
      <w:pPr>
        <w:spacing w:after="0" w:line="71" w:lineRule="exact"/>
        <w:rPr>
          <w:sz w:val="20"/>
          <w:szCs w:val="20"/>
          <w:color w:val="auto"/>
        </w:rPr>
      </w:pPr>
    </w:p>
    <w:p>
      <w:pPr>
        <w:jc w:val="both"/>
        <w:ind w:left="1600" w:right="619" w:firstLine="333"/>
        <w:spacing w:after="0" w:line="257" w:lineRule="auto"/>
        <w:rPr>
          <w:sz w:val="20"/>
          <w:szCs w:val="20"/>
          <w:color w:val="auto"/>
        </w:rPr>
      </w:pPr>
      <w:r>
        <w:rPr>
          <w:rFonts w:ascii="Times New Roman" w:cs="Times New Roman" w:eastAsia="Times New Roman" w:hAnsi="Times New Roman"/>
          <w:sz w:val="17"/>
          <w:szCs w:val="17"/>
          <w:color w:val="auto"/>
        </w:rPr>
        <w:t>(4)  the issuance of any shares of Common Stock pursuant to any option, warrant, right or convertible or exchangeable security of the Issuer outstanding as of the Distribution Date or issued in any Excluded Distribution; or</w:t>
      </w:r>
    </w:p>
    <w:p>
      <w:pPr>
        <w:spacing w:after="0" w:line="10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color w:val="auto"/>
        </w:rPr>
        <w:t>(5)   solely a change in the par value of the Common Stock.</w:t>
      </w:r>
    </w:p>
    <w:p>
      <w:pPr>
        <w:spacing w:after="0" w:line="104"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All adjustments to the applicable Warrant Exercise Rate shall be made by the Calculation Agent to the nearest whole multiple of 0.00001 (with 0.000005 being rounded upwards) share of Common Stock.</w:t>
      </w:r>
    </w:p>
    <w:p>
      <w:pPr>
        <w:spacing w:after="0" w:line="60"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Notwithstanding anything to the contrary in the Warrant Agreement or the Warrants, (i) if the provisions of the Warrant Agreement require that an adjustment be made to the Warrant Exercise Rate of any series of Warrants in respect of any distribution or other relevant event, and the shares of Common Stock issuable in respect of any exercise are entitled to participate in such distribution or other relevant event, such adjustment shall not be given effect for the purpose of such exercise of Warrants of such series of Warrants and (ii) if the Exercise Date in respect of any exercise of Warrants falls after the record date for any Spin-Off and on or before the last day of the relevant Valuation Period, delivery of the shares of Common Stock issuable (or amount of cash payable, as applicable) pursuant to such exercise shall occur as soon as practicable after the last day of such Valuation Period.</w:t>
      </w:r>
    </w:p>
    <w:p>
      <w:pPr>
        <w:spacing w:after="0" w:line="82"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The Early Expiration Trigger Price for each series of Warrants is subject to proportional adjustment when the Warrant Exercise Rate for such series of Warrants is adjusted or amended or the Warrant Exercise Price for such series of Warrants is amended.</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Share Exchange Event</w:t>
      </w:r>
    </w:p>
    <w:p>
      <w:pPr>
        <w:spacing w:after="0" w:line="108" w:lineRule="exact"/>
        <w:rPr>
          <w:sz w:val="20"/>
          <w:szCs w:val="20"/>
          <w:color w:val="auto"/>
        </w:rPr>
      </w:pPr>
    </w:p>
    <w:p>
      <w:pPr>
        <w:jc w:val="both"/>
        <w:ind w:left="600" w:right="619" w:firstLine="333"/>
        <w:spacing w:after="0" w:line="264" w:lineRule="auto"/>
        <w:rPr>
          <w:sz w:val="20"/>
          <w:szCs w:val="20"/>
          <w:color w:val="auto"/>
        </w:rPr>
      </w:pPr>
      <w:r>
        <w:rPr>
          <w:rFonts w:ascii="Times New Roman" w:cs="Times New Roman" w:eastAsia="Times New Roman" w:hAnsi="Times New Roman"/>
          <w:sz w:val="16"/>
          <w:szCs w:val="16"/>
          <w:color w:val="auto"/>
        </w:rPr>
        <w:t>In the event of any recapitalization, reclassification or change of the Common Stock (other than a change to par value, or from par value to no par value, or changes resulting from a subdivision or combination), any consolidation, merger, combination or similar transaction involving the Issuer, any sale, lease or other transfer to a third party of the consolidated assets of the Issuer and the Issuer’s Subsidiaries substantially as an entirety, or any statutory share exchange, in each case, as a result of which the Common Stock would be converted into, or exchanged for, stock, other securities, other property or assets (including cash or any combination thereof) (any such event, a “Share Exchange Event”), then, at and after the effective time of such Share Exchange Event, the right to exercise each Warrant to purchase Warrant Shares shall be changed into a right to exercise such Warrant to purchase the kind and amount of shares of stock, other securities or other property or assets (including cash or any combination thereof) that a holder of a number of shares of Common Stock equal to the Warrant Exercise Rate immediately prior to such Share Exchange Event would have owned or been entitled to receive (the “Reference Property”, with each “Unit of Reference Property” meaning the kind and amount of Reference Property that a holder of one share of Common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 xml:space="preserve">Stock is entitled to receive) upon such Share Exchange Event and, prior to or at the effective time of such Share Exchange Event, the Issuer or the successor or acquiring Person, as the case may be, shall execute with the Warrant Agent an amendment to the Warrant Agreement providing for such change in the right to exercise each Warrant;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at and after the effective time of the Share Exchange Event any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the Issuer would have been required to deliver upon exercise of the Warrants in accordance with the Warrant Agreement shall instead be deliverable in the amount and type of Reference Property that a holder of that number of shares of Common Stock would have received in such Share Exchange Event.</w:t>
      </w:r>
    </w:p>
    <w:p>
      <w:pPr>
        <w:spacing w:after="0" w:line="78" w:lineRule="exact"/>
        <w:rPr>
          <w:sz w:val="20"/>
          <w:szCs w:val="20"/>
          <w:color w:val="auto"/>
        </w:rPr>
      </w:pPr>
    </w:p>
    <w:p>
      <w:pPr>
        <w:jc w:val="both"/>
        <w:ind w:left="600" w:right="619" w:firstLine="333"/>
        <w:spacing w:after="0" w:line="261" w:lineRule="auto"/>
        <w:rPr>
          <w:sz w:val="20"/>
          <w:szCs w:val="20"/>
          <w:color w:val="auto"/>
        </w:rPr>
      </w:pPr>
      <w:r>
        <w:rPr>
          <w:rFonts w:ascii="Times New Roman" w:cs="Times New Roman" w:eastAsia="Times New Roman" w:hAnsi="Times New Roman"/>
          <w:sz w:val="16"/>
          <w:szCs w:val="16"/>
          <w:color w:val="auto"/>
        </w:rPr>
        <w:t>If the Share Exchange Event causes the Common Stock to be converted into, or exchanged for, the right to receive more than a single type of consideration (determined based in part upon any form of shareholder election), then (i) the Reference Property which a Holder of Warrants will receive upon exercise of such Warrants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Unit of Reference Property includes, but does not consist entirely of, cash in such Share Exchange Event, then for all exercises of Warrants for which the relevant Exercise Date occurs after the effective date of such Share Exchange Event, (A) the payment of the Warrant Exercise Price required to exercise any Warrant shall be deducted or removed (but, for the avoidance of doubt, not deducted below zero), as applicable, by an amount equal to the product of (I) the Warrant Exercise Rate in effect on the Exercise Date and (II) the amount of cash included in such Unit of Reference Property and (B) from the cash that would otherwise be received by the Holder upon exercise of such Warrant shall be deducted or removed (but, for the avoidance of doubt, not deducted below zero), as applicable, by an amount equal to the amount so deducted from the payment of the Warrant Exercise Price pursuant to the immediately preceding clause (A). If the holders of the Common Stock receive only cash in such Share Exchange Event, then for all exercises of Warrants for which the relevant Exercise Date occurs after the effective date of such Share Exchange Event, (A) no payment of the Warrant Exercise Price will be required to exercise any Warrant, (B) the consideration due upon exercise of each Warrant shall be solely cash in an amount equal to the excess, if any, of</w:t>
      </w:r>
    </w:p>
    <w:p>
      <w:pPr>
        <w:spacing w:after="0" w:line="10" w:lineRule="exact"/>
        <w:rPr>
          <w:sz w:val="20"/>
          <w:szCs w:val="20"/>
          <w:color w:val="auto"/>
        </w:rPr>
      </w:pPr>
    </w:p>
    <w:p>
      <w:pPr>
        <w:jc w:val="both"/>
        <w:ind w:left="600" w:right="619" w:firstLine="9"/>
        <w:spacing w:after="0" w:line="246" w:lineRule="auto"/>
        <w:tabs>
          <w:tab w:leader="none" w:pos="8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of (x) the Warrant Exercise Rate in effect on the Exercise Date and (y) the price paid per share of Common Stock in such Share Exchange Event over (II) the Warrant Exercise Price and (C) the Issuer shall satisfy its obligation to deliver the units of Reference Property in connection with an exercise of Warrants by paying cash to exercising Holders on the fifth Business Day immediately following the relevant Exercise Date. The Issuer shall notify Holders and the Warrant Agent in writing of such weighted average as soon as practicable after such determination is made.</w:t>
      </w:r>
    </w:p>
    <w:p>
      <w:pPr>
        <w:spacing w:after="0" w:line="3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Certain Definitions</w:t>
      </w:r>
    </w:p>
    <w:p>
      <w:pPr>
        <w:spacing w:after="0" w:line="108" w:lineRule="exact"/>
        <w:rPr>
          <w:sz w:val="20"/>
          <w:szCs w:val="20"/>
          <w:color w:val="auto"/>
        </w:rPr>
      </w:pPr>
    </w:p>
    <w:p>
      <w:pPr>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“Business Day” means each day that is not a Saturday, Sunday or a day on which banking institutions are allowed by law, regulation or executive order to be closed in the State of New York.</w:t>
      </w:r>
    </w:p>
    <w:p>
      <w:pPr>
        <w:spacing w:after="0" w:line="60" w:lineRule="exact"/>
        <w:rPr>
          <w:sz w:val="20"/>
          <w:szCs w:val="20"/>
          <w:color w:val="auto"/>
        </w:rPr>
      </w:pPr>
    </w:p>
    <w:p>
      <w:pPr>
        <w:ind w:left="600" w:right="619" w:firstLine="333"/>
        <w:spacing w:after="0" w:line="255" w:lineRule="auto"/>
        <w:rPr>
          <w:sz w:val="20"/>
          <w:szCs w:val="20"/>
          <w:color w:val="auto"/>
        </w:rPr>
      </w:pPr>
      <w:r>
        <w:rPr>
          <w:rFonts w:ascii="Times New Roman" w:cs="Times New Roman" w:eastAsia="Times New Roman" w:hAnsi="Times New Roman"/>
          <w:sz w:val="17"/>
          <w:szCs w:val="17"/>
          <w:color w:val="auto"/>
        </w:rPr>
        <w:t>“Capital Stock” means (i) with respect to any Person that is a corporation or company, any and all shares, interests, participations or other equivalents (however designated) of capital or capital stock of such Person and</w:t>
      </w:r>
    </w:p>
    <w:p>
      <w:pPr>
        <w:spacing w:after="0" w:line="1" w:lineRule="exact"/>
        <w:rPr>
          <w:sz w:val="20"/>
          <w:szCs w:val="20"/>
          <w:color w:val="auto"/>
        </w:rPr>
      </w:pPr>
    </w:p>
    <w:p>
      <w:pPr>
        <w:ind w:left="600" w:right="619" w:firstLine="9"/>
        <w:spacing w:after="0" w:line="250" w:lineRule="auto"/>
        <w:tabs>
          <w:tab w:leader="none" w:pos="85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Person that is not a corporation or company, any and all partnership or other equity interests of such Person.</w:t>
      </w:r>
    </w:p>
    <w:p>
      <w:pPr>
        <w:spacing w:after="0" w:line="7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“Daily VWAP” means, for any VWAP Trading Day, the per share volume-weighted average price of the Common Stock as displayed under the heading “Bloomberg VWAP” on Bloomberg page “OPEN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an Independent Advisor). The Daily VWAP will be determined without regard to after-hours trading or any other trading outside of the regular trading session.</w:t>
      </w:r>
    </w:p>
    <w:p>
      <w:pPr>
        <w:spacing w:after="0" w:line="82"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“Ex-Date” means the first date on which the shares of Common Stock trade on the applicable exchange or in the applicable market, regular way, without the right to receive the issuance, dividend or distribution in question, from the Issuer or, if applicable, from the seller of shares of Common Stock on such exchange or market (in the form of due bills or otherwise) as determined by such exchange or market. For the avoidance of doubt, any alternative trading convention on the applicable exchange or market in respect of the Common Stock under a separate ticker symbol or CUSIP number will not be considered “regular way” for this purpose.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“Exercise Date” means, with respect to any Warrant, the Business Day on which such Warrant is exercised pursuant to the Warrant Agreement.</w:t>
      </w:r>
    </w:p>
    <w:p>
      <w:pPr>
        <w:spacing w:after="0" w:line="60" w:lineRule="exact"/>
        <w:rPr>
          <w:sz w:val="20"/>
          <w:szCs w:val="20"/>
          <w:color w:val="auto"/>
        </w:rPr>
      </w:pPr>
    </w:p>
    <w:p>
      <w:pPr>
        <w:jc w:val="both"/>
        <w:ind w:left="600" w:right="619" w:firstLine="333"/>
        <w:spacing w:after="0" w:line="264" w:lineRule="auto"/>
        <w:rPr>
          <w:sz w:val="20"/>
          <w:szCs w:val="20"/>
          <w:color w:val="auto"/>
        </w:rPr>
      </w:pPr>
      <w:r>
        <w:rPr>
          <w:rFonts w:ascii="Times New Roman" w:cs="Times New Roman" w:eastAsia="Times New Roman" w:hAnsi="Times New Roman"/>
          <w:sz w:val="16"/>
          <w:szCs w:val="16"/>
          <w:color w:val="auto"/>
        </w:rPr>
        <w:t>“Last Reported Sale Price” of the Common Stock for any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day as reported in composite transactions for the principal U.S. national or regional securities exchange on which the Common Stock is then listed or, if the Common Stock is not then listed on a U.S. national or regional securities exchange, the principal other market on which the Common Stock is then admitted for trading. If the Common Stock is not listed on a U.S. national or regional securities exchange or admitted for trading on another market on such day, then the Last Reported Sale Price will be the last quoted bid price per share of Common Stock on such day in the over-the-counter market as reported by OTC Markets Group Inc. or a similar organization. If the Common Stock is not so quoted on such day, then the Last Reported Sale Price will be the average of the mid-point of the last bid price and the last ask price per share of Common Stock on such day from each of at least three nationally recognized independent investment banking firms selected by an Independent Advisor.</w:t>
      </w:r>
    </w:p>
    <w:p>
      <w:pPr>
        <w:spacing w:after="0" w:line="6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“Market Disruption Event”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admitted for trading, to open for trading during its regular trading session (disregarding any after-hours trading) on such date; or (B) the occurrence or existence, for more than one half hour period in the aggregate, of any suspension or limitation imposed on trading (by reason of movements in price exceeding limits permitted by the relevant exchange or otherwise) in the Common Stock, and such suspension or limitation occurs or exists at any time before 1:00 p.m., New York City time, on such date.</w:t>
      </w:r>
    </w:p>
    <w:p>
      <w:pPr>
        <w:spacing w:after="0" w:line="82"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“Person” means any individual, corporation, partnership, joint venture, limited liability company, association, joint-stock company, trust, unincorporated organization, government or any agency or political subdivision thereof, or any other entity.</w:t>
      </w:r>
    </w:p>
    <w:p>
      <w:pPr>
        <w:spacing w:after="0" w:line="71"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A “Qualifying Trading Day” with respect to a series of Warrants means any VWAP Trading Day on which the Daily VWAP (as defined below) is at least equal to the Early Expiration Trigger Price for such series of Warrant in effect on such VWAP Trading Day.</w:t>
      </w:r>
    </w:p>
    <w:p>
      <w:pPr>
        <w:spacing w:after="0" w:line="71"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“Scheduled Trading Day” means a day that is scheduled to be a Trading Day on the principal U.S. national or regional securities exchange on which the Common Stock is listed or, if the Common Stock is not then listed on a U.S. national or regional securities exchange, the principal market on which the Common Stock is admitted for trading. If the Common Stock is not so listed or admitted for trading, “Scheduled Trading Day” means a Business Day.</w:t>
      </w:r>
    </w:p>
    <w:p>
      <w:pPr>
        <w:spacing w:after="0" w:line="76"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“Trading Day”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admitted for trading; and (B) a Last Reported Sale Price for the Common Stock (or closing sale price for such other security) is available on such securities exchange or market. If the Common Stock is not so listed or admitted for trading, then “Trading Day” means a Business Day.</w:t>
      </w:r>
    </w:p>
    <w:p>
      <w:pPr>
        <w:spacing w:after="0" w:line="77"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“VWAP Trading Day” means a day on which (A) there is no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admitted for trading. If the Common Stock is not so listed or admitted for trading, then “VWAP Trading Day” means a Business Day.</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“Warrant Shares” means the shares of Common Stock issuable on exercise of any Warrants.</w:t>
      </w:r>
    </w:p>
    <w:p>
      <w:pPr>
        <w:spacing w:after="0" w:line="3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Calculations in respect of the Warrants; Calculation Agent</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Conv-Ex Advisors Limited shall be the initial calculation agent. The Calculation Agent will be responsible for making all calculations and other determinations specified to be made by it under the Warrant Agreement and the Warrants, and any calculations and determinations not so specified will be the responsibility of the Issuer or an independent advisor. All calculations and determinations will be made in good faith and, absent manifest error, such calculations and determinations will be final and binding on holders of the Warrants and the Warrant Agent.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08" w:lineRule="exact"/>
        <w:rPr>
          <w:sz w:val="20"/>
          <w:szCs w:val="20"/>
          <w:color w:val="auto"/>
        </w:rPr>
      </w:pPr>
    </w:p>
    <w:p>
      <w:pPr>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Warrants and the Warrant Agreement under which they are issued are governed by the laws of the State of New York.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consequences of (i) the receipt and exercise (or expiration or disposition) of the Warrants received in the Warrant Distribution and (ii) the receipt, ownership and disposition of shares of Common Stock received upon exercise of the Warrants.</w:t>
      </w:r>
    </w:p>
    <w:p>
      <w:pPr>
        <w:spacing w:after="0" w:line="71" w:lineRule="exact"/>
        <w:rPr>
          <w:sz w:val="20"/>
          <w:szCs w:val="20"/>
          <w:color w:val="auto"/>
        </w:rPr>
      </w:pPr>
    </w:p>
    <w:p>
      <w:pPr>
        <w:jc w:val="both"/>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shares of Common Stock that receives the Warrants in the Warrant Distribution that is:</w:t>
      </w:r>
    </w:p>
    <w:p>
      <w:pPr>
        <w:spacing w:after="0" w:line="60" w:lineRule="exact"/>
        <w:rPr>
          <w:sz w:val="20"/>
          <w:szCs w:val="20"/>
          <w:color w:val="auto"/>
        </w:rPr>
      </w:pPr>
    </w:p>
    <w:p>
      <w:pPr>
        <w:ind w:left="1260" w:hanging="318"/>
        <w:spacing w:after="0"/>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04" w:lineRule="exact"/>
        <w:rPr>
          <w:rFonts w:ascii="Times New Roman" w:cs="Times New Roman" w:eastAsia="Times New Roman" w:hAnsi="Times New Roman"/>
          <w:sz w:val="17"/>
          <w:szCs w:val="17"/>
          <w:color w:val="auto"/>
        </w:rPr>
      </w:pPr>
    </w:p>
    <w:p>
      <w:pPr>
        <w:jc w:val="both"/>
        <w:ind w:left="1260" w:right="639" w:hanging="318"/>
        <w:spacing w:after="0" w:line="257"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(including an entity treated as a corporation for U.S. federal income tax purposes) created or organized in or under the laws of the United States or of a political subdivision thereof (including the District of Columbia);</w:t>
      </w:r>
    </w:p>
    <w:p>
      <w:pPr>
        <w:spacing w:after="0" w:line="71"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federal income taxation, regardless of its source; or</w:t>
      </w:r>
    </w:p>
    <w:p>
      <w:pPr>
        <w:spacing w:after="0" w:line="104" w:lineRule="exact"/>
        <w:rPr>
          <w:rFonts w:ascii="Times New Roman" w:cs="Times New Roman" w:eastAsia="Times New Roman" w:hAnsi="Times New Roman"/>
          <w:sz w:val="17"/>
          <w:szCs w:val="17"/>
          <w:color w:val="auto"/>
        </w:rPr>
      </w:pPr>
    </w:p>
    <w:p>
      <w:pPr>
        <w:jc w:val="both"/>
        <w:ind w:left="1260" w:right="639" w:hanging="318"/>
        <w:spacing w:after="0" w:line="257"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(a) a U.S. court is able to exercise primary supervision over the administration of the trust and one or more U.S. persons have the authority to control all substantial decisions of the trust, or (b) it has a valid election in place to be treated as a U.S. person.</w:t>
      </w:r>
    </w:p>
    <w:p>
      <w:pPr>
        <w:spacing w:after="0" w:line="71"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A “non-U.S. holder” is a beneficial owner of shares of Common Stock that receives the Warrants in the Warrant Distribution (other than an entity or arrangement treated as a partnership for U.S. federal income tax purposes) that is not a U.S. holder.</w:t>
      </w:r>
    </w:p>
    <w:p>
      <w:pPr>
        <w:spacing w:after="0" w:line="71" w:lineRule="exact"/>
        <w:rPr>
          <w:sz w:val="20"/>
          <w:szCs w:val="20"/>
          <w:color w:val="auto"/>
        </w:rPr>
      </w:pPr>
    </w:p>
    <w:p>
      <w:pPr>
        <w:jc w:val="both"/>
        <w:ind w:left="600" w:right="619" w:firstLine="333"/>
        <w:spacing w:after="0" w:line="246" w:lineRule="auto"/>
        <w:rPr>
          <w:sz w:val="20"/>
          <w:szCs w:val="20"/>
          <w:color w:val="auto"/>
        </w:rPr>
      </w:pPr>
      <w:r>
        <w:rPr>
          <w:rFonts w:ascii="Times New Roman" w:cs="Times New Roman" w:eastAsia="Times New Roman" w:hAnsi="Times New Roman"/>
          <w:sz w:val="17"/>
          <w:szCs w:val="17"/>
          <w:color w:val="auto"/>
        </w:rPr>
        <w:t>This discussion does not address the U.S. federal income tax consequences of the receipt, exercise, expiration or disposition of the Warrants received in the Warrant Distribution with respect to a holder’s 2030 Convertible Notes or the receipt, ownership and disposition of shares of Common Stock received pursuant to the exercise of such Warrants and, accordingly, a holder of the 2030 Convertible Notes is urged to consult its own tax advisor regarding any U.S. federal income tax consequences related thereto. This discussion does not address any state, local, or foreign income or other tax consequences, such as the estate and gift tax or the Medicare tax on net investment income, nor does it address all of the tax consequences that may be relevant to any particular holder. This discussion also does not address the tax consequences to persons that may be subject to special treatment under U.S. federal income tax law, such as banks, insurance companies, thrift institutions, regulated investment companies, real estate investment trusts, tax-exempt organizations (including private foundations), U.S. expatriates (or former citizens or long-term residents of the United States), “controlled foreign corporations,” “foreign controlled foreign corporations,” “passive foreign investment companies,” corporations that accumulate earnings to avoid U.S. federal income tax, persons who acquired their Common Stock pursuant to the exercise of employee stock options or otherwise as compensation, persons subject to any alternative minimum tax, traders in securities that elect to mark to market, dealers in securities or currencies, certain taxpayers who file applicable financial statements required to recognize income when the associated revenue is reflected in such financial statements, persons that hold shares of Common Stock or Warrants as part of a position in a “straddle” or as part of a “hedging,” “conversion,” or other integrated investment transaction for U.S. federal income tax purposes, persons that do not hold shares of Common Stock or Warrants as “capital assets” (generally, property held for investment) or persons that do not use the U.S. dollar as their functional currency.</w:t>
      </w:r>
    </w:p>
    <w:p>
      <w:pPr>
        <w:spacing w:after="0" w:line="87"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If an entity or arrangement treated as a partnership for applicable tax purposes holds shares of Common Stock or Warrants, the tax treatment of a partner generally will depend upon the status of the partner and upon the activities of the partnership. A partner, member or other beneficial owner of an entity or arrangement treated as a partnership for applicable tax purposes holding shares of Common Stock or Warrants should consult its own tax advisor regarding the tax consequences of (i) the receipt and exercise (or expiration or disposition) of the Warrants received in the Warrant Distribution and (ii) the receipt, ownership and disposition of shares of Common Stock received upon exercise of the Warrants.</w:t>
      </w:r>
    </w:p>
    <w:p>
      <w:pPr>
        <w:spacing w:after="0" w:line="78" w:lineRule="exact"/>
        <w:rPr>
          <w:sz w:val="20"/>
          <w:szCs w:val="20"/>
          <w:color w:val="auto"/>
        </w:rPr>
      </w:pPr>
    </w:p>
    <w:p>
      <w:pPr>
        <w:jc w:val="both"/>
        <w:ind w:left="600" w:right="619" w:firstLine="333"/>
        <w:spacing w:after="0" w:line="267" w:lineRule="auto"/>
        <w:rPr>
          <w:sz w:val="20"/>
          <w:szCs w:val="20"/>
          <w:color w:val="auto"/>
        </w:rPr>
      </w:pPr>
      <w:r>
        <w:rPr>
          <w:rFonts w:ascii="Times New Roman" w:cs="Times New Roman" w:eastAsia="Times New Roman" w:hAnsi="Times New Roman"/>
          <w:sz w:val="16"/>
          <w:szCs w:val="16"/>
          <w:color w:val="auto"/>
        </w:rPr>
        <w:t>This discussion is based on the provisions of the Internal Revenue Code of 1986, as amended (the “Code”), U.S. Department of the Treasury regulations (“Treasury Regulations”), administrative rulings, and judicial authority, all as in effect as of the date hereof. Subsequent developments in U.S. federal income tax law, including changes in law or differing interpretations, which may be applied retroactively, could have a material effect on the U.S. federal income tax consequences of (i) the receipt and exercise (or expiration or disposition) of the Warrants received in the Warrant Distribution and (ii) the receipt, ownership and disposition of shares of Common Stock received upon exercise of the Warrants. In addition, we have not sought, and will not seek, an opinion of counsel or a ruling from</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7" w:lineRule="auto"/>
        <w:rPr>
          <w:sz w:val="20"/>
          <w:szCs w:val="20"/>
          <w:color w:val="auto"/>
        </w:rPr>
      </w:pPr>
      <w:r>
        <w:rPr>
          <w:rFonts w:ascii="Times New Roman" w:cs="Times New Roman" w:eastAsia="Times New Roman" w:hAnsi="Times New Roman"/>
          <w:sz w:val="17"/>
          <w:szCs w:val="17"/>
          <w:color w:val="auto"/>
        </w:rPr>
        <w:t>the Internal Revenue Service (“IRS”) regarding the U.S. federal income tax consequences of the matters discussed below, and there can be no assurance the IRS will not challenge the statements and conclusions set forth below or that a court would not sustain any such challenge.</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Tax Considerations to U.S. Holders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Consequences of the Warrant Distribution</w:t>
      </w:r>
    </w:p>
    <w:p>
      <w:pPr>
        <w:spacing w:after="0" w:line="106"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Generally, the distribution of stock by a corporation to its stockholders with respect to their stock is not taxable to such stockholders pursuant to Section 305(a) of the Code. For such purpose, a distribution of rights to acquire stock of the distributing corporation constitutes a distribution of stock. However, if a distribution of stock or rights to acquire stock is within one of several exceptions to the general rule of Section 305(a) of the Code set forth in Section 305(b) of the Code, the distribution may be taxable to the stockholders of the distributing corporation. Section 305(b)(2) of the Code is an exception to the general rule of Section 305(a) of the Code that applies to a “disproportionate distribution.” Pursuant to Section 305(b)(2) of the Code, a distribution (or a series of distributions of which such a distribution is one) of stock rights constitutes a “disproportionate distribution,” and is therefore taxable, if the distribution results in (i) the receipt of property by some stockholders (including holders of rights to acquire stock and holders of debt instruments convertible into stock), and (ii) an increase in the proportionate interest of other stockholders (including holders of rights to acquire stock and holders of debt instruments convertible into stock) in the assets or earnings and profits of the distributing corporation. A disproportionate distribution may arise if the receipt of cash or property occurs within 36 months of a distribution or series of distributions of stock.</w:t>
      </w:r>
    </w:p>
    <w:p>
      <w:pPr>
        <w:spacing w:after="0" w:line="80" w:lineRule="exact"/>
        <w:rPr>
          <w:sz w:val="20"/>
          <w:szCs w:val="20"/>
          <w:color w:val="auto"/>
        </w:rPr>
      </w:pPr>
    </w:p>
    <w:p>
      <w:pPr>
        <w:jc w:val="both"/>
        <w:ind w:left="600" w:right="619" w:firstLine="333"/>
        <w:spacing w:after="0" w:line="263" w:lineRule="auto"/>
        <w:rPr>
          <w:sz w:val="20"/>
          <w:szCs w:val="20"/>
          <w:color w:val="auto"/>
        </w:rPr>
      </w:pPr>
      <w:r>
        <w:rPr>
          <w:rFonts w:ascii="Times New Roman" w:cs="Times New Roman" w:eastAsia="Times New Roman" w:hAnsi="Times New Roman"/>
          <w:sz w:val="16"/>
          <w:szCs w:val="16"/>
          <w:color w:val="auto"/>
        </w:rPr>
        <w:t>The Warrant Distribution may be treated as a non-taxable distribution under Section 305(a) of the Code or, alternatively, a distribution subject to Section 305(b) of the Code if the Warrant Distribution constitutes part of a “disproportionate distribution” pursuant to Section 305(b)(2) of the Code. If the Warrant Distribution is treated as a distribution subject to Section 305(b) of the Code, a U.S. holder will be treated for U.S. federal income tax purposes as receiving a distribution equal to the fair market value of the Warrants. In such case, the Warrant Distribution will be taxable as a dividend to the extent paid out of our current or accumulated earnings and profits (as determined under U.S. federal income tax principles). We cannot determine with certainty, before the consummation of the Warrant Distribution, the extent to which we will have current and accumulated earnings and profits so as to cause all or any portion of the Warrant Distribution to be treated as a dividend. However, we anticipate that the Warrant Distribution will not be made out of current or accumulated earnings and profits such that no part of the Warrant Distribution is anticipated to be treated as a dividend for U.S. federal income tax purposes. Therefore, if the Warrant Distribution is treated as a distribution subject to Section 305(b) of the Code, we anticipate the Warrant Distribution will be treated as a tax-free return of capital to the extent of a U.S. holder’s basis in its shares of Common Stock, and thereafter as gain from the sale or exchange of such U.S. holder’s shares of Common Stock.</w:t>
      </w:r>
    </w:p>
    <w:p>
      <w:pPr>
        <w:spacing w:after="0" w:line="2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Basis and Holding Period in the Warrants</w:t>
      </w:r>
    </w:p>
    <w:p>
      <w:pPr>
        <w:spacing w:after="0" w:line="106"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If the Warrant Distribution is treated as a non-taxable distribution under Section 305(a) of the Code and the fair market value of the Warrants received in the Warrant Distribution with respect to a U.S. holder’s shares of Common Stock is less than 15% of the fair market value of a U.S. holder’s shares of Common Stock on the date of the Warrant Distribution, the Warrants received will be allocated a zero tax basis for U.S. federal income tax purposes, unless such U.S. holder elects to allocate tax basis between the existing shares of Common Stock and the Warrants in proportion to their relative fair market values determined on the date of the Warrant Distribution. A U.S. holder that elects to allocate tax basis between such holder’s existing shares of Common Stock and Warrants must make this election on a statement included with such holder’s tax return for the taxable year in which the Warrant Distribution occurs. Such an election is irrevocable. If, however, the fair market value of the Warrants received in the Warrant Distribution with respect to a U.S. holder’s shares of Common Stock is 15% or more of the fair market value of a U.S. holder’s shares of Common Stock on the date of the Warrant Distribution, such holder’s tax basis in the existing shares of Common Stock must be allocated between the existing shares of Common Stock and the Warrants in proportion to their relative fair market values determined on the date of the Warrant Distribution. A U.S. holder’s holding period for the Warrants will include the holding period for the shares of Common Stock with respect to which the Warrants were received.</w:t>
      </w:r>
    </w:p>
    <w:p>
      <w:pPr>
        <w:spacing w:after="0" w:line="7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If the Warrant Distribution is treated as a distribution subject to Section 305(b) of the Code, a U.S. holder will receive the Warrants with a basis equal to their fair market value on the date of the Warrant Distribution for U.S. federal income tax purposes. A U.S. holder’s holding period for the Warrants will generally begin on the date of the Warrant Distribution.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4" w:name="page35"/>
    <w:bookmarkEnd w:id="3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The fair market value of the Warrants on the date of the Warrant Distribution may be uncertain, and we have not obtained, and do not intend to obtain, an appraisal of the fair market value of the Warrants on that date. In determining the fair market value of the Warrants, a U.S. holder should consider all relevant facts and circumstances, including any trading prices for the Warrants on Nasdaq.</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Constructive Distributions</w:t>
      </w:r>
    </w:p>
    <w:p>
      <w:pPr>
        <w:spacing w:after="0" w:line="106"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number of shares of Common Stock that a holder is entitled to receive upon exercise of a Warrant is subject to certain anti-dilution adjustments. Certain of these adjustments (including adjustments as a result of a distribution to holders of shares of Common Stock or failures to make adjustments) could cause a holder to be deemed to receive a “constructive distribution” that is includible in income for U.S. federal income tax purposes. Any constructive distribution will be taxable to the extent of our current or accumulated earnings and profits, generally as described below under “—Distributions on Common Stock.” U.S. holders should consult their tax advisors regarding the possibility of constructive distributions with respect to the Warrants.</w:t>
      </w:r>
    </w:p>
    <w:p>
      <w:pPr>
        <w:spacing w:after="0" w:line="78" w:lineRule="exact"/>
        <w:rPr>
          <w:sz w:val="20"/>
          <w:szCs w:val="20"/>
          <w:color w:val="auto"/>
        </w:rPr>
      </w:pPr>
    </w:p>
    <w:p>
      <w:pPr>
        <w:jc w:val="both"/>
        <w:ind w:left="600" w:right="619" w:firstLine="333"/>
        <w:spacing w:after="0" w:line="268" w:lineRule="auto"/>
        <w:rPr>
          <w:sz w:val="20"/>
          <w:szCs w:val="20"/>
          <w:color w:val="auto"/>
        </w:rPr>
      </w:pPr>
      <w:r>
        <w:rPr>
          <w:rFonts w:ascii="Times New Roman" w:cs="Times New Roman" w:eastAsia="Times New Roman" w:hAnsi="Times New Roman"/>
          <w:sz w:val="16"/>
          <w:szCs w:val="16"/>
          <w:color w:val="auto"/>
        </w:rPr>
        <w:t>It is unclear whether a constructive dividend deemed paid to a non-corporate U.S. holder would be eligible for the lower applicable long-term capital gains rates as described below under “—Distributions on Common Stock.” It is also unclear whether corporate U.S. holders would be entitled to claim the dividends received deduction with respect to any such constructive dividends. Generally, a U.S. holder’s adjusted tax basis in a Warrant will be increased to the extent any such constructive distribution is treated as a dividend. U.S. holders should consult their tax advisors regarding the effect a constructive distribution may have on their holding period in the Warrants.</w:t>
      </w:r>
    </w:p>
    <w:p>
      <w:pPr>
        <w:spacing w:after="0" w:line="66" w:lineRule="exact"/>
        <w:rPr>
          <w:sz w:val="20"/>
          <w:szCs w:val="20"/>
          <w:color w:val="auto"/>
        </w:rPr>
      </w:pPr>
    </w:p>
    <w:p>
      <w:pPr>
        <w:jc w:val="both"/>
        <w:ind w:left="600" w:right="619" w:firstLine="333"/>
        <w:spacing w:after="0" w:line="246" w:lineRule="auto"/>
        <w:rPr>
          <w:sz w:val="20"/>
          <w:szCs w:val="20"/>
          <w:color w:val="auto"/>
        </w:rPr>
      </w:pPr>
      <w:r>
        <w:rPr>
          <w:rFonts w:ascii="Times New Roman" w:cs="Times New Roman" w:eastAsia="Times New Roman" w:hAnsi="Times New Roman"/>
          <w:sz w:val="17"/>
          <w:szCs w:val="17"/>
          <w:color w:val="auto"/>
        </w:rPr>
        <w:t>We are currently required to report the amount of any constructive distributions on our website or to the IRS and to holders not exempt from reporting. The IRS has proposed regulations addressing the amount and timing of constructive distributions, as well as obligations of withholding agents and filing and notice obligations of issuers in respect of such constructive distributions. If adopted as proposed, the regulations would generally provide that (i) the amount of a constructive distribution is the excess of the fair market value of the right to acquire stock immediately after the exercise price adjustment over the fair market value of the right to acquire stock (after the exercise price adjustment) without the adjustment, (ii) the constructive distribution occurs at the earlier of the date the adjustment occurs under the terms of the instrument and the date of the distribution of cash or property that results in the constructive distribution, (iii) subject to certain limited exceptions, a withholding agent is required to impose any applicable withholding on constructive distributions and, if there is no associated cash payment, may withhold the required amounts from, or set off the required amounts against, payments on the Warrants, payments on our Common Stock or sales proceeds received by or other funds or assets of an investor, and (iv) we are required to report the amount of any constructive distributions on our website or to the IRS and to all holders (including holders that would otherwise be exempt from reporting). The final regulations will be effective for constructive distributions occurring on or after the date of adoption, but holders and withholding agents may rely on them prior to that date under certain circumstances.</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Expiration of Warrants</w:t>
      </w:r>
    </w:p>
    <w:p>
      <w:pPr>
        <w:spacing w:after="0" w:line="10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If the Warrant Distribution is treated as a non-taxable distribution under Section 305(a) of the Code and the Warrants received in the Warrant Distribution expire while a U.S. holder owns the shares of Common Stock with respect to which the Warrants were distributed, such U.S. holder generally should not recognize any gain or loss upon that expiration. If a U.S. holder has tax basis in the Warrants and allows the Warrants to expire while continuing to hold the shares of Common Stock with respect to which the Warrants were distributed, the tax basis of such shares of Common Stock will be restored to the tax basis of such shares of Common Stock immediately before the receipt of the Warrants in the Warrant Distribution. If the Warrants expire after a U.S. holder has disposed of the shares of Common Stock with respect to which the Warrants were distributed, certain aspects of the tax treatment of the expiration are unclear, and such holder should consult its tax advisor regarding its ability to recognize a loss (if any) on the expiration of the Warrants.</w:t>
      </w:r>
    </w:p>
    <w:p>
      <w:pPr>
        <w:spacing w:after="0" w:line="77"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If the Warrant Distribution is treated as a distribution subject to Section 305(b) of the Code and the Warrants received in the Warrant Distribution expire, a U.S. holder should recognize a capital loss equal to its tax basis in the expired Warrants. The deductibility of capital losses is subject to certain limitations.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Exercise of Warrants</w:t>
      </w:r>
    </w:p>
    <w:p>
      <w:pPr>
        <w:spacing w:after="0" w:line="106" w:lineRule="exact"/>
        <w:rPr>
          <w:sz w:val="20"/>
          <w:szCs w:val="20"/>
          <w:color w:val="auto"/>
        </w:rPr>
      </w:pPr>
    </w:p>
    <w:p>
      <w:pPr>
        <w:jc w:val="both"/>
        <w:ind w:left="600" w:right="619" w:firstLine="333"/>
        <w:spacing w:after="0" w:line="302" w:lineRule="auto"/>
        <w:rPr>
          <w:sz w:val="20"/>
          <w:szCs w:val="20"/>
          <w:color w:val="auto"/>
        </w:rPr>
      </w:pPr>
      <w:r>
        <w:rPr>
          <w:rFonts w:ascii="Times New Roman" w:cs="Times New Roman" w:eastAsia="Times New Roman" w:hAnsi="Times New Roman"/>
          <w:sz w:val="16"/>
          <w:szCs w:val="16"/>
          <w:color w:val="auto"/>
        </w:rPr>
        <w:t>Subject to the discussion below on cashless exercise and exercise of a Warrant after a U.S. holder no longer holds shares of Common Stock with respect to which such Warrant was received, U.S. holders should not recognize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any gain or loss with respect to a Warrant upon the exercise of the Warrant. In general, shares of Common Stock acquired pursuant to the exercise of a Warrant will have a tax basis equal to the U.S. holder’s tax basis in the Warrant, if any, increased by the price paid to exercise the Warrant. The holding period for the shares of Common Stock received upon exercise of the Warrant will generally begin on the date of exercise of the Warrant.</w:t>
      </w:r>
    </w:p>
    <w:p>
      <w:pPr>
        <w:spacing w:after="0" w:line="75" w:lineRule="exact"/>
        <w:rPr>
          <w:sz w:val="20"/>
          <w:szCs w:val="20"/>
          <w:color w:val="auto"/>
        </w:rPr>
      </w:pPr>
    </w:p>
    <w:p>
      <w:pPr>
        <w:jc w:val="both"/>
        <w:ind w:left="600" w:right="619" w:firstLine="333"/>
        <w:spacing w:after="0" w:line="264" w:lineRule="auto"/>
        <w:rPr>
          <w:sz w:val="20"/>
          <w:szCs w:val="20"/>
          <w:color w:val="auto"/>
        </w:rPr>
      </w:pPr>
      <w:r>
        <w:rPr>
          <w:rFonts w:ascii="Times New Roman" w:cs="Times New Roman" w:eastAsia="Times New Roman" w:hAnsi="Times New Roman"/>
          <w:sz w:val="16"/>
          <w:szCs w:val="16"/>
          <w:color w:val="auto"/>
        </w:rPr>
        <w:t>In certain circumstances, the Warrants may be exercised on a cashless basis. Although there is no direct legal authority as to the U.S. federal income tax treatment of an exercise of a Warrant on a cashless basis, it is possible that a cashless exercise will be treated as non-taxable, either because the exercise is not a gain realization event or because it qualifies as a tax-free recapitalization. In the former case, the holding period of the shares of Common Stock received upon exercise of Warrants should commence on the day after the Warrants are exercised. In the latter case, the holding period of the shares of Common Stock received upon exercise of Warrants would include the holding period of the exercised Warrants. However, it is also possible that a cashless exercise of a Warrant will be treated as in part a taxable exchange, in which case gain or loss generally would be recognized to the extent a portion of the Warrants are deemed surrendered to pay the exercise price of the remaining Warrants. U.S. holders are urged to consult their tax advisors as to the consequences of an exercise of a Warrant on a cashless basis, including with respect to their holding period and tax basis in the shares of Common Stock received upon exercise.</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Distributions on Common Stock</w:t>
      </w:r>
    </w:p>
    <w:p>
      <w:pPr>
        <w:spacing w:after="0" w:line="10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If we make distributions of cash or property on our Common Stock, such distributions (other than certain pro rate distributions of common shares) will generally constitute dividends for U.S. federal income tax purposes to the extent paid from our current or accumulated earnings and profits, as determined under U.S. federal income tax principles. Amounts not treated as dividends for U.S. federal income tax purposes will constitute a tax-free return of capital and first be applied against and reduce a U.S. holder’s adjusted tax basis in its shares of Common Stock, but not below zero. Any excess will be treated as capital gain and will be treated as described below under “—Sale or Other Taxable Disposition of Common Stock or Warrants.” Dividends received by a corporate U.S. holder may be eligible for a dividends received deduction, subject to applicable limitations. Dividends received by certain non-corporate U.S. holders (including individuals) are generally taxed at the lower applicable long-term capital gains rates, provided certain holding period and other requirements are satisfied.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 or Other Taxable Disposition of Common Stock or Warrants</w:t>
      </w:r>
    </w:p>
    <w:p>
      <w:pPr>
        <w:spacing w:after="0" w:line="106"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gain or loss a U.S. holder realizes on the sale or other taxable disposition of Common Stock or Warrants generally will be a capital gain or loss, and will be long-term capital gain or loss if the U.S. holder has held the Common Stock or Warrants for more than one year. The amount of a U.S. holder’s gain or loss generally will equal the difference between the U.S. Holder’s adjusted tax basis in the Common Stock or Warrants disposed of and the amount realized on the disposition. For non-corporate U.S. holders, including individuals, long-term capital gains are generally eligible for reduced rates of taxation. In addition, certain limitations exist on the deductibility of capital losses.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0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In general, information reporting may apply to dividends (including constructive dividends) paid to a U.S. holder and to the proceeds of the sale or disposition of the Warrants or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backup withholding rules will be allowed as a refund or credit against a U.S. holder’s U.S. federal income tax liability, provided that the required information is timely furnished to the IRS. All U.S. holders should consult their tax advisors regarding the application of information reporting and backup withholding to them.</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Tax Considerations to Non-U.S. Holders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Receipt and Exercise of Warrants</w:t>
      </w:r>
    </w:p>
    <w:p>
      <w:pPr>
        <w:spacing w:after="0" w:line="106"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As discussed above under “—Tax Considerations to U.S. Holders,” it is unclear whether a non-U.S. holder’s receipt of the Warrants pursuant to the Warrant Distribution would be treated as a non-taxable distribution under Section 305(a) of the Code with respect to its existing shares of Common Stock for U.S. federal income tax purposes. If the Warrant Distribution is treated as a non-taxable distribution under Section 305(a) of the Code and subject to the discussion on cashless exercise (as discussed above under “—Tax Considerations to U.S. Holders”), non-U.S. holders will not be subject to U.S. federal income tax (or any withholding thereof) on the receipt of the Warrants.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If the Warrant Distribution is treated as a distribution subject to Section 305(b) of the Code, on the receipt of the Warrants the fair market value of the Warrants would be taxable to non-U.S. holders of our Common Stock as a dividend subject to U.S. withholding tax to the extent of the non-U.S. holder’s pro rata share of our current and accumulated earnings and profits, if any, with any excess being treated as a tax-free return of capital to the extent thereof and then as capital gain, generally as described below under “—Dividends and Constructive Dividends.” We cannot determine with certainty, before the consummation of the Warrant Distribution, the extent to which we will have current and accumulated earnings and profits so as to cause all or any portion of the Warrant Distribution to be treated as a dividend. However, we anticipate that the Warrant Distribution will not be made out of current or accumulated earnings and profits such that no part of the Warrant Distribution is anticipated to be treated as a dividend for U.S. federal income tax purposes.</w:t>
      </w:r>
    </w:p>
    <w:p>
      <w:pPr>
        <w:spacing w:after="0" w:line="77"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A non-U.S. holder generally will not be subject to U.S. federal income tax on the exercise of Warrants. However, if a cashless exercise of Warrants results in a taxable exchange, as described above under “—Tax Considerations to U.S. Holders—Exercise of Warrants,” the rules described below under “—Sale or Other Taxable Disposition of Common Stock or Warrants” would apply. Non-U.S. holders are urged to consult their tax advisors as to the consequences of an exercise of a Warrant on a cashless basis, including with respect to their holding period and tax basis in the shares of Common Stock received upon exercise.</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Dividends and Constructive Distributions</w:t>
      </w:r>
    </w:p>
    <w:p>
      <w:pPr>
        <w:spacing w:after="0" w:line="106"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Subject to the discussion below on effectively connected income, any amount treated as a dividend (as described above under “Tax Considerations to U.S. Holders—Distributions on Common Stock”) paid to a non-U.S. holder with respect to our Common Stock (and any constructive dividends resulting from certain adjustments or failures to make adjustments, as described above under “Tax Considerations to U.S. Holders —Constructive Distributions”)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84" w:lineRule="exact"/>
        <w:rPr>
          <w:sz w:val="20"/>
          <w:szCs w:val="20"/>
          <w:color w:val="auto"/>
        </w:rPr>
      </w:pPr>
    </w:p>
    <w:p>
      <w:pPr>
        <w:jc w:val="both"/>
        <w:ind w:left="600" w:right="619" w:firstLine="333"/>
        <w:spacing w:after="0" w:line="268" w:lineRule="auto"/>
        <w:rPr>
          <w:sz w:val="20"/>
          <w:szCs w:val="20"/>
          <w:color w:val="auto"/>
        </w:rPr>
      </w:pPr>
      <w:r>
        <w:rPr>
          <w:rFonts w:ascii="Times New Roman" w:cs="Times New Roman" w:eastAsia="Times New Roman" w:hAnsi="Times New Roman"/>
          <w:sz w:val="16"/>
          <w:szCs w:val="16"/>
          <w:color w:val="auto"/>
        </w:rPr>
        <w:t>If dividends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66"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 or Other Taxable Disposition of Common Stock or Warrants</w:t>
      </w:r>
    </w:p>
    <w:p>
      <w:pPr>
        <w:spacing w:after="0" w:line="106"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Subject to the discussions below on backup withholding and FATCA, a non-U.S. Holder will not be subject to U.S. federal income or withholding tax on any gain realized upon the sale or other taxable disposition of our Common Stock or Warrants (including, for this purpose, the expiration of Warrants) unless:</w:t>
      </w:r>
    </w:p>
    <w:p>
      <w:pPr>
        <w:spacing w:after="0" w:line="71" w:lineRule="exact"/>
        <w:rPr>
          <w:sz w:val="20"/>
          <w:szCs w:val="20"/>
          <w:color w:val="auto"/>
        </w:rPr>
      </w:pPr>
    </w:p>
    <w:p>
      <w:pPr>
        <w:jc w:val="both"/>
        <w:ind w:left="1260" w:right="619" w:hanging="318"/>
        <w:spacing w:after="0" w:line="257"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1"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the disposition and certain other requirements are met; or</w:t>
      </w:r>
    </w:p>
    <w:p>
      <w:pPr>
        <w:spacing w:after="0" w:line="59"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or Warrants constitute a U.S. real property interest (“USRPI”) by reason of our status as a U.S. real property holding corporation (“USRPHC”) for U.S. federal income tax purposes.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75"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or Warrants,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76"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w:t>
      </w:r>
    </w:p>
    <w:p>
      <w:pPr>
        <w:spacing w:after="0" w:line="75"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Non-U.S. holders should consult their tax advisors regarding potentially applicable income tax treaties that may provide for different rules.</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06" w:lineRule="exact"/>
        <w:rPr>
          <w:sz w:val="20"/>
          <w:szCs w:val="20"/>
          <w:color w:val="auto"/>
        </w:rPr>
      </w:pPr>
    </w:p>
    <w:p>
      <w:pPr>
        <w:jc w:val="both"/>
        <w:ind w:left="600" w:right="619" w:firstLine="333"/>
        <w:spacing w:after="0" w:line="264" w:lineRule="auto"/>
        <w:rPr>
          <w:sz w:val="20"/>
          <w:szCs w:val="20"/>
          <w:color w:val="auto"/>
        </w:rPr>
      </w:pPr>
      <w:r>
        <w:rPr>
          <w:rFonts w:ascii="Times New Roman" w:cs="Times New Roman" w:eastAsia="Times New Roman" w:hAnsi="Times New Roman"/>
          <w:sz w:val="16"/>
          <w:szCs w:val="16"/>
          <w:color w:val="auto"/>
        </w:rPr>
        <w:t>Payments of dividends (including constructive dividends)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constructive dividends) paid to the non-U.S. holder, regardless of whether such distributions constitute dividends or whether any tax was actually withheld. In addition, proceeds of the sale or other taxable disposition of our Common Stock or Warrants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or Warrants conducted through a non-U.S. office of a non-U.S. broker generally will not be subject to backup withholding or information reporting.</w:t>
      </w:r>
    </w:p>
    <w:p>
      <w:pPr>
        <w:spacing w:after="0" w:line="6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1"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Additional Withholding Tax on Payments Made to Foreign Accounts</w:t>
      </w:r>
    </w:p>
    <w:p>
      <w:pPr>
        <w:spacing w:after="0" w:line="106" w:lineRule="exact"/>
        <w:rPr>
          <w:sz w:val="20"/>
          <w:szCs w:val="20"/>
          <w:color w:val="auto"/>
        </w:rPr>
      </w:pPr>
    </w:p>
    <w:p>
      <w:pPr>
        <w:jc w:val="both"/>
        <w:ind w:left="600" w:right="619" w:firstLine="333"/>
        <w:spacing w:after="0" w:line="263" w:lineRule="auto"/>
        <w:rPr>
          <w:sz w:val="20"/>
          <w:szCs w:val="20"/>
          <w:color w:val="auto"/>
        </w:rPr>
      </w:pPr>
      <w:r>
        <w:rPr>
          <w:rFonts w:ascii="Times New Roman" w:cs="Times New Roman" w:eastAsia="Times New Roman" w:hAnsi="Times New Roman"/>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constructive dividends) on, or (subject to the proposed Treasury Regulations discussed below) gross proceeds from the sale or other disposition of, our Common Stock or Warrants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Under the applicable Treasury Regulations and administrative guidance, withholding under FATCA generally applies to payments of dividends (including constructive dividends). While withholding under FATCA would have applied also to payments of gross proceeds from the sale or other disposition of stock (including our Common Stock or Warrants) on or after January 1, 2019, proposed Treasury Regulations eliminate FATCA withholding on payments of gross proceeds entirely. Taxpayers generally may rely on these proposed Treasury Regulations until final Treasury Regulations are issued.</w:t>
      </w:r>
    </w:p>
    <w:p>
      <w:pPr>
        <w:spacing w:after="0" w:line="77"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Prospective investors should consult their tax advisors regarding the potential application of withholding under FATCA to their investment in our Common stock or Warrants.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validity of our shares of common stock offered by this prospectus supplement will be passed upon for us by Latham &amp; Watkins LLP, New York, NY.</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The financial statements of Opendoor Technologies Inc. incorporated by reference in this prospectus, and the effectiveness of Opendoor Technologies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0" w:name="page41"/>
    <w:bookmarkEnd w:id="4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INFORMATION INCORPORATED BY REFERENCE</w:t>
      </w:r>
    </w:p>
    <w:p>
      <w:pPr>
        <w:spacing w:after="0" w:line="8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71"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incorporate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except for any information superseded by information in this prospectus supplement and the accompanying prospectus. This prospectus supplement and the accompanying prospectus incorporate by reference the documents set forth below that have previously been filed with the SEC (excluding any information furnished pursuant to Item 2.02 or Item 7.01 on any current report on Form 8-K and any corresponding information furnished under Item 9.01 or included as an exhibit):</w:t>
      </w:r>
    </w:p>
    <w:p>
      <w:pPr>
        <w:spacing w:after="0" w:line="82" w:lineRule="exact"/>
        <w:rPr>
          <w:sz w:val="20"/>
          <w:szCs w:val="20"/>
          <w:color w:val="auto"/>
        </w:rPr>
      </w:pPr>
    </w:p>
    <w:p>
      <w:pPr>
        <w:ind w:left="1260" w:right="619" w:hanging="318"/>
        <w:spacing w:after="0" w:line="270" w:lineRule="auto"/>
        <w:tabs>
          <w:tab w:leader="none" w:pos="1260" w:val="left"/>
        </w:tabs>
        <w:numPr>
          <w:ilvl w:val="0"/>
          <w:numId w:val="1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Annual Report on Form 10-K for the year ended December 31, 2024, filed with the SEC on </w:t>
      </w:r>
      <w:hyperlink r:id="rId53">
        <w:r>
          <w:rPr>
            <w:rFonts w:ascii="Times New Roman" w:cs="Times New Roman" w:eastAsia="Times New Roman" w:hAnsi="Times New Roman"/>
            <w:sz w:val="17"/>
            <w:szCs w:val="17"/>
            <w:u w:val="single" w:color="auto"/>
            <w:color w:val="0000EE"/>
          </w:rPr>
          <w:t>February 27, 2025</w:t>
        </w:r>
      </w:hyperlink>
      <w:r>
        <w:rPr>
          <w:rFonts w:ascii="Times New Roman" w:cs="Times New Roman" w:eastAsia="Times New Roman" w:hAnsi="Times New Roman"/>
          <w:sz w:val="17"/>
          <w:szCs w:val="17"/>
          <w:color w:val="000000"/>
        </w:rPr>
        <w:t>.</w:t>
      </w:r>
    </w:p>
    <w:p>
      <w:pPr>
        <w:spacing w:after="0" w:line="59" w:lineRule="exact"/>
        <w:rPr>
          <w:rFonts w:ascii="Times New Roman" w:cs="Times New Roman" w:eastAsia="Times New Roman" w:hAnsi="Times New Roman"/>
          <w:sz w:val="17"/>
          <w:szCs w:val="17"/>
          <w:color w:val="0000EE"/>
        </w:rPr>
      </w:pPr>
    </w:p>
    <w:p>
      <w:pPr>
        <w:ind w:left="1260" w:right="639" w:hanging="318"/>
        <w:spacing w:after="0" w:line="270"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filed with the SEC on </w:t>
      </w:r>
      <w:hyperlink r:id="rId54">
        <w:r>
          <w:rPr>
            <w:rFonts w:ascii="Times New Roman" w:cs="Times New Roman" w:eastAsia="Times New Roman" w:hAnsi="Times New Roman"/>
            <w:sz w:val="17"/>
            <w:szCs w:val="17"/>
            <w:u w:val="single" w:color="auto"/>
            <w:color w:val="0000EE"/>
          </w:rPr>
          <w:t>April 25, 2025</w:t>
        </w:r>
      </w:hyperlink>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quarters ended March 31, 2025, June 30, 2025, and September 30, 2025, filed with the SEC on </w:t>
      </w:r>
      <w:hyperlink r:id="rId55">
        <w:r>
          <w:rPr>
            <w:rFonts w:ascii="Times New Roman" w:cs="Times New Roman" w:eastAsia="Times New Roman" w:hAnsi="Times New Roman"/>
            <w:sz w:val="17"/>
            <w:szCs w:val="17"/>
            <w:u w:val="single" w:color="auto"/>
            <w:color w:val="0000EE"/>
          </w:rPr>
          <w:t>May 6, 2025</w:t>
        </w:r>
      </w:hyperlink>
      <w:r>
        <w:rPr>
          <w:rFonts w:ascii="Times New Roman" w:cs="Times New Roman" w:eastAsia="Times New Roman" w:hAnsi="Times New Roman"/>
          <w:sz w:val="17"/>
          <w:szCs w:val="17"/>
          <w:color w:val="auto"/>
        </w:rPr>
        <w:t xml:space="preserve">, </w:t>
      </w:r>
      <w:hyperlink r:id="rId56">
        <w:r>
          <w:rPr>
            <w:rFonts w:ascii="Times New Roman" w:cs="Times New Roman" w:eastAsia="Times New Roman" w:hAnsi="Times New Roman"/>
            <w:sz w:val="17"/>
            <w:szCs w:val="17"/>
            <w:u w:val="single" w:color="auto"/>
            <w:color w:val="0000EE"/>
          </w:rPr>
          <w:t>August 5, 2025</w:t>
        </w:r>
      </w:hyperlink>
      <w:r>
        <w:rPr>
          <w:rFonts w:ascii="Times New Roman" w:cs="Times New Roman" w:eastAsia="Times New Roman" w:hAnsi="Times New Roman"/>
          <w:sz w:val="17"/>
          <w:szCs w:val="17"/>
          <w:color w:val="auto"/>
        </w:rPr>
        <w:t xml:space="preserve">, and </w:t>
      </w:r>
      <w:hyperlink r:id="rId57">
        <w:r>
          <w:rPr>
            <w:rFonts w:ascii="Times New Roman" w:cs="Times New Roman" w:eastAsia="Times New Roman" w:hAnsi="Times New Roman"/>
            <w:sz w:val="17"/>
            <w:szCs w:val="17"/>
            <w:u w:val="single" w:color="auto"/>
            <w:color w:val="0000EE"/>
          </w:rPr>
          <w:t>November 6, 2025</w:t>
        </w:r>
      </w:hyperlink>
      <w:r>
        <w:rPr>
          <w:rFonts w:ascii="Times New Roman" w:cs="Times New Roman" w:eastAsia="Times New Roman" w:hAnsi="Times New Roman"/>
          <w:sz w:val="17"/>
          <w:szCs w:val="17"/>
          <w:color w:val="auto"/>
        </w:rPr>
        <w:t>, respectively.</w:t>
      </w:r>
    </w:p>
    <w:p>
      <w:pPr>
        <w:spacing w:after="0" w:line="71"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1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58">
        <w:r>
          <w:rPr>
            <w:rFonts w:ascii="Times New Roman" w:cs="Times New Roman" w:eastAsia="Times New Roman" w:hAnsi="Times New Roman"/>
            <w:sz w:val="17"/>
            <w:szCs w:val="17"/>
            <w:u w:val="single" w:color="auto"/>
            <w:color w:val="0000EE"/>
          </w:rPr>
          <w:t>May 9, 2025</w:t>
        </w:r>
      </w:hyperlink>
      <w:r>
        <w:rPr>
          <w:rFonts w:ascii="Times New Roman" w:cs="Times New Roman" w:eastAsia="Times New Roman" w:hAnsi="Times New Roman"/>
          <w:sz w:val="17"/>
          <w:szCs w:val="17"/>
          <w:color w:val="auto"/>
        </w:rPr>
        <w:t xml:space="preserve">, </w:t>
      </w:r>
      <w:hyperlink r:id="rId59">
        <w:r>
          <w:rPr>
            <w:rFonts w:ascii="Times New Roman" w:cs="Times New Roman" w:eastAsia="Times New Roman" w:hAnsi="Times New Roman"/>
            <w:sz w:val="17"/>
            <w:szCs w:val="17"/>
            <w:u w:val="single" w:color="auto"/>
            <w:color w:val="0000EE"/>
          </w:rPr>
          <w:t>May 19, 2025</w:t>
        </w:r>
      </w:hyperlink>
      <w:r>
        <w:rPr>
          <w:rFonts w:ascii="Times New Roman" w:cs="Times New Roman" w:eastAsia="Times New Roman" w:hAnsi="Times New Roman"/>
          <w:sz w:val="17"/>
          <w:szCs w:val="17"/>
          <w:color w:val="auto"/>
        </w:rPr>
        <w:t xml:space="preserve">, </w:t>
      </w:r>
      <w:hyperlink r:id="rId60">
        <w:r>
          <w:rPr>
            <w:rFonts w:ascii="Times New Roman" w:cs="Times New Roman" w:eastAsia="Times New Roman" w:hAnsi="Times New Roman"/>
            <w:sz w:val="17"/>
            <w:szCs w:val="17"/>
            <w:u w:val="single" w:color="auto"/>
            <w:color w:val="0000EE"/>
          </w:rPr>
          <w:t>May 30, 2025</w:t>
        </w:r>
      </w:hyperlink>
      <w:r>
        <w:rPr>
          <w:rFonts w:ascii="Times New Roman" w:cs="Times New Roman" w:eastAsia="Times New Roman" w:hAnsi="Times New Roman"/>
          <w:sz w:val="17"/>
          <w:szCs w:val="17"/>
          <w:color w:val="auto"/>
        </w:rPr>
        <w:t xml:space="preserve">, </w:t>
      </w:r>
      <w:hyperlink r:id="rId61">
        <w:r>
          <w:rPr>
            <w:rFonts w:ascii="Times New Roman" w:cs="Times New Roman" w:eastAsia="Times New Roman" w:hAnsi="Times New Roman"/>
            <w:sz w:val="17"/>
            <w:szCs w:val="17"/>
            <w:u w:val="single" w:color="auto"/>
            <w:color w:val="0000EE"/>
          </w:rPr>
          <w:t>June 17,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62">
        <w:r>
          <w:rPr>
            <w:rFonts w:ascii="Times New Roman" w:cs="Times New Roman" w:eastAsia="Times New Roman" w:hAnsi="Times New Roman"/>
            <w:sz w:val="17"/>
            <w:szCs w:val="17"/>
            <w:u w:val="single" w:color="auto"/>
            <w:color w:val="0000EE"/>
          </w:rPr>
          <w:t>August 1,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63">
        <w:r>
          <w:rPr>
            <w:rFonts w:ascii="Times New Roman" w:cs="Times New Roman" w:eastAsia="Times New Roman" w:hAnsi="Times New Roman"/>
            <w:sz w:val="17"/>
            <w:szCs w:val="17"/>
            <w:u w:val="single" w:color="auto"/>
            <w:color w:val="0000EE"/>
          </w:rPr>
          <w:t>August 15,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as amended by the Current Report on Form 8-K/A filed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with the SEC on </w:t>
      </w:r>
      <w:hyperlink r:id="rId64">
        <w:r>
          <w:rPr>
            <w:rFonts w:ascii="Times New Roman" w:cs="Times New Roman" w:eastAsia="Times New Roman" w:hAnsi="Times New Roman"/>
            <w:sz w:val="17"/>
            <w:szCs w:val="17"/>
            <w:u w:val="single" w:color="auto"/>
            <w:color w:val="0000EE"/>
          </w:rPr>
          <w:t>August 28, 2025</w:t>
        </w:r>
      </w:hyperlink>
      <w:r>
        <w:rPr>
          <w:rFonts w:ascii="Times New Roman" w:cs="Times New Roman" w:eastAsia="Times New Roman" w:hAnsi="Times New Roman"/>
          <w:sz w:val="17"/>
          <w:szCs w:val="17"/>
          <w:color w:val="000000"/>
        </w:rPr>
        <w:t xml:space="preserve">, </w:t>
      </w:r>
      <w:hyperlink r:id="rId65">
        <w:r>
          <w:rPr>
            <w:rFonts w:ascii="Times New Roman" w:cs="Times New Roman" w:eastAsia="Times New Roman" w:hAnsi="Times New Roman"/>
            <w:sz w:val="17"/>
            <w:szCs w:val="17"/>
            <w:u w:val="single" w:color="auto"/>
            <w:color w:val="0000EE"/>
          </w:rPr>
          <w:t>September 11, 2025</w:t>
        </w:r>
      </w:hyperlink>
      <w:r>
        <w:rPr>
          <w:rFonts w:ascii="Times New Roman" w:cs="Times New Roman" w:eastAsia="Times New Roman" w:hAnsi="Times New Roman"/>
          <w:sz w:val="17"/>
          <w:szCs w:val="17"/>
          <w:color w:val="000000"/>
        </w:rPr>
        <w:t xml:space="preserve">, </w:t>
      </w:r>
      <w:hyperlink r:id="rId66">
        <w:r>
          <w:rPr>
            <w:rFonts w:ascii="Times New Roman" w:cs="Times New Roman" w:eastAsia="Times New Roman" w:hAnsi="Times New Roman"/>
            <w:sz w:val="17"/>
            <w:szCs w:val="17"/>
            <w:u w:val="single" w:color="auto"/>
            <w:color w:val="0000EE"/>
          </w:rPr>
          <w:t>September 17, 2025</w:t>
        </w:r>
      </w:hyperlink>
      <w:r>
        <w:rPr>
          <w:rFonts w:ascii="Times New Roman" w:cs="Times New Roman" w:eastAsia="Times New Roman" w:hAnsi="Times New Roman"/>
          <w:sz w:val="17"/>
          <w:szCs w:val="17"/>
          <w:color w:val="000000"/>
        </w:rPr>
        <w:t xml:space="preserve">, </w:t>
      </w:r>
      <w:hyperlink r:id="rId67">
        <w:r>
          <w:rPr>
            <w:rFonts w:ascii="Times New Roman" w:cs="Times New Roman" w:eastAsia="Times New Roman" w:hAnsi="Times New Roman"/>
            <w:sz w:val="17"/>
            <w:szCs w:val="17"/>
            <w:u w:val="single" w:color="auto"/>
            <w:color w:val="0000EE"/>
          </w:rPr>
          <w:t>September 19, 2025</w:t>
        </w:r>
      </w:hyperlink>
      <w:r>
        <w:rPr>
          <w:rFonts w:ascii="Times New Roman" w:cs="Times New Roman" w:eastAsia="Times New Roman" w:hAnsi="Times New Roman"/>
          <w:sz w:val="17"/>
          <w:szCs w:val="17"/>
          <w:color w:val="000000"/>
        </w:rPr>
        <w:t xml:space="preserve">, </w:t>
      </w:r>
      <w:hyperlink r:id="rId68">
        <w:r>
          <w:rPr>
            <w:rFonts w:ascii="Times New Roman" w:cs="Times New Roman" w:eastAsia="Times New Roman" w:hAnsi="Times New Roman"/>
            <w:sz w:val="17"/>
            <w:szCs w:val="17"/>
            <w:u w:val="single" w:color="auto"/>
            <w:color w:val="0000EE"/>
          </w:rPr>
          <w:t>October 1,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69">
        <w:r>
          <w:rPr>
            <w:rFonts w:ascii="Times New Roman" w:cs="Times New Roman" w:eastAsia="Times New Roman" w:hAnsi="Times New Roman"/>
            <w:sz w:val="17"/>
            <w:szCs w:val="17"/>
            <w:u w:val="single" w:color="auto"/>
            <w:color w:val="0000EE"/>
          </w:rPr>
          <w:t>November 6, 2025</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70">
        <w:r>
          <w:rPr>
            <w:rFonts w:ascii="Times New Roman" w:cs="Times New Roman" w:eastAsia="Times New Roman" w:hAnsi="Times New Roman"/>
            <w:sz w:val="17"/>
            <w:szCs w:val="17"/>
            <w:u w:val="single" w:color="auto"/>
            <w:color w:val="0000EE"/>
          </w:rPr>
          <w:t>November 7, 2025</w:t>
        </w:r>
      </w:hyperlink>
      <w:r>
        <w:rPr>
          <w:rFonts w:ascii="Times New Roman" w:cs="Times New Roman" w:eastAsia="Times New Roman" w:hAnsi="Times New Roman"/>
          <w:sz w:val="17"/>
          <w:szCs w:val="17"/>
          <w:color w:val="000000"/>
        </w:rPr>
        <w:t>.</w:t>
      </w:r>
    </w:p>
    <w:p>
      <w:pPr>
        <w:spacing w:after="0" w:line="74" w:lineRule="exact"/>
        <w:rPr>
          <w:rFonts w:ascii="Times New Roman" w:cs="Times New Roman" w:eastAsia="Times New Roman" w:hAnsi="Times New Roman"/>
          <w:sz w:val="17"/>
          <w:szCs w:val="17"/>
          <w:color w:val="0000EE"/>
        </w:rPr>
      </w:pPr>
    </w:p>
    <w:p>
      <w:pPr>
        <w:jc w:val="both"/>
        <w:ind w:left="1260" w:right="639" w:hanging="318"/>
        <w:spacing w:after="0" w:line="253" w:lineRule="auto"/>
        <w:tabs>
          <w:tab w:leader="none" w:pos="1260" w:val="left"/>
        </w:tabs>
        <w:numPr>
          <w:ilvl w:val="0"/>
          <w:numId w:val="14"/>
        </w:numPr>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The description of our common stock contained in the registration statement on Form 8-A, as updated by </w:t>
      </w:r>
      <w:hyperlink r:id="rId71">
        <w:r>
          <w:rPr>
            <w:rFonts w:ascii="Times New Roman" w:cs="Times New Roman" w:eastAsia="Times New Roman" w:hAnsi="Times New Roman"/>
            <w:sz w:val="17"/>
            <w:szCs w:val="17"/>
            <w:u w:val="single" w:color="auto"/>
            <w:color w:val="0000EE"/>
          </w:rPr>
          <w:t>Exhibit 4.6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our Annual Report on Form 10-K for the year ended December 31, 2024, filed with the SEC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on </w:t>
      </w:r>
      <w:hyperlink r:id="rId53">
        <w:r>
          <w:rPr>
            <w:rFonts w:ascii="Times New Roman" w:cs="Times New Roman" w:eastAsia="Times New Roman" w:hAnsi="Times New Roman"/>
            <w:sz w:val="17"/>
            <w:szCs w:val="17"/>
            <w:u w:val="single" w:color="auto"/>
            <w:color w:val="0000EE"/>
          </w:rPr>
          <w:t>February 27, 2025</w:t>
        </w:r>
      </w:hyperlink>
      <w:r>
        <w:rPr>
          <w:rFonts w:ascii="Times New Roman" w:cs="Times New Roman" w:eastAsia="Times New Roman" w:hAnsi="Times New Roman"/>
          <w:sz w:val="17"/>
          <w:szCs w:val="17"/>
          <w:color w:val="000000"/>
        </w:rPr>
        <w:t>, and any amendment or report filed with the SEC for the purpose of updating the description.</w:t>
      </w:r>
    </w:p>
    <w:p>
      <w:pPr>
        <w:spacing w:after="0" w:line="75" w:lineRule="exact"/>
        <w:rPr>
          <w:rFonts w:ascii="Times New Roman" w:cs="Times New Roman" w:eastAsia="Times New Roman" w:hAnsi="Times New Roman"/>
          <w:sz w:val="17"/>
          <w:szCs w:val="17"/>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We are also incorporating by reference additional documents that we may file with the SEC under Sections 13(a), 13(c), 14 or 15(d) of the Exchange Act (excluding any information furnished pursuant to Item 2.02 or Item 7.01 on any current report on Form 8-K and any corresponding information furnished under Item 9.01 or included as an exhibit) after the date of this prospectus supplement and prior to the completion of this offering contemplated hereby, but excluding any information furnished to, rather than filed with, the SEC.</w:t>
      </w:r>
    </w:p>
    <w:p>
      <w:pPr>
        <w:spacing w:after="0" w:line="74" w:lineRule="exact"/>
        <w:rPr>
          <w:rFonts w:ascii="Times New Roman" w:cs="Times New Roman" w:eastAsia="Times New Roman" w:hAnsi="Times New Roman"/>
          <w:sz w:val="17"/>
          <w:szCs w:val="17"/>
          <w:color w:val="auto"/>
        </w:rPr>
      </w:pPr>
    </w:p>
    <w:p>
      <w:pPr>
        <w:jc w:val="both"/>
        <w:ind w:left="600" w:right="619" w:firstLine="333"/>
        <w:spacing w:after="0" w:line="282" w:lineRule="auto"/>
        <w:rPr>
          <w:sz w:val="20"/>
          <w:szCs w:val="20"/>
          <w:color w:val="auto"/>
        </w:rPr>
      </w:pPr>
      <w:r>
        <w:rPr>
          <w:rFonts w:ascii="Times New Roman" w:cs="Times New Roman" w:eastAsia="Times New Roman" w:hAnsi="Times New Roman"/>
          <w:sz w:val="16"/>
          <w:szCs w:val="16"/>
          <w:color w:val="auto"/>
        </w:rPr>
        <w:t xml:space="preserve">These documents may also be accessed on our website at </w:t>
      </w:r>
      <w:r>
        <w:rPr>
          <w:rFonts w:ascii="Times New Roman" w:cs="Times New Roman" w:eastAsia="Times New Roman" w:hAnsi="Times New Roman"/>
          <w:sz w:val="16"/>
          <w:szCs w:val="16"/>
          <w:i w:val="1"/>
          <w:iCs w:val="1"/>
          <w:color w:val="auto"/>
        </w:rPr>
        <w:t>www.opendoor.com</w:t>
      </w:r>
      <w:r>
        <w:rPr>
          <w:rFonts w:ascii="Times New Roman" w:cs="Times New Roman" w:eastAsia="Times New Roman" w:hAnsi="Times New Roman"/>
          <w:sz w:val="16"/>
          <w:szCs w:val="16"/>
          <w:color w:val="auto"/>
        </w:rPr>
        <w:t>. Except as otherwise specifically incorporated by reference in this prospectus supplement and the accompanying prospectus, information contained in, or accessible through, our website is not a part of this prospectus supplement or the accompanying prospectus.</w:t>
      </w:r>
    </w:p>
    <w:p>
      <w:pPr>
        <w:spacing w:after="0" w:line="53" w:lineRule="exact"/>
        <w:rPr>
          <w:rFonts w:ascii="Times New Roman" w:cs="Times New Roman" w:eastAsia="Times New Roman" w:hAnsi="Times New Roman"/>
          <w:sz w:val="17"/>
          <w:szCs w:val="17"/>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21"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Opendoor Technologies Inc.</w:t>
      </w:r>
    </w:p>
    <w:p>
      <w:pPr>
        <w:spacing w:after="0" w:line="21"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410 N. Scottsdale Road, Suite 1000</w:t>
      </w:r>
    </w:p>
    <w:p>
      <w:pPr>
        <w:spacing w:after="0" w:line="4"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Tempe, AZ 85288</w:t>
      </w:r>
    </w:p>
    <w:p>
      <w:pPr>
        <w:spacing w:after="0" w:line="4" w:lineRule="exact"/>
        <w:rPr>
          <w:rFonts w:ascii="Times New Roman" w:cs="Times New Roman" w:eastAsia="Times New Roman" w:hAnsi="Times New Roman"/>
          <w:sz w:val="17"/>
          <w:szCs w:val="17"/>
          <w:color w:val="auto"/>
        </w:rPr>
      </w:pPr>
    </w:p>
    <w:p>
      <w:pPr>
        <w:ind w:left="4340" w:right="3999" w:hanging="356"/>
        <w:spacing w:after="0" w:line="541" w:lineRule="auto"/>
        <w:tabs>
          <w:tab w:leader="none" w:pos="437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618-6760 S-37</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-369570</wp:posOffset>
            </wp:positionH>
            <wp:positionV relativeFrom="paragraph">
              <wp:posOffset>-42545</wp:posOffset>
            </wp:positionV>
            <wp:extent cx="646874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1" w:name="page42"/>
    <w:bookmarkEnd w:id="41"/>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166370</wp:posOffset>
            </wp:positionV>
            <wp:extent cx="1878965" cy="420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18789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OPENDOOR TECHNOLOGIES INC.</w:t>
      </w:r>
    </w:p>
    <w:p>
      <w:pPr>
        <w:spacing w:after="0" w:line="2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4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3"/>
          <w:szCs w:val="23"/>
          <w:b w:val="1"/>
          <w:bCs w:val="1"/>
          <w:color w:val="auto"/>
        </w:rPr>
        <w:t>Preferred Stock</w:t>
      </w:r>
    </w:p>
    <w:p>
      <w:pPr>
        <w:spacing w:after="0" w:line="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3"/>
          <w:szCs w:val="23"/>
          <w:b w:val="1"/>
          <w:bCs w:val="1"/>
          <w:color w:val="auto"/>
        </w:rPr>
        <w:t>Debt Securities</w:t>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3"/>
          <w:szCs w:val="23"/>
          <w:b w:val="1"/>
          <w:bCs w:val="1"/>
          <w:color w:val="auto"/>
        </w:rPr>
        <w:t>Warrants</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3"/>
          <w:szCs w:val="23"/>
          <w:b w:val="1"/>
          <w:bCs w:val="1"/>
          <w:color w:val="auto"/>
        </w:rPr>
        <w:t>Units</w:t>
      </w:r>
    </w:p>
    <w:p>
      <w:pPr>
        <w:spacing w:after="0" w:line="18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We may offer and sell the securities identified above from time to time in one or more offerings.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w:t>
      </w:r>
    </w:p>
    <w:p>
      <w:pPr>
        <w:spacing w:after="0" w:line="88" w:lineRule="exact"/>
        <w:rPr>
          <w:sz w:val="20"/>
          <w:szCs w:val="20"/>
          <w:color w:val="auto"/>
        </w:rPr>
      </w:pPr>
    </w:p>
    <w:p>
      <w:pPr>
        <w:jc w:val="both"/>
        <w:ind w:left="700" w:right="719" w:firstLine="333"/>
        <w:spacing w:after="0" w:line="274" w:lineRule="auto"/>
        <w:rPr>
          <w:sz w:val="20"/>
          <w:szCs w:val="20"/>
          <w:color w:val="auto"/>
        </w:rPr>
      </w:pPr>
      <w:r>
        <w:rPr>
          <w:rFonts w:ascii="Times New Roman" w:cs="Times New Roman" w:eastAsia="Times New Roman" w:hAnsi="Times New Roman"/>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59" w:lineRule="exact"/>
        <w:rPr>
          <w:sz w:val="20"/>
          <w:szCs w:val="20"/>
          <w:color w:val="auto"/>
        </w:rPr>
      </w:pPr>
    </w:p>
    <w:p>
      <w:pPr>
        <w:jc w:val="both"/>
        <w:ind w:left="700" w:right="719" w:firstLine="333"/>
        <w:spacing w:after="0" w:line="248" w:lineRule="auto"/>
        <w:rPr>
          <w:sz w:val="20"/>
          <w:szCs w:val="20"/>
          <w:color w:val="auto"/>
        </w:rPr>
      </w:pPr>
      <w:r>
        <w:rPr>
          <w:rFonts w:ascii="Times New Roman" w:cs="Times New Roman" w:eastAsia="Times New Roman" w:hAnsi="Times New Roman"/>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78" w:lineRule="exact"/>
        <w:rPr>
          <w:sz w:val="20"/>
          <w:szCs w:val="20"/>
          <w:color w:val="auto"/>
        </w:rPr>
      </w:pPr>
    </w:p>
    <w:p>
      <w:pPr>
        <w:jc w:val="both"/>
        <w:ind w:left="700" w:right="719" w:firstLine="333"/>
        <w:spacing w:after="0" w:line="255"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auto"/>
        </w:rPr>
        <w:t>RISK FACTORS</w:t>
      </w:r>
      <w:r>
        <w:rPr>
          <w:rFonts w:ascii="Times New Roman" w:cs="Times New Roman" w:eastAsia="Times New Roman" w:hAnsi="Times New Roman"/>
          <w:sz w:val="17"/>
          <w:szCs w:val="17"/>
          <w:b w:val="1"/>
          <w:bCs w:val="1"/>
          <w:color w:val="auto"/>
        </w:rPr>
        <w:t xml:space="preserve">” SECTION ON PAGE </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color w:val="auto"/>
        </w:rPr>
        <w:t xml:space="preserve"> OF THIS PROSPECTUS AND ANY SIMILAR SECTION CONTAINED IN THE APPLICABLE PROSPECTUS SUPPLEMENT CONCERNING FACTORS YOU SHOULD CONSIDER BEFORE INVESTING IN OUR SECURITIES.</w:t>
      </w:r>
    </w:p>
    <w:p>
      <w:pPr>
        <w:spacing w:after="0" w:line="72" w:lineRule="exact"/>
        <w:rPr>
          <w:sz w:val="20"/>
          <w:szCs w:val="20"/>
          <w:color w:val="auto"/>
        </w:rPr>
      </w:pPr>
    </w:p>
    <w:p>
      <w:pPr>
        <w:jc w:val="both"/>
        <w:ind w:left="700" w:right="739" w:firstLine="333"/>
        <w:spacing w:after="0" w:line="302"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“OPEN.” On May 1, 2024, the last reported sale price of our common stock on the Nasdaq Global Select Market was $2.00 per share.</w:t>
      </w:r>
    </w:p>
    <w:p>
      <w:pPr>
        <w:spacing w:after="0" w:line="32" w:lineRule="exact"/>
        <w:rPr>
          <w:sz w:val="20"/>
          <w:szCs w:val="20"/>
          <w:color w:val="auto"/>
        </w:rPr>
      </w:pPr>
    </w:p>
    <w:p>
      <w:pPr>
        <w:jc w:val="both"/>
        <w:ind w:left="700" w:right="719" w:firstLine="333"/>
        <w:spacing w:after="0" w:line="26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May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118745</wp:posOffset>
            </wp:positionV>
            <wp:extent cx="646874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2" w:name="page43"/>
    <w:bookmarkEnd w:id="42"/>
    <w:tbl>
      <w:tblPr>
        <w:tblLayout w:type="fixed"/>
        <w:tblInd w:w="600" w:type="dxa"/>
        <w:tblCellMar>
          <w:top w:w="0" w:type="dxa"/>
          <w:left w:w="0" w:type="dxa"/>
          <w:bottom w:w="0" w:type="dxa"/>
          <w:right w:w="0" w:type="dxa"/>
        </w:tblCellMar>
      </w:tblPr>
      <w:tr>
        <w:trPr>
          <w:trHeight w:val="149"/>
        </w:trPr>
        <w:tc>
          <w:tcPr>
            <w:tcW w:w="7200" w:type="dxa"/>
            <w:vAlign w:val="bottom"/>
            <w:gridSpan w:val="16"/>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w w:val="96"/>
              </w:rPr>
              <w:t>ABOUT THIS PROSPECTUS</w:t>
            </w:r>
          </w:p>
        </w:tc>
        <w:tc>
          <w:tcPr>
            <w:tcW w:w="5120" w:type="dxa"/>
            <w:vAlign w:val="bottom"/>
            <w:gridSpan w:val="6"/>
            <w:shd w:val="clear" w:color="auto" w:fill="CCEEFF"/>
          </w:tcPr>
          <w:p>
            <w:pPr>
              <w:spacing w:after="0"/>
              <w:rPr>
                <w:sz w:val="22"/>
                <w:szCs w:val="22"/>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EE"/>
              </w:rPr>
              <w:t>1</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15"/>
          </w:tcPr>
          <w:p>
            <w:pPr>
              <w:spacing w:after="0" w:line="175"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600" w:type="dxa"/>
            <w:vAlign w:val="bottom"/>
            <w:gridSpan w:val="4"/>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2</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20" w:type="dxa"/>
            <w:vAlign w:val="bottom"/>
            <w:gridSpan w:val="14"/>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WHERE YOU CAN FIND MORE INFORMATION; INCORPORATION BY REFERENCE</w:t>
            </w:r>
          </w:p>
        </w:tc>
        <w:tc>
          <w:tcPr>
            <w:tcW w:w="96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3</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2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20" w:type="dxa"/>
            <w:vAlign w:val="bottom"/>
            <w:gridSpan w:val="14"/>
          </w:tcPr>
          <w:p>
            <w:pPr>
              <w:spacing w:after="0" w:line="175" w:lineRule="exact"/>
              <w:rPr>
                <w:sz w:val="20"/>
                <w:szCs w:val="20"/>
                <w:color w:val="auto"/>
              </w:rPr>
            </w:pPr>
            <w:r>
              <w:rPr>
                <w:rFonts w:ascii="Times New Roman" w:cs="Times New Roman" w:eastAsia="Times New Roman" w:hAnsi="Times New Roman"/>
                <w:sz w:val="17"/>
                <w:szCs w:val="17"/>
                <w:color w:val="0000EE"/>
              </w:rPr>
              <w:t>THE COMPANY</w:t>
            </w:r>
          </w:p>
        </w:tc>
        <w:tc>
          <w:tcPr>
            <w:tcW w:w="960" w:type="dxa"/>
            <w:vAlign w:val="bottom"/>
          </w:tcPr>
          <w:p>
            <w:pPr>
              <w:spacing w:after="0"/>
              <w:rPr>
                <w:sz w:val="15"/>
                <w:szCs w:val="15"/>
                <w:color w:val="auto"/>
              </w:rPr>
            </w:pPr>
          </w:p>
        </w:tc>
        <w:tc>
          <w:tcPr>
            <w:tcW w:w="600" w:type="dxa"/>
            <w:vAlign w:val="bottom"/>
            <w:gridSpan w:val="4"/>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4</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15"/>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gridSpan w:val="4"/>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5</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15"/>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600" w:type="dxa"/>
            <w:vAlign w:val="bottom"/>
            <w:gridSpan w:val="4"/>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6</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4540" w:type="dxa"/>
            <w:vAlign w:val="bottom"/>
            <w:gridSpan w:val="5"/>
            <w:shd w:val="clear" w:color="auto" w:fill="CCEEFF"/>
          </w:tcPr>
          <w:p>
            <w:pPr>
              <w:spacing w:after="0"/>
              <w:rPr>
                <w:sz w:val="15"/>
                <w:szCs w:val="15"/>
                <w:color w:val="auto"/>
              </w:rPr>
            </w:pPr>
          </w:p>
        </w:tc>
        <w:tc>
          <w:tcPr>
            <w:tcW w:w="600" w:type="dxa"/>
            <w:vAlign w:val="bottom"/>
            <w:gridSpan w:val="4"/>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rPr>
              <w:t>7</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15"/>
          </w:tcPr>
          <w:p>
            <w:pPr>
              <w:spacing w:after="0" w:line="175"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600" w:type="dxa"/>
            <w:vAlign w:val="bottom"/>
            <w:gridSpan w:val="4"/>
          </w:tcPr>
          <w:p>
            <w:pPr>
              <w:jc w:val="right"/>
              <w:spacing w:after="0" w:line="175" w:lineRule="exact"/>
              <w:rPr>
                <w:sz w:val="20"/>
                <w:szCs w:val="20"/>
                <w:color w:val="auto"/>
              </w:rPr>
            </w:pPr>
            <w:r>
              <w:rPr>
                <w:rFonts w:ascii="Times New Roman" w:cs="Times New Roman" w:eastAsia="Times New Roman" w:hAnsi="Times New Roman"/>
                <w:sz w:val="17"/>
                <w:szCs w:val="17"/>
                <w:color w:val="0000EE"/>
              </w:rPr>
              <w:t>10</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180" w:type="dxa"/>
            <w:vAlign w:val="bottom"/>
            <w:gridSpan w:val="15"/>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DESCRIPTION OF OTHER SECURITIES</w:t>
            </w:r>
          </w:p>
        </w:tc>
        <w:tc>
          <w:tcPr>
            <w:tcW w:w="600" w:type="dxa"/>
            <w:vAlign w:val="bottom"/>
            <w:gridSpan w:val="4"/>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17</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2900" w:type="dxa"/>
            <w:vAlign w:val="bottom"/>
            <w:tcBorders>
              <w:top w:val="single" w:sz="8" w:color="0000EE"/>
            </w:tcBorders>
            <w:gridSpan w:val="12"/>
          </w:tcPr>
          <w:p>
            <w:pPr>
              <w:spacing w:after="0" w:line="175" w:lineRule="exact"/>
              <w:rPr>
                <w:sz w:val="20"/>
                <w:szCs w:val="20"/>
                <w:color w:val="auto"/>
              </w:rPr>
            </w:pPr>
            <w:r>
              <w:rPr>
                <w:rFonts w:ascii="Times New Roman" w:cs="Times New Roman" w:eastAsia="Times New Roman" w:hAnsi="Times New Roman"/>
                <w:sz w:val="17"/>
                <w:szCs w:val="17"/>
                <w:color w:val="0000EE"/>
              </w:rPr>
              <w:t>GLOBAL SECURITIES</w:t>
            </w:r>
          </w:p>
        </w:tc>
        <w:tc>
          <w:tcPr>
            <w:tcW w:w="4280" w:type="dxa"/>
            <w:vAlign w:val="bottom"/>
            <w:tcBorders>
              <w:top w:val="single" w:sz="8" w:color="CCEEFF"/>
            </w:tcBorders>
            <w:gridSpan w:val="3"/>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18</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180" w:type="dxa"/>
            <w:vAlign w:val="bottom"/>
            <w:gridSpan w:val="15"/>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PLAN OF DISTRIBUTION</w:t>
            </w:r>
          </w:p>
        </w:tc>
        <w:tc>
          <w:tcPr>
            <w:tcW w:w="600" w:type="dxa"/>
            <w:vAlign w:val="bottom"/>
            <w:gridSpan w:val="4"/>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22</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1880" w:type="dxa"/>
            <w:vAlign w:val="bottom"/>
            <w:tcBorders>
              <w:top w:val="single" w:sz="8" w:color="0000EE"/>
            </w:tcBorders>
            <w:gridSpan w:val="8"/>
          </w:tcPr>
          <w:p>
            <w:pPr>
              <w:spacing w:after="0" w:line="175" w:lineRule="exact"/>
              <w:rPr>
                <w:sz w:val="20"/>
                <w:szCs w:val="20"/>
                <w:color w:val="auto"/>
              </w:rPr>
            </w:pPr>
            <w:r>
              <w:rPr>
                <w:rFonts w:ascii="Times New Roman" w:cs="Times New Roman" w:eastAsia="Times New Roman" w:hAnsi="Times New Roman"/>
                <w:sz w:val="17"/>
                <w:szCs w:val="17"/>
                <w:color w:val="0000EE"/>
              </w:rPr>
              <w:t>LEGAL MATTERS</w:t>
            </w:r>
          </w:p>
        </w:tc>
        <w:tc>
          <w:tcPr>
            <w:tcW w:w="5300" w:type="dxa"/>
            <w:vAlign w:val="bottom"/>
            <w:tcBorders>
              <w:top w:val="single" w:sz="8" w:color="CCEEFF"/>
            </w:tcBorders>
            <w:gridSpan w:val="7"/>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23</w:t>
            </w:r>
          </w:p>
        </w:tc>
        <w:tc>
          <w:tcPr>
            <w:tcW w:w="0" w:type="dxa"/>
            <w:vAlign w:val="bottom"/>
          </w:tcPr>
          <w:p>
            <w:pPr>
              <w:spacing w:after="0"/>
              <w:rPr>
                <w:sz w:val="1"/>
                <w:szCs w:val="1"/>
                <w:color w:val="auto"/>
              </w:rPr>
            </w:pPr>
          </w:p>
        </w:tc>
      </w:tr>
      <w:tr>
        <w:trPr>
          <w:trHeight w:val="30"/>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180" w:type="dxa"/>
            <w:vAlign w:val="bottom"/>
            <w:gridSpan w:val="15"/>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EXPERTS</w:t>
            </w:r>
          </w:p>
        </w:tc>
        <w:tc>
          <w:tcPr>
            <w:tcW w:w="600" w:type="dxa"/>
            <w:vAlign w:val="bottom"/>
            <w:gridSpan w:val="4"/>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23</w:t>
            </w:r>
          </w:p>
        </w:tc>
        <w:tc>
          <w:tcPr>
            <w:tcW w:w="0" w:type="dxa"/>
            <w:vAlign w:val="bottom"/>
          </w:tcPr>
          <w:p>
            <w:pPr>
              <w:spacing w:after="0"/>
              <w:rPr>
                <w:sz w:val="1"/>
                <w:szCs w:val="1"/>
                <w:color w:val="auto"/>
              </w:rPr>
            </w:pPr>
          </w:p>
        </w:tc>
      </w:tr>
      <w:tr>
        <w:trPr>
          <w:trHeight w:val="67"/>
        </w:trPr>
        <w:tc>
          <w:tcPr>
            <w:tcW w:w="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08" w:lineRule="exact"/>
        <w:rPr>
          <w:sz w:val="20"/>
          <w:szCs w:val="20"/>
          <w:color w:val="auto"/>
        </w:rPr>
      </w:pPr>
    </w:p>
    <w:p>
      <w:pPr>
        <w:jc w:val="both"/>
        <w:ind w:left="600" w:right="619" w:firstLine="333"/>
        <w:spacing w:after="0" w:line="246"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U.S. Securities and Exchange Commission (the “SEC”) as a “well-known seasoned issuer” (as such term is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Any such prospectus supplement or free writing prospectus may also add, update or change information contained or incorporated by reference in this prospectus with respect to that offering. If there is any inconsistency between the information in this prospectus and any applicable prospectus supplement or free writing prospectus, you should rely on the prospectus supplement or free writing prospectus, as applicable, and if any statement in one of these documents is inconsistent with a statement in another document having a later date —for example, a document incorporated by reference in this prospectus or any prospectus supplement—the statement in the document having the later date modifies or supersedes the earlier statement. Before purchasing any securities, you should carefully read both this prospectus and the applicable prospectus supplement or free writing prospectuses, together with the additional information described under the section titled “Where You Can Find More Information; Incorporation by Reference” in this prospectus.</w:t>
      </w:r>
    </w:p>
    <w:p>
      <w:pPr>
        <w:spacing w:after="0" w:line="89" w:lineRule="exact"/>
        <w:rPr>
          <w:sz w:val="20"/>
          <w:szCs w:val="20"/>
          <w:color w:val="auto"/>
        </w:rPr>
      </w:pPr>
    </w:p>
    <w:p>
      <w:pPr>
        <w:jc w:val="both"/>
        <w:ind w:left="600" w:right="619" w:firstLine="333"/>
        <w:spacing w:after="0" w:line="262" w:lineRule="auto"/>
        <w:rPr>
          <w:sz w:val="20"/>
          <w:szCs w:val="20"/>
          <w:color w:val="auto"/>
        </w:rPr>
      </w:pPr>
      <w:r>
        <w:rPr>
          <w:rFonts w:ascii="Times New Roman" w:cs="Times New Roman" w:eastAsia="Times New Roman" w:hAnsi="Times New Roman"/>
          <w:sz w:val="16"/>
          <w:szCs w:val="16"/>
          <w:color w:val="auto"/>
        </w:rPr>
        <w:t>We have not authorized anyone to provide you with any information or to make any representations other than those contained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any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section titled “Risk Factors” contained in this prospectus, any applicable prospectus supplement and any applicable free writing prospectus, and under similar sections in other documents that are incorporated by reference into this prospectus. Accordingly, investors should not place undue reliance on this information.</w:t>
      </w:r>
    </w:p>
    <w:p>
      <w:pPr>
        <w:spacing w:after="0" w:line="7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When we refer to “Opendoor,” “we,” “our,” “us” and the “Company” in this prospectus, we mean Opendoor Technologies Inc. and its consolidated subsidiaries, unless otherwise specified. When we refer to “you,” we mean the potential holders of the applicable series of securities.</w:t>
      </w:r>
    </w:p>
    <w:p>
      <w:pPr>
        <w:spacing w:after="0" w:line="71"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We have proprietary rights to trademarks, trade names and service marks appearing in this prospectus that are important to our business. Solely for convenience, the trademarks, trade names and service marks may appear in this prospectus without the ®, TM and SM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prospectus are the property of their respective owners.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This prospectus contains, and the information incorporated by reference herein and any applicable prospectus supplement may contain, forward-looking statements within the meaning of Section 27A of the Securities Act, and Section 21E of the Securities Exchange Act of 1934, as amended (the “Exchange Act”). All statements other than statements of historical facts contained in this prospectus are forward-looking statements. When used in this prospectus,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w:t>
      </w:r>
    </w:p>
    <w:p>
      <w:pPr>
        <w:spacing w:after="0" w:line="80"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prospectus and current expectations, forecasts and assumptions, which involve a number of judgments, risks and uncertainties.</w:t>
      </w:r>
    </w:p>
    <w:p>
      <w:pPr>
        <w:spacing w:after="0" w:line="60"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7"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As a result of a number of known and unknown risks and uncertainties, including, without limitation, those described in the sections entitled “The Company,” “Plan of Distribution” and “Risk Factors” in this prospectus and the risks discussed in our other SEC filings, our actual results or performance may be materially different from those expressed or implied by these forward-looking statements. You should not place undue reliance on these forward-looking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 INCORPORATION BY REFERENCE</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69" w:lineRule="exact"/>
        <w:rPr>
          <w:sz w:val="20"/>
          <w:szCs w:val="20"/>
          <w:color w:val="auto"/>
        </w:rPr>
      </w:pPr>
    </w:p>
    <w:p>
      <w:pPr>
        <w:jc w:val="both"/>
        <w:ind w:left="600" w:right="619" w:firstLine="333"/>
        <w:spacing w:after="0" w:line="273" w:lineRule="auto"/>
        <w:rPr>
          <w:sz w:val="20"/>
          <w:szCs w:val="20"/>
          <w:color w:val="auto"/>
        </w:rPr>
      </w:pPr>
      <w:r>
        <w:rPr>
          <w:rFonts w:ascii="Times New Roman" w:cs="Times New Roman" w:eastAsia="Times New Roman" w:hAnsi="Times New Roman"/>
          <w:sz w:val="17"/>
          <w:szCs w:val="17"/>
          <w:color w:val="auto"/>
        </w:rPr>
        <w:t xml:space="preserve">Our website address is </w:t>
      </w:r>
      <w:r>
        <w:rPr>
          <w:rFonts w:ascii="Times New Roman" w:cs="Times New Roman" w:eastAsia="Times New Roman" w:hAnsi="Times New Roman"/>
          <w:sz w:val="17"/>
          <w:szCs w:val="17"/>
          <w:i w:val="1"/>
          <w:iCs w:val="1"/>
          <w:color w:val="auto"/>
        </w:rPr>
        <w:t>www.opendoor.com</w:t>
      </w:r>
      <w:r>
        <w:rPr>
          <w:rFonts w:ascii="Times New Roman" w:cs="Times New Roman" w:eastAsia="Times New Roman" w:hAnsi="Times New Roman"/>
          <w:sz w:val="17"/>
          <w:szCs w:val="17"/>
          <w:color w:val="auto"/>
        </w:rPr>
        <w:t>. The information on our website, however, is not, and should not be deemed to be, a part of this prospectus.</w:t>
      </w:r>
    </w:p>
    <w:p>
      <w:pPr>
        <w:spacing w:after="0" w:line="57"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and does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0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7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incorporate by reference the documents set forth below that have previously been filed with the SEC:</w:t>
      </w:r>
    </w:p>
    <w:p>
      <w:pPr>
        <w:spacing w:after="0" w:line="60" w:lineRule="exact"/>
        <w:rPr>
          <w:sz w:val="20"/>
          <w:szCs w:val="20"/>
          <w:color w:val="auto"/>
        </w:rPr>
      </w:pPr>
    </w:p>
    <w:p>
      <w:pPr>
        <w:ind w:left="1260" w:right="619" w:hanging="318"/>
        <w:spacing w:after="0" w:line="270"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78">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2023, filed with the SEC on February 15, 2024.</w:t>
      </w:r>
    </w:p>
    <w:p>
      <w:pPr>
        <w:spacing w:after="0" w:line="59" w:lineRule="exact"/>
        <w:rPr>
          <w:rFonts w:ascii="Times New Roman" w:cs="Times New Roman" w:eastAsia="Times New Roman" w:hAnsi="Times New Roman"/>
          <w:sz w:val="17"/>
          <w:szCs w:val="17"/>
          <w:color w:val="auto"/>
        </w:rPr>
      </w:pPr>
    </w:p>
    <w:p>
      <w:pPr>
        <w:jc w:val="both"/>
        <w:ind w:left="1260" w:right="639" w:hanging="318"/>
        <w:spacing w:after="0" w:line="257"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filed with the SEC on </w:t>
      </w:r>
      <w:hyperlink r:id="rId79">
        <w:r>
          <w:rPr>
            <w:rFonts w:ascii="Times New Roman" w:cs="Times New Roman" w:eastAsia="Times New Roman" w:hAnsi="Times New Roman"/>
            <w:sz w:val="17"/>
            <w:szCs w:val="17"/>
            <w:u w:val="single" w:color="auto"/>
            <w:color w:val="0000EE"/>
          </w:rPr>
          <w:t>April 24, 2024</w:t>
        </w:r>
      </w:hyperlink>
      <w:r>
        <w:rPr>
          <w:rFonts w:ascii="Times New Roman" w:cs="Times New Roman" w:eastAsia="Times New Roman" w:hAnsi="Times New Roman"/>
          <w:sz w:val="17"/>
          <w:szCs w:val="17"/>
          <w:color w:val="auto"/>
        </w:rPr>
        <w:t xml:space="preserve">, as supplemented by the proxy supplement filed on </w:t>
      </w:r>
      <w:hyperlink r:id="rId80">
        <w:r>
          <w:rPr>
            <w:rFonts w:ascii="Times New Roman" w:cs="Times New Roman" w:eastAsia="Times New Roman" w:hAnsi="Times New Roman"/>
            <w:sz w:val="17"/>
            <w:szCs w:val="17"/>
            <w:u w:val="single" w:color="auto"/>
            <w:color w:val="0000EE"/>
          </w:rPr>
          <w:t>May 2, 2024.</w:t>
        </w:r>
      </w:hyperlink>
    </w:p>
    <w:p>
      <w:pPr>
        <w:spacing w:after="0" w:line="71"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16"/>
        </w:numPr>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auto"/>
          </w:rPr>
          <w:t xml:space="preserve">Our Quarterly Report on Form 10-Q for the quarter ended March 31, 2024, filed with the SEC on </w:t>
        </w:r>
        <w:r>
          <w:rPr>
            <w:rFonts w:ascii="Times New Roman" w:cs="Times New Roman" w:eastAsia="Times New Roman" w:hAnsi="Times New Roman"/>
            <w:sz w:val="17"/>
            <w:szCs w:val="17"/>
            <w:u w:val="single" w:color="auto"/>
            <w:color w:val="0000EE"/>
          </w:rPr>
          <w:t>May 2,</w:t>
        </w:r>
      </w:hyperlink>
      <w:r>
        <w:rPr>
          <w:rFonts w:ascii="Times New Roman" w:cs="Times New Roman" w:eastAsia="Times New Roman" w:hAnsi="Times New Roman"/>
          <w:sz w:val="17"/>
          <w:szCs w:val="17"/>
          <w:color w:val="auto"/>
        </w:rPr>
        <w:t xml:space="preserve"> </w:t>
      </w:r>
      <w:hyperlink r:id="rId81">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00"/>
          </w:rPr>
          <w:t>.</w:t>
        </w:r>
      </w:hyperlink>
    </w:p>
    <w:p>
      <w:pPr>
        <w:spacing w:after="0" w:line="59" w:lineRule="exact"/>
        <w:rPr>
          <w:rFonts w:ascii="Times New Roman" w:cs="Times New Roman" w:eastAsia="Times New Roman" w:hAnsi="Times New Roman"/>
          <w:sz w:val="17"/>
          <w:szCs w:val="17"/>
          <w:color w:val="0000EE"/>
        </w:rPr>
      </w:pPr>
    </w:p>
    <w:p>
      <w:pPr>
        <w:ind w:left="1260" w:hanging="318"/>
        <w:spacing w:after="0"/>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filed with the SEC on </w:t>
      </w:r>
      <w:hyperlink r:id="rId82">
        <w:r>
          <w:rPr>
            <w:rFonts w:ascii="Times New Roman" w:cs="Times New Roman" w:eastAsia="Times New Roman" w:hAnsi="Times New Roman"/>
            <w:sz w:val="17"/>
            <w:szCs w:val="17"/>
            <w:u w:val="single" w:color="auto"/>
            <w:color w:val="0000EE"/>
          </w:rPr>
          <w:t>May 2, 2024</w:t>
        </w:r>
      </w:hyperlink>
      <w:r>
        <w:rPr>
          <w:rFonts w:ascii="Times New Roman" w:cs="Times New Roman" w:eastAsia="Times New Roman" w:hAnsi="Times New Roman"/>
          <w:sz w:val="17"/>
          <w:szCs w:val="17"/>
          <w:color w:val="auto"/>
        </w:rPr>
        <w:t>.</w:t>
      </w:r>
    </w:p>
    <w:p>
      <w:pPr>
        <w:spacing w:after="0" w:line="104" w:lineRule="exact"/>
        <w:rPr>
          <w:rFonts w:ascii="Times New Roman" w:cs="Times New Roman" w:eastAsia="Times New Roman" w:hAnsi="Times New Roman"/>
          <w:sz w:val="17"/>
          <w:szCs w:val="17"/>
          <w:color w:val="auto"/>
        </w:rPr>
      </w:pPr>
    </w:p>
    <w:p>
      <w:pPr>
        <w:jc w:val="both"/>
        <w:ind w:left="1260" w:right="639" w:hanging="318"/>
        <w:spacing w:after="0" w:line="257"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w:t>
      </w:r>
      <w:hyperlink r:id="rId83">
        <w:r>
          <w:rPr>
            <w:rFonts w:ascii="Times New Roman" w:cs="Times New Roman" w:eastAsia="Times New Roman" w:hAnsi="Times New Roman"/>
            <w:sz w:val="17"/>
            <w:szCs w:val="17"/>
            <w:u w:val="single" w:color="auto"/>
            <w:color w:val="0000EE"/>
          </w:rPr>
          <w:t>Exhibit 4.3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of our Annual Report on Form 10-K for the year ended December 31, 2020, filed with the SEC on March 4, 2021, and any amendment or report filed with the SEC for the purpose of updating the description.</w:t>
      </w:r>
    </w:p>
    <w:p>
      <w:pPr>
        <w:spacing w:after="0" w:line="71" w:lineRule="exact"/>
        <w:rPr>
          <w:rFonts w:ascii="Times New Roman" w:cs="Times New Roman" w:eastAsia="Times New Roman" w:hAnsi="Times New Roman"/>
          <w:sz w:val="17"/>
          <w:szCs w:val="17"/>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7"/>
          <w:szCs w:val="17"/>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93"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5"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410 N. Scottsdale Road, Suite 1600</w:t>
      </w:r>
    </w:p>
    <w:p>
      <w:pPr>
        <w:spacing w:after="0" w:line="4"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Tempe, AZ 85288</w:t>
      </w:r>
    </w:p>
    <w:p>
      <w:pPr>
        <w:spacing w:after="0" w:line="4"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(480) 618-6760</w:t>
      </w:r>
    </w:p>
    <w:p>
      <w:pPr>
        <w:spacing w:after="0" w:line="88" w:lineRule="exact"/>
        <w:rPr>
          <w:rFonts w:ascii="Times New Roman" w:cs="Times New Roman" w:eastAsia="Times New Roman" w:hAnsi="Times New Roman"/>
          <w:sz w:val="17"/>
          <w:szCs w:val="17"/>
          <w:color w:val="auto"/>
        </w:rPr>
      </w:pPr>
    </w:p>
    <w:p>
      <w:pPr>
        <w:jc w:val="both"/>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or any accompanying prospectus supplement.</w:t>
      </w:r>
    </w:p>
    <w:p>
      <w:pPr>
        <w:spacing w:after="0" w:line="159"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We are the largest digital platform for residential real estate transactions. In 2014, we founded Opendoor to reinvent one of life’s most important transactions and make it possible to buy, sell, and move at the tap of a button. By leveraging software, data science, product design and operations, we are building a technology platform for residential real estate that offers buyers and sellers a digital, on-demand experience that we believe will be the future of how people buy or sell a home.</w:t>
      </w:r>
    </w:p>
    <w:p>
      <w:pPr>
        <w:spacing w:after="0" w:line="76"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We believe we are still in the early stages of the digital transformation of real estate. We are dedicated to building a digital, one-stop shop for buyers and sellers of residential real estate, where more consumers will be able to transact directly with simplicity, certainty and control over the entire process.</w:t>
      </w:r>
    </w:p>
    <w:p>
      <w:pPr>
        <w:spacing w:after="0" w:line="71"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Our principal executive offices are located at 410 N. Scottsdale Road, Suite 1600, Tempe, AZ 85288, and our telephone number is (480) 618-6760.</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jc w:val="both"/>
        <w:ind w:left="600" w:right="619" w:firstLine="333"/>
        <w:spacing w:after="0" w:line="263" w:lineRule="auto"/>
        <w:rPr>
          <w:sz w:val="20"/>
          <w:szCs w:val="20"/>
          <w:color w:val="auto"/>
        </w:rPr>
      </w:pPr>
      <w:r>
        <w:rPr>
          <w:rFonts w:ascii="Times New Roman" w:cs="Times New Roman" w:eastAsia="Times New Roman" w:hAnsi="Times New Roman"/>
          <w:sz w:val="16"/>
          <w:szCs w:val="16"/>
          <w:color w:val="auto"/>
        </w:rPr>
        <w:t>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8" w:lineRule="exact"/>
        <w:rPr>
          <w:sz w:val="20"/>
          <w:szCs w:val="20"/>
          <w:color w:val="auto"/>
        </w:rPr>
      </w:pPr>
    </w:p>
    <w:p>
      <w:pPr>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our amended and restated bylaws and our amended and restated registration rights agreement to which we and certain of our stockholders are parties, each of which are incorporated by reference as exhibits to the registration statement of which this prospectus forms a part, and by applicable law. We encourage you to read our certificate of incorporation, our amended and restated bylaws and our amended and restated registration rights agreement, each of which has been publicly filed with the SEC, and the applicable provisions of Delaware law, for more information. See “Where You Can Find More Information; Incorporation by Reference.”</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Our authorized capital stock consists of:</w:t>
      </w:r>
    </w:p>
    <w:p>
      <w:pPr>
        <w:spacing w:after="0" w:line="104" w:lineRule="exact"/>
        <w:rPr>
          <w:sz w:val="20"/>
          <w:szCs w:val="20"/>
          <w:color w:val="auto"/>
        </w:rPr>
      </w:pPr>
    </w:p>
    <w:p>
      <w:pPr>
        <w:ind w:left="1260" w:hanging="318"/>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3,000,000,000 shares of common stock, $0.0001 par value; and</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100,000,000 shares of preferred stock, $0.0001 par value.</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0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8" w:lineRule="exact"/>
        <w:rPr>
          <w:sz w:val="20"/>
          <w:szCs w:val="20"/>
          <w:color w:val="auto"/>
        </w:rPr>
      </w:pPr>
    </w:p>
    <w:p>
      <w:pPr>
        <w:jc w:val="both"/>
        <w:ind w:left="600" w:right="619" w:firstLine="333"/>
        <w:spacing w:after="0" w:line="281" w:lineRule="auto"/>
        <w:rPr>
          <w:sz w:val="20"/>
          <w:szCs w:val="20"/>
          <w:color w:val="auto"/>
        </w:rPr>
      </w:pPr>
      <w:r>
        <w:rPr>
          <w:rFonts w:ascii="Times New Roman" w:cs="Times New Roman" w:eastAsia="Times New Roman" w:hAnsi="Times New Roman"/>
          <w:sz w:val="16"/>
          <w:szCs w:val="16"/>
          <w:color w:val="auto"/>
        </w:rPr>
        <w:t>Our common stock is not entitled to preemptive or other similar subscription rights to purchase any of the Company’s securities. Our common stock is neither convertible nor redeemable and has no sinking fund provisions. Unless our board of directors determines otherwise, we will issue all of our capital stock in uncertificated form.</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Each holder of our common stock is entitled to one vote per share on each matter submitted to a vote of stockholders, as provided by our certificate of incorporation. Our amended and restated bylaws provide that the holders of a majority of the capital stock issued and outstanding and entitled to vote, present in person, or by remote communication, if applicable, or represented by proxy, will constitute a quorum at all meetings of the stockholders for the transaction of business. When a quorum is present, the affirmative vote of a majority in voting power of the votes cast is required to take action, unless otherwise specified by law, the amended and restated bylaws or the certificate of incorporation, and except for the election of directors, which is determined by a plurality of the votes cast. There are no cumulative voting rights.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Dividend Rights</w:t>
      </w:r>
    </w:p>
    <w:p>
      <w:pPr>
        <w:spacing w:after="0" w:line="108" w:lineRule="exact"/>
        <w:rPr>
          <w:sz w:val="20"/>
          <w:szCs w:val="20"/>
          <w:color w:val="auto"/>
        </w:rPr>
      </w:pPr>
    </w:p>
    <w:p>
      <w:pPr>
        <w:jc w:val="both"/>
        <w:ind w:left="600" w:right="639" w:firstLine="333"/>
        <w:spacing w:after="0" w:line="253" w:lineRule="auto"/>
        <w:rPr>
          <w:sz w:val="20"/>
          <w:szCs w:val="20"/>
          <w:color w:val="auto"/>
        </w:rPr>
      </w:pPr>
      <w:r>
        <w:rPr>
          <w:rFonts w:ascii="Times New Roman" w:cs="Times New Roman" w:eastAsia="Times New Roman" w:hAnsi="Times New Roman"/>
          <w:sz w:val="17"/>
          <w:szCs w:val="17"/>
          <w:color w:val="auto"/>
        </w:rPr>
        <w:t>Each holder of shares of our capital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Other Rights</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Each holder of our common stock is subject to, and may be adversely affected by, the rights of the holders of any series of our preferred stock that we may designate and issue in the future.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Liquidation Rights</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0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Pursuant to our amended and restated registration rights agreement, we agreed to file a shelf registration statement with respect to the registrable securities under the registration rights agreement. Certain stockholders may request to sell all or any portion of their registrable securities in an underwritten offering up to two times in any 12-month period, so long as the total offering price is reasonably expected to exceed $100.0 million. We also agreed to provide “piggyback” registration rights, subject to certain requirements and customary conditions. The amended and restated registration rights agreement also provides that we will pay certain expenses relating to such registrations and indemnify the stockholders against certain liabilities.</w:t>
      </w:r>
    </w:p>
    <w:p>
      <w:pPr>
        <w:spacing w:after="0" w:line="174" w:lineRule="exact"/>
        <w:rPr>
          <w:sz w:val="20"/>
          <w:szCs w:val="20"/>
          <w:color w:val="auto"/>
        </w:rPr>
      </w:pPr>
    </w:p>
    <w:p>
      <w:pPr>
        <w:ind w:left="600" w:right="1019"/>
        <w:spacing w:after="0" w:line="275" w:lineRule="auto"/>
        <w:rPr>
          <w:sz w:val="20"/>
          <w:szCs w:val="20"/>
          <w:color w:val="auto"/>
        </w:rPr>
      </w:pPr>
      <w:r>
        <w:rPr>
          <w:rFonts w:ascii="Times New Roman" w:cs="Times New Roman" w:eastAsia="Times New Roman" w:hAnsi="Times New Roman"/>
          <w:sz w:val="17"/>
          <w:szCs w:val="17"/>
          <w:b w:val="1"/>
          <w:bCs w:val="1"/>
          <w:color w:val="auto"/>
        </w:rPr>
        <w:t>Anti-Takeover Effects of Provisions of Our Certificate of Incorporation and Our Amended and Restated Bylaws</w:t>
      </w:r>
    </w:p>
    <w:p>
      <w:pPr>
        <w:spacing w:after="0" w:line="55"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Our certificate of incorporation and our amended and restated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stockholders may favor.</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Special Meetings of Stockholders</w:t>
      </w:r>
    </w:p>
    <w:p>
      <w:pPr>
        <w:spacing w:after="0" w:line="10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Our certificate of incorporation provides that a special meeting of stockholders may be called by the (a) the Chairperson of our board of directors, (b) our board of directors, (c) our Chief Executive Officer or (d) our President, provided that such special meeting may be postponed, rescheduled or cancelled by our board of directors or other person calling the meeting.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108"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Our certificate of incorporation provides that directors shall be classified with respect to the time for which they severally hold office into three classes, designated as Class I, Class II and Class III. Each class shall consist, as nearly as may be possible, of one third of the total number of directors constituting the whole board of directors. At each annual meeting of stockholders of the Corporation beginning with the first annual meeting of stockholders following December 18, 2020,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the certificate of incorporation. No decrease in the number of directors shall shorten the term of any incumbent director. The classification of the board of directors could make it more difficult for a third party to acquire, or discourage a third party from seeking to acquire, control of our Company.</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Action by Written Consent</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The certificate of incorporation provides that any action required or permitted to be taken by the stockholders must be effected at an annual or special meeting of the stockholders, and may not be taken by written consent in lieu of a meeting.</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108" w:lineRule="exact"/>
        <w:rPr>
          <w:sz w:val="20"/>
          <w:szCs w:val="20"/>
          <w:color w:val="auto"/>
        </w:rPr>
      </w:pPr>
    </w:p>
    <w:p>
      <w:pPr>
        <w:jc w:val="both"/>
        <w:ind w:left="600" w:right="639" w:firstLine="333"/>
        <w:spacing w:after="0" w:line="257" w:lineRule="auto"/>
        <w:rPr>
          <w:sz w:val="20"/>
          <w:szCs w:val="20"/>
          <w:color w:val="auto"/>
        </w:rPr>
      </w:pPr>
      <w:r>
        <w:rPr>
          <w:rFonts w:ascii="Times New Roman" w:cs="Times New Roman" w:eastAsia="Times New Roman" w:hAnsi="Times New Roman"/>
          <w:sz w:val="17"/>
          <w:szCs w:val="17"/>
          <w:color w:val="auto"/>
        </w:rPr>
        <w:t>Our board of directors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10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Our certificate of incorporation provides that we are not subject to Section 203 of the DGCL, an anti-takeover law. 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6"/>
          <w:szCs w:val="16"/>
          <w:color w:val="auto"/>
        </w:rPr>
        <w:t>of such corporation’s voting stock, unless: (1) the board of directors of such corporation approves the acquisition of stock or the merger transaction before the time that the person becomes an interested stockholder, (2) the interested stockholder owns at least 85% of the outstanding voting stock of such corporation at the time the merger transaction commences (excluding voting stock owned by directors who are also officers and certain employee stock plans), or</w:t>
      </w:r>
    </w:p>
    <w:p>
      <w:pPr>
        <w:spacing w:after="0" w:line="3" w:lineRule="exact"/>
        <w:rPr>
          <w:sz w:val="20"/>
          <w:szCs w:val="20"/>
          <w:color w:val="auto"/>
        </w:rPr>
      </w:pPr>
    </w:p>
    <w:p>
      <w:pPr>
        <w:jc w:val="both"/>
        <w:ind w:left="600" w:right="619" w:firstLine="9"/>
        <w:spacing w:after="0" w:line="265" w:lineRule="auto"/>
        <w:tabs>
          <w:tab w:leader="none" w:pos="85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transaction is approved by the board of directors and at a meeting of stockholders, not by written consent, by the affirmative vote of 2/3 of the outstanding voting stock which is not owned by the interested stockholder. However, our certificate of incorporation contains provisions that have a similar effect to Section 203, except that they provide that certain stockholders will not be deemed to be “interested stockholders”, regardless of the percentage of our voting stock owned by them, and accordingly will not be subject to such restrictions.</w:t>
      </w:r>
    </w:p>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Exclusive Jurisdiction of Certain Actions</w:t>
      </w:r>
    </w:p>
    <w:p>
      <w:pPr>
        <w:spacing w:after="0" w:line="108" w:lineRule="exact"/>
        <w:rPr>
          <w:sz w:val="20"/>
          <w:szCs w:val="20"/>
          <w:color w:val="auto"/>
        </w:rPr>
      </w:pPr>
    </w:p>
    <w:p>
      <w:pPr>
        <w:jc w:val="both"/>
        <w:ind w:left="600" w:right="619" w:firstLine="333"/>
        <w:spacing w:after="0" w:line="246" w:lineRule="auto"/>
        <w:rPr>
          <w:sz w:val="20"/>
          <w:szCs w:val="20"/>
          <w:color w:val="auto"/>
        </w:rPr>
      </w:pPr>
      <w:r>
        <w:rPr>
          <w:rFonts w:ascii="Times New Roman" w:cs="Times New Roman" w:eastAsia="Times New Roman" w:hAnsi="Times New Roman"/>
          <w:sz w:val="17"/>
          <w:szCs w:val="17"/>
          <w:color w:val="auto"/>
        </w:rPr>
        <w:t>The certificate of incorporation provides that, unless the Company consents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and any appellate court thereof shall, to the fullest extent permitted by law, shall be the sole and exclusive forum for (i) any derivative action, suit or proceeding brought on behalf of the Company, (ii) any action, suit or proceeding asserting a claim of breach of a fiduciary duty owed by any director, officer or stockholder of the Company to the Company or to the Company’s stockholders, (iii) any action, suit or proceeding arising pursuant to any provision of the DGCL or the amended and restated bylaws or the certificate of incorporation (as either may be amended from time to time), (iv) 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“Foreign Action”) in the name of any stockholder, such stockholder shall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Certificate of Incorporation provides that the exclusive forum provision shall not apply to suits brought to enforce any liability or duty created by the Securities Act, the Exchange Act or any other claim for which the federal courts of the United States have exclusive jurisdiction.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Nasdaq Global Select Market Listing</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“OPEN.”</w:t>
      </w:r>
    </w:p>
    <w:p>
      <w:pPr>
        <w:spacing w:after="0" w:line="3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2" w:name="page53"/>
    <w:bookmarkEnd w:id="5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76"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75"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77"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As used in this section only, “Opendoor,” “we,” “our” or “us” refer to Opendoor Technologies Inc. excluding our subsidiaries, unless expressly stated or the context otherwise requires.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jc w:val="both"/>
        <w:ind w:left="600" w:right="619" w:firstLine="333"/>
        <w:spacing w:after="0" w:line="274" w:lineRule="auto"/>
        <w:rPr>
          <w:sz w:val="20"/>
          <w:szCs w:val="20"/>
          <w:color w:val="auto"/>
        </w:rPr>
      </w:pPr>
      <w:r>
        <w:rPr>
          <w:rFonts w:ascii="Times New Roman" w:cs="Times New Roman" w:eastAsia="Times New Roman" w:hAnsi="Times New Roman"/>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59"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5" w:lineRule="exact"/>
        <w:rPr>
          <w:sz w:val="20"/>
          <w:szCs w:val="20"/>
          <w:color w:val="auto"/>
        </w:rPr>
      </w:pPr>
    </w:p>
    <w:p>
      <w:pPr>
        <w:ind w:left="1260" w:hanging="318"/>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ranking of the debt securities (including the terms of any subordination provisions);</w:t>
      </w:r>
    </w:p>
    <w:p>
      <w:pPr>
        <w:spacing w:after="0" w:line="104"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(expressed as a percentage of the principal amount) at which we will sell the debt securities;</w:t>
      </w:r>
    </w:p>
    <w:p>
      <w:pPr>
        <w:spacing w:after="0" w:line="59"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the principal of the securities of the series is payable;</w:t>
      </w:r>
    </w:p>
    <w:p>
      <w:pPr>
        <w:spacing w:after="0" w:line="104" w:lineRule="exact"/>
        <w:rPr>
          <w:rFonts w:ascii="Times New Roman" w:cs="Times New Roman" w:eastAsia="Times New Roman" w:hAnsi="Times New Roman"/>
          <w:sz w:val="17"/>
          <w:szCs w:val="17"/>
          <w:color w:val="auto"/>
        </w:rPr>
      </w:pPr>
    </w:p>
    <w:p>
      <w:pPr>
        <w:jc w:val="both"/>
        <w:ind w:left="1260" w:right="619" w:hanging="318"/>
        <w:spacing w:after="0" w:line="251"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6"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4"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or periods within which, the price or prices at which and the terms and conditions upon which we may redeem the debt securities;</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4"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and the price or prices at which we will repurchase debt securities at the option of the holders of debt securities and other detailed terms and provisions of these repurchase obligations;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ind w:left="1260" w:right="63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the debt securities will be issued, if other than denominations of $1,000 and any integral multiple thereof;</w:t>
      </w:r>
    </w:p>
    <w:p>
      <w:pPr>
        <w:spacing w:after="0" w:line="59"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certificated debt securities or global debt securities;</w:t>
      </w:r>
    </w:p>
    <w:p>
      <w:pPr>
        <w:spacing w:after="0" w:line="59"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principal amount of the debt securities payable upon declaration of acceleration of the maturity date, if other than the principal amount;</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71"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of, premium and interest on the debt securities will be made;</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1"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any security provided for the debt securities;</w:t>
      </w:r>
    </w:p>
    <w:p>
      <w:pPr>
        <w:spacing w:after="0" w:line="104"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71"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covenants described in this prospectus or in the indenture with respect to the debt securities;</w:t>
      </w:r>
    </w:p>
    <w:p>
      <w:pPr>
        <w:spacing w:after="0" w:line="59"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depositaries, interest rate calculation agents, exchange rate calculation agents or other agents with respect to the debt securities;</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4"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71"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of our direct or indirect subsidiaries will guarantee the debt securities of that series, including the terms of subordination, if any, of such guarantees. (Section 2.2)</w:t>
      </w:r>
    </w:p>
    <w:p>
      <w:pPr>
        <w:spacing w:after="0" w:line="6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75"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and Exchange</w:t>
      </w:r>
    </w:p>
    <w:p>
      <w:pPr>
        <w:spacing w:after="0" w:line="108" w:lineRule="exact"/>
        <w:rPr>
          <w:sz w:val="20"/>
          <w:szCs w:val="20"/>
          <w:color w:val="auto"/>
        </w:rPr>
      </w:pPr>
    </w:p>
    <w:p>
      <w:pPr>
        <w:jc w:val="both"/>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Each debt security will be represented by either one or more global securities registered in the name of The Depository Trust Company (the “Depositary”) or a nominee of the Depositary (we will refer to any debt security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75"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75"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75"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2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any restrictive covenants applicable to any issue of debt securities. (Article IV)</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Protection in the Event of a Change of Control</w:t>
      </w:r>
    </w:p>
    <w:p>
      <w:pPr>
        <w:spacing w:after="0" w:line="10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Consolidation, Merger and Sale of Assets</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We may not consolidate with or merge with or into, or convey, transfer or lease all or substantially all of our properties and assets to any person (a “successor person”) unless:</w:t>
      </w:r>
    </w:p>
    <w:p>
      <w:pPr>
        <w:spacing w:after="0" w:line="60" w:lineRule="exact"/>
        <w:rPr>
          <w:sz w:val="20"/>
          <w:szCs w:val="20"/>
          <w:color w:val="auto"/>
        </w:rPr>
      </w:pPr>
    </w:p>
    <w:p>
      <w:pPr>
        <w:jc w:val="both"/>
        <w:ind w:left="1260" w:right="619" w:hanging="318"/>
        <w:spacing w:after="0" w:line="257"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entity or the successor person (if other than Opendoor) is a corporation, partnership, trust or other entity organized and validly existing under the laws of any U.S. domestic jurisdiction and expressly assumes our obligations on the debt securities and under the indenture; and</w:t>
      </w:r>
    </w:p>
    <w:p>
      <w:pPr>
        <w:spacing w:after="0" w:line="71"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60" w:lineRule="exact"/>
        <w:rPr>
          <w:sz w:val="20"/>
          <w:szCs w:val="20"/>
          <w:color w:val="auto"/>
        </w:rPr>
      </w:pPr>
    </w:p>
    <w:p>
      <w:pPr>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Notwithstanding the above, any of our subsidiaries may consolidate with, merge into or transfer all or part of its properties to us. (Section 5.1)</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“Event of Default” means with respect to any series of debt securities, any of the following:</w:t>
      </w:r>
    </w:p>
    <w:p>
      <w:pPr>
        <w:spacing w:after="0" w:line="104" w:lineRule="exact"/>
        <w:rPr>
          <w:sz w:val="20"/>
          <w:szCs w:val="20"/>
          <w:color w:val="auto"/>
        </w:rPr>
      </w:pPr>
    </w:p>
    <w:p>
      <w:pPr>
        <w:jc w:val="both"/>
        <w:ind w:left="1260" w:right="619" w:hanging="318"/>
        <w:spacing w:after="0" w:line="281" w:lineRule="auto"/>
        <w:tabs>
          <w:tab w:leader="none" w:pos="1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2" w:lineRule="exact"/>
        <w:rPr>
          <w:rFonts w:ascii="Times New Roman" w:cs="Times New Roman" w:eastAsia="Times New Roman" w:hAnsi="Times New Roman"/>
          <w:sz w:val="16"/>
          <w:szCs w:val="16"/>
          <w:color w:val="auto"/>
        </w:rPr>
      </w:pPr>
    </w:p>
    <w:p>
      <w:pPr>
        <w:ind w:left="1260" w:hanging="318"/>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w:t>
      </w:r>
    </w:p>
    <w:p>
      <w:pPr>
        <w:spacing w:after="0" w:line="104" w:lineRule="exact"/>
        <w:rPr>
          <w:rFonts w:ascii="Times New Roman" w:cs="Times New Roman" w:eastAsia="Times New Roman" w:hAnsi="Times New Roman"/>
          <w:sz w:val="17"/>
          <w:szCs w:val="17"/>
          <w:color w:val="auto"/>
        </w:rPr>
      </w:pPr>
    </w:p>
    <w:p>
      <w:pPr>
        <w:jc w:val="both"/>
        <w:ind w:left="1260" w:right="619" w:hanging="318"/>
        <w:spacing w:after="0" w:line="250"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Opendoor and the trustee receive written notice from the holders of not less than 25% in principal amount of the outstanding debt securities of that series as provided in the indenture;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5" w:name="page56"/>
    <w:bookmarkEnd w:id="5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ind w:left="1260" w:hanging="318"/>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voluntary or involuntary events of bankruptcy, insolvency or reorganization of Opendoor;</w:t>
      </w:r>
    </w:p>
    <w:p>
      <w:pPr>
        <w:spacing w:after="0" w:line="104"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debt securities of that series that is described in the applicable prospectus supplement. (Section 6.1)</w:t>
      </w:r>
    </w:p>
    <w:p>
      <w:pPr>
        <w:spacing w:after="0" w:line="60"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76" w:lineRule="exact"/>
        <w:rPr>
          <w:sz w:val="20"/>
          <w:szCs w:val="20"/>
          <w:color w:val="auto"/>
        </w:rPr>
      </w:pPr>
    </w:p>
    <w:p>
      <w:pPr>
        <w:jc w:val="both"/>
        <w:ind w:left="600" w:right="619" w:firstLine="333"/>
        <w:spacing w:after="0" w:line="281" w:lineRule="auto"/>
        <w:rPr>
          <w:sz w:val="20"/>
          <w:szCs w:val="20"/>
          <w:color w:val="auto"/>
        </w:rPr>
      </w:pPr>
      <w:r>
        <w:rPr>
          <w:rFonts w:ascii="Times New Roman" w:cs="Times New Roman" w:eastAsia="Times New Roman" w:hAnsi="Times New Roman"/>
          <w:sz w:val="16"/>
          <w:szCs w:val="16"/>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53" w:lineRule="exact"/>
        <w:rPr>
          <w:sz w:val="20"/>
          <w:szCs w:val="20"/>
          <w:color w:val="auto"/>
        </w:rPr>
      </w:pPr>
    </w:p>
    <w:p>
      <w:pPr>
        <w:jc w:val="both"/>
        <w:ind w:left="600" w:right="619" w:firstLine="333"/>
        <w:spacing w:after="0" w:line="263" w:lineRule="auto"/>
        <w:rPr>
          <w:sz w:val="20"/>
          <w:szCs w:val="20"/>
          <w:color w:val="auto"/>
        </w:rPr>
      </w:pPr>
      <w:r>
        <w:rPr>
          <w:rFonts w:ascii="Times New Roman" w:cs="Times New Roman" w:eastAsia="Times New Roman" w:hAnsi="Times New Roman"/>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72"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7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1" w:lineRule="exact"/>
        <w:rPr>
          <w:sz w:val="20"/>
          <w:szCs w:val="20"/>
          <w:color w:val="auto"/>
        </w:rPr>
      </w:pPr>
    </w:p>
    <w:p>
      <w:pPr>
        <w:ind w:left="1260" w:right="639" w:hanging="318"/>
        <w:spacing w:after="0" w:line="270"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holder has previously given to the trustee written notice of a continuing Event of Default with respect to debt securities of that series; and</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1"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76" w:lineRule="exact"/>
        <w:rPr>
          <w:sz w:val="20"/>
          <w:szCs w:val="20"/>
          <w:color w:val="auto"/>
        </w:rPr>
      </w:pPr>
    </w:p>
    <w:p>
      <w:pPr>
        <w:jc w:val="both"/>
        <w:ind w:left="600" w:right="619" w:firstLine="333"/>
        <w:spacing w:after="0" w:line="281" w:lineRule="auto"/>
        <w:rPr>
          <w:sz w:val="20"/>
          <w:szCs w:val="20"/>
          <w:color w:val="auto"/>
        </w:rPr>
      </w:pPr>
      <w:r>
        <w:rPr>
          <w:rFonts w:ascii="Times New Roman" w:cs="Times New Roman" w:eastAsia="Times New Roman" w:hAnsi="Times New Roman"/>
          <w:sz w:val="16"/>
          <w:szCs w:val="16"/>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53" w:lineRule="exact"/>
        <w:rPr>
          <w:sz w:val="20"/>
          <w:szCs w:val="20"/>
          <w:color w:val="auto"/>
        </w:rPr>
      </w:pPr>
    </w:p>
    <w:p>
      <w:pPr>
        <w:jc w:val="both"/>
        <w:ind w:left="600" w:right="619" w:firstLine="333"/>
        <w:spacing w:after="0" w:line="281" w:lineRule="auto"/>
        <w:rPr>
          <w:sz w:val="20"/>
          <w:szCs w:val="20"/>
          <w:color w:val="auto"/>
        </w:rPr>
      </w:pPr>
      <w:r>
        <w:rPr>
          <w:rFonts w:ascii="Times New Roman" w:cs="Times New Roman" w:eastAsia="Times New Roman" w:hAnsi="Times New Roman"/>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We and the trustee may modify, amend or supplement the indenture or the debt securities of any series without the consent of any holder of any debt security:</w:t>
      </w:r>
    </w:p>
    <w:p>
      <w:pPr>
        <w:spacing w:after="0" w:line="60" w:lineRule="exact"/>
        <w:rPr>
          <w:sz w:val="20"/>
          <w:szCs w:val="20"/>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04"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covenants in the indenture described above under the heading “Consolidation, Merger and Sale of Assets”;</w:t>
      </w:r>
    </w:p>
    <w:p>
      <w:pPr>
        <w:spacing w:after="0" w:line="59"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guarantees with respect to debt securities of any series or secure debt securities of any series;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our rights or powers under the indenture;</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debt securities of any series;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 of debt securities;</w:t>
      </w:r>
    </w:p>
    <w:p>
      <w:pPr>
        <w:spacing w:after="0" w:line="104"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debt securities of any series as permitted by the indenture;</w:t>
      </w:r>
    </w:p>
    <w:p>
      <w:pPr>
        <w:spacing w:after="0" w:line="59" w:lineRule="exact"/>
        <w:rPr>
          <w:rFonts w:ascii="Times New Roman" w:cs="Times New Roman" w:eastAsia="Times New Roman" w:hAnsi="Times New Roman"/>
          <w:sz w:val="17"/>
          <w:szCs w:val="17"/>
          <w:color w:val="auto"/>
        </w:rPr>
      </w:pPr>
    </w:p>
    <w:p>
      <w:pPr>
        <w:jc w:val="both"/>
        <w:ind w:left="1260" w:right="639" w:hanging="318"/>
        <w:spacing w:after="0" w:line="257"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1"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the indenture under the Trust Indenture Act of 1939, as amended. (Section 9.1)</w:t>
      </w:r>
    </w:p>
    <w:p>
      <w:pPr>
        <w:spacing w:after="0" w:line="6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5" w:lineRule="exact"/>
        <w:rPr>
          <w:sz w:val="20"/>
          <w:szCs w:val="20"/>
          <w:color w:val="auto"/>
        </w:rPr>
      </w:pPr>
    </w:p>
    <w:p>
      <w:pPr>
        <w:ind w:left="1260" w:hanging="318"/>
        <w:spacing w:after="0"/>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of debt securities whose holders must consent to an amendment, supplement or waiver;</w:t>
      </w:r>
    </w:p>
    <w:p>
      <w:pPr>
        <w:spacing w:after="0" w:line="115" w:lineRule="exact"/>
        <w:rPr>
          <w:rFonts w:ascii="Times New Roman" w:cs="Times New Roman" w:eastAsia="Times New Roman" w:hAnsi="Times New Roman"/>
          <w:sz w:val="16"/>
          <w:szCs w:val="16"/>
          <w:color w:val="auto"/>
        </w:rPr>
      </w:pPr>
    </w:p>
    <w:p>
      <w:pPr>
        <w:ind w:left="1260" w:right="1159" w:hanging="318"/>
        <w:spacing w:after="0" w:line="270"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debt security;</w:t>
      </w:r>
    </w:p>
    <w:p>
      <w:pPr>
        <w:spacing w:after="0" w:line="59" w:lineRule="exact"/>
        <w:rPr>
          <w:rFonts w:ascii="Times New Roman" w:cs="Times New Roman" w:eastAsia="Times New Roman" w:hAnsi="Times New Roman"/>
          <w:sz w:val="17"/>
          <w:szCs w:val="17"/>
          <w:color w:val="auto"/>
        </w:rPr>
      </w:pPr>
    </w:p>
    <w:p>
      <w:pPr>
        <w:jc w:val="both"/>
        <w:ind w:left="1260" w:right="619" w:hanging="318"/>
        <w:spacing w:after="0" w:line="257"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1"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maturity;</w:t>
      </w:r>
    </w:p>
    <w:p>
      <w:pPr>
        <w:spacing w:after="0" w:line="104" w:lineRule="exact"/>
        <w:rPr>
          <w:rFonts w:ascii="Times New Roman" w:cs="Times New Roman" w:eastAsia="Times New Roman" w:hAnsi="Times New Roman"/>
          <w:sz w:val="17"/>
          <w:szCs w:val="17"/>
          <w:color w:val="auto"/>
        </w:rPr>
      </w:pPr>
    </w:p>
    <w:p>
      <w:pPr>
        <w:jc w:val="both"/>
        <w:ind w:left="1260" w:right="619" w:hanging="318"/>
        <w:spacing w:after="0" w:line="253"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4" w:lineRule="exact"/>
        <w:rPr>
          <w:rFonts w:ascii="Times New Roman" w:cs="Times New Roman" w:eastAsia="Times New Roman" w:hAnsi="Times New Roman"/>
          <w:sz w:val="17"/>
          <w:szCs w:val="17"/>
          <w:color w:val="auto"/>
        </w:rPr>
      </w:pPr>
    </w:p>
    <w:p>
      <w:pPr>
        <w:ind w:left="1260" w:right="619" w:hanging="318"/>
        <w:spacing w:after="0" w:line="270"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premium or interest on any debt security payable in currency other than that stated in the debt security;</w:t>
      </w:r>
    </w:p>
    <w:p>
      <w:pPr>
        <w:spacing w:after="0" w:line="59" w:lineRule="exact"/>
        <w:rPr>
          <w:rFonts w:ascii="Times New Roman" w:cs="Times New Roman" w:eastAsia="Times New Roman" w:hAnsi="Times New Roman"/>
          <w:sz w:val="17"/>
          <w:szCs w:val="17"/>
          <w:color w:val="auto"/>
        </w:rPr>
      </w:pPr>
    </w:p>
    <w:p>
      <w:pPr>
        <w:jc w:val="both"/>
        <w:ind w:left="1260" w:right="639" w:hanging="318"/>
        <w:spacing w:after="0" w:line="281" w:lineRule="auto"/>
        <w:tabs>
          <w:tab w:leader="none" w:pos="1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52" w:lineRule="exact"/>
        <w:rPr>
          <w:rFonts w:ascii="Times New Roman" w:cs="Times New Roman" w:eastAsia="Times New Roman" w:hAnsi="Times New Roman"/>
          <w:sz w:val="16"/>
          <w:szCs w:val="16"/>
          <w:color w:val="auto"/>
        </w:rPr>
      </w:pPr>
    </w:p>
    <w:p>
      <w:pPr>
        <w:ind w:left="1260" w:hanging="318"/>
        <w:spacing w:after="0"/>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(Section 9.3)</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7" w:name="page58"/>
    <w:bookmarkEnd w:id="5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66" w:lineRule="auto"/>
        <w:rPr>
          <w:sz w:val="20"/>
          <w:szCs w:val="20"/>
          <w:color w:val="auto"/>
        </w:rPr>
      </w:pPr>
      <w:r>
        <w:rPr>
          <w:rFonts w:ascii="Times New Roman" w:cs="Times New Roman" w:eastAsia="Times New Roman" w:hAnsi="Times New Roman"/>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Defeasance of Debt Securities and Certain Covenants in Certain Circumstances</w:t>
      </w:r>
    </w:p>
    <w:p>
      <w:pPr>
        <w:spacing w:after="0" w:line="106"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i w:val="1"/>
          <w:iCs w:val="1"/>
          <w:color w:val="auto"/>
        </w:rPr>
        <w:t>Legal Defeasance</w:t>
      </w:r>
      <w:r>
        <w:rPr>
          <w:rFonts w:ascii="Times New Roman" w:cs="Times New Roman" w:eastAsia="Times New Roman" w:hAnsi="Times New Roman"/>
          <w:sz w:val="17"/>
          <w:szCs w:val="17"/>
          <w:color w:val="auto"/>
        </w:rPr>
        <w:t>. The indenture provides that, unless otherwise provided by the terms of the applicable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79"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80" w:lineRule="exact"/>
        <w:rPr>
          <w:sz w:val="20"/>
          <w:szCs w:val="20"/>
          <w:color w:val="auto"/>
        </w:rPr>
      </w:pPr>
    </w:p>
    <w:p>
      <w:pPr>
        <w:jc w:val="both"/>
        <w:ind w:left="600" w:right="619" w:firstLine="333"/>
        <w:spacing w:after="0" w:line="273" w:lineRule="auto"/>
        <w:rPr>
          <w:sz w:val="20"/>
          <w:szCs w:val="20"/>
          <w:color w:val="auto"/>
        </w:rPr>
      </w:pPr>
      <w:r>
        <w:rPr>
          <w:rFonts w:ascii="Times New Roman" w:cs="Times New Roman" w:eastAsia="Times New Roman" w:hAnsi="Times New Roman"/>
          <w:sz w:val="17"/>
          <w:szCs w:val="17"/>
          <w:i w:val="1"/>
          <w:iCs w:val="1"/>
          <w:color w:val="auto"/>
        </w:rPr>
        <w:t>Defeasance of Certain Covenants</w:t>
      </w:r>
      <w:r>
        <w:rPr>
          <w:rFonts w:ascii="Times New Roman" w:cs="Times New Roman" w:eastAsia="Times New Roman" w:hAnsi="Times New Roman"/>
          <w:sz w:val="17"/>
          <w:szCs w:val="17"/>
          <w:color w:val="auto"/>
        </w:rPr>
        <w:t>. The indenture provides that, unless otherwise provided by the terms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series of debt securities, upon compliance with certain conditions:</w:t>
      </w:r>
    </w:p>
    <w:p>
      <w:pPr>
        <w:spacing w:after="0" w:line="57" w:lineRule="exact"/>
        <w:rPr>
          <w:sz w:val="20"/>
          <w:szCs w:val="20"/>
          <w:color w:val="auto"/>
        </w:rPr>
      </w:pPr>
    </w:p>
    <w:p>
      <w:pPr>
        <w:jc w:val="both"/>
        <w:ind w:left="1260" w:right="619" w:hanging="318"/>
        <w:spacing w:after="0" w:line="257" w:lineRule="auto"/>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71"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omission to comply with those covenants will not constitute a Default or an Event of Default with respect to the debt securities of that series (“covenant defeasance”).</w:t>
      </w:r>
    </w:p>
    <w:p>
      <w:pPr>
        <w:spacing w:after="0" w:line="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conditions include:</w:t>
      </w:r>
    </w:p>
    <w:p>
      <w:pPr>
        <w:spacing w:after="0" w:line="104" w:lineRule="exact"/>
        <w:rPr>
          <w:sz w:val="20"/>
          <w:szCs w:val="20"/>
          <w:color w:val="auto"/>
        </w:rPr>
      </w:pPr>
    </w:p>
    <w:p>
      <w:pPr>
        <w:jc w:val="both"/>
        <w:ind w:left="1260" w:right="619" w:hanging="318"/>
        <w:spacing w:after="0" w:line="248" w:lineRule="auto"/>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1" w:lineRule="exact"/>
        <w:rPr>
          <w:rFonts w:ascii="Times New Roman" w:cs="Times New Roman" w:eastAsia="Times New Roman" w:hAnsi="Times New Roman"/>
          <w:sz w:val="17"/>
          <w:szCs w:val="17"/>
          <w:color w:val="auto"/>
        </w:rPr>
      </w:pPr>
    </w:p>
    <w:p>
      <w:pPr>
        <w:jc w:val="both"/>
        <w:ind w:left="1260" w:right="619" w:hanging="318"/>
        <w:spacing w:after="0" w:line="251" w:lineRule="auto"/>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8" w:name="page59"/>
    <w:bookmarkEnd w:id="5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Personal Liability of Directors, Officers, Employees or Securityholders</w:t>
      </w:r>
    </w:p>
    <w:p>
      <w:pPr>
        <w:spacing w:after="0" w:line="108" w:lineRule="exact"/>
        <w:rPr>
          <w:sz w:val="20"/>
          <w:szCs w:val="20"/>
          <w:color w:val="auto"/>
        </w:rPr>
      </w:pPr>
    </w:p>
    <w:p>
      <w:pPr>
        <w:jc w:val="both"/>
        <w:ind w:left="600" w:right="619" w:firstLine="333"/>
        <w:spacing w:after="0" w:line="250" w:lineRule="auto"/>
        <w:rPr>
          <w:sz w:val="20"/>
          <w:szCs w:val="20"/>
          <w:color w:val="auto"/>
        </w:rPr>
      </w:pPr>
      <w:r>
        <w:rPr>
          <w:rFonts w:ascii="Times New Roman" w:cs="Times New Roman" w:eastAsia="Times New Roman" w:hAnsi="Times New Roman"/>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3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08"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The indenture and the debt securities, including any claim or controversy arising out of or relating to the indenture or the securities, will be governed by the laws of the State of New York.</w:t>
      </w:r>
    </w:p>
    <w:p>
      <w:pPr>
        <w:spacing w:after="0" w:line="60"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5"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9" w:name="page60"/>
    <w:bookmarkEnd w:id="5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OTHER SECURITIES</w:t>
      </w:r>
    </w:p>
    <w:p>
      <w:pPr>
        <w:spacing w:after="0" w:line="108" w:lineRule="exact"/>
        <w:rPr>
          <w:sz w:val="20"/>
          <w:szCs w:val="20"/>
          <w:color w:val="auto"/>
        </w:rPr>
      </w:pPr>
    </w:p>
    <w:p>
      <w:pPr>
        <w:ind w:left="600" w:right="639" w:firstLine="333"/>
        <w:spacing w:after="0" w:line="270"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 description of any warrants or units issued by us that may be offered and sold pursuant to this prospectus.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0" w:name="page61"/>
    <w:bookmarkEnd w:id="6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3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Book-Entry; Delivery and Form</w:t>
      </w:r>
    </w:p>
    <w:p>
      <w:pPr>
        <w:spacing w:after="0" w:line="108"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DTC has advised us that it is:</w:t>
      </w:r>
    </w:p>
    <w:p>
      <w:pPr>
        <w:spacing w:after="0" w:line="104" w:lineRule="exact"/>
        <w:rPr>
          <w:sz w:val="20"/>
          <w:szCs w:val="20"/>
          <w:color w:val="auto"/>
        </w:rPr>
      </w:pPr>
    </w:p>
    <w:p>
      <w:pPr>
        <w:ind w:left="1260" w:hanging="318"/>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limited-purpose trust company organized under the New York Banking Law;</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“banking organization” within the meaning of the New York Banking Law;</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Federal Reserve System;</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corporation” within the meaning of the New York Uniform Commercial Code; and</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agency” registered pursuant to the provisions of Section 17A of the Exchange Act.</w:t>
      </w:r>
    </w:p>
    <w:p>
      <w:pPr>
        <w:spacing w:after="0" w:line="104" w:lineRule="exact"/>
        <w:rPr>
          <w:sz w:val="20"/>
          <w:szCs w:val="20"/>
          <w:color w:val="auto"/>
        </w:rPr>
      </w:pPr>
    </w:p>
    <w:p>
      <w:pPr>
        <w:jc w:val="both"/>
        <w:ind w:left="600" w:right="619" w:firstLine="333"/>
        <w:spacing w:after="0" w:line="265" w:lineRule="auto"/>
        <w:rPr>
          <w:sz w:val="20"/>
          <w:szCs w:val="20"/>
          <w:color w:val="auto"/>
        </w:rPr>
      </w:pPr>
      <w:r>
        <w:rPr>
          <w:rFonts w:ascii="Times New Roman" w:cs="Times New Roman" w:eastAsia="Times New Roman" w:hAnsi="Times New Roman"/>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66" w:lineRule="exact"/>
        <w:rPr>
          <w:sz w:val="20"/>
          <w:szCs w:val="20"/>
          <w:color w:val="auto"/>
        </w:rPr>
      </w:pPr>
    </w:p>
    <w:p>
      <w:pPr>
        <w:jc w:val="both"/>
        <w:ind w:left="600" w:right="619" w:firstLine="333"/>
        <w:spacing w:after="0" w:line="265" w:lineRule="auto"/>
        <w:rPr>
          <w:sz w:val="20"/>
          <w:szCs w:val="20"/>
          <w:color w:val="auto"/>
        </w:rPr>
      </w:pPr>
      <w:r>
        <w:rPr>
          <w:rFonts w:ascii="Times New Roman" w:cs="Times New Roman" w:eastAsia="Times New Roman" w:hAnsi="Times New Roman"/>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69"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7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1" w:name="page62"/>
    <w:bookmarkEnd w:id="6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1"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71" w:lineRule="exact"/>
        <w:rPr>
          <w:sz w:val="20"/>
          <w:szCs w:val="20"/>
          <w:color w:val="auto"/>
        </w:rPr>
      </w:pPr>
    </w:p>
    <w:p>
      <w:pPr>
        <w:jc w:val="both"/>
        <w:ind w:left="600" w:right="619" w:firstLine="333"/>
        <w:spacing w:after="0" w:line="274" w:lineRule="auto"/>
        <w:rPr>
          <w:sz w:val="20"/>
          <w:szCs w:val="20"/>
          <w:color w:val="auto"/>
        </w:rPr>
      </w:pPr>
      <w:r>
        <w:rPr>
          <w:rFonts w:ascii="Times New Roman" w:cs="Times New Roman" w:eastAsia="Times New Roman" w:hAnsi="Times New Roman"/>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59"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82" w:lineRule="exact"/>
        <w:rPr>
          <w:sz w:val="20"/>
          <w:szCs w:val="20"/>
          <w:color w:val="auto"/>
        </w:rPr>
      </w:pPr>
    </w:p>
    <w:p>
      <w:pPr>
        <w:jc w:val="both"/>
        <w:ind w:left="600" w:right="619" w:firstLine="333"/>
        <w:spacing w:after="0" w:line="247" w:lineRule="auto"/>
        <w:rPr>
          <w:sz w:val="20"/>
          <w:szCs w:val="20"/>
          <w:color w:val="auto"/>
        </w:rPr>
      </w:pPr>
      <w:r>
        <w:rPr>
          <w:rFonts w:ascii="Times New Roman" w:cs="Times New Roman" w:eastAsia="Times New Roman" w:hAnsi="Times New Roman"/>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84"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5" w:lineRule="exact"/>
        <w:rPr>
          <w:sz w:val="20"/>
          <w:szCs w:val="20"/>
          <w:color w:val="auto"/>
        </w:rPr>
      </w:pPr>
    </w:p>
    <w:p>
      <w:pPr>
        <w:jc w:val="both"/>
        <w:ind w:left="600" w:right="619" w:firstLine="333"/>
        <w:spacing w:after="0" w:line="302" w:lineRule="auto"/>
        <w:rPr>
          <w:sz w:val="20"/>
          <w:szCs w:val="20"/>
          <w:color w:val="auto"/>
        </w:rPr>
      </w:pPr>
      <w:r>
        <w:rPr>
          <w:rFonts w:ascii="Times New Roman" w:cs="Times New Roman" w:eastAsia="Times New Roman" w:hAnsi="Times New Roman"/>
          <w:sz w:val="16"/>
          <w:szCs w:val="16"/>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36"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1" w:lineRule="exact"/>
        <w:rPr>
          <w:sz w:val="20"/>
          <w:szCs w:val="20"/>
          <w:color w:val="auto"/>
        </w:rPr>
      </w:pPr>
    </w:p>
    <w:p>
      <w:pPr>
        <w:jc w:val="both"/>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As noted above, beneficial owners of a particular series of securities generally will not receive certificates representing their ownership interests in those securities. However, if:</w:t>
      </w:r>
    </w:p>
    <w:p>
      <w:pPr>
        <w:spacing w:after="0" w:line="60" w:lineRule="exact"/>
        <w:rPr>
          <w:sz w:val="20"/>
          <w:szCs w:val="20"/>
          <w:color w:val="auto"/>
        </w:rPr>
      </w:pPr>
    </w:p>
    <w:p>
      <w:pPr>
        <w:jc w:val="both"/>
        <w:ind w:left="1260" w:right="619" w:hanging="318"/>
        <w:spacing w:after="0" w:line="251" w:lineRule="auto"/>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6" w:lineRule="exact"/>
        <w:rPr>
          <w:rFonts w:ascii="Times New Roman" w:cs="Times New Roman" w:eastAsia="Times New Roman" w:hAnsi="Times New Roman"/>
          <w:sz w:val="17"/>
          <w:szCs w:val="17"/>
          <w:color w:val="auto"/>
        </w:rPr>
      </w:pPr>
    </w:p>
    <w:p>
      <w:pPr>
        <w:ind w:left="1260" w:right="639" w:hanging="318"/>
        <w:spacing w:after="0" w:line="270" w:lineRule="auto"/>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 in our sole discretion, not to have such securities represented by one or more global securities; or</w:t>
      </w:r>
    </w:p>
    <w:p>
      <w:pPr>
        <w:spacing w:after="0" w:line="59"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has occurred and is continuing with respect to such series of securities,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2" w:name="page63"/>
    <w:bookmarkEnd w:id="6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Euroclear and Clearstream</w:t>
      </w:r>
    </w:p>
    <w:p>
      <w:pPr>
        <w:spacing w:after="0" w:line="108" w:lineRule="exact"/>
        <w:rPr>
          <w:sz w:val="20"/>
          <w:szCs w:val="20"/>
          <w:color w:val="auto"/>
        </w:rPr>
      </w:pPr>
    </w:p>
    <w:p>
      <w:pPr>
        <w:jc w:val="both"/>
        <w:ind w:left="600" w:right="619" w:firstLine="333"/>
        <w:spacing w:after="0" w:line="249" w:lineRule="auto"/>
        <w:rPr>
          <w:sz w:val="20"/>
          <w:szCs w:val="20"/>
          <w:color w:val="auto"/>
        </w:rPr>
      </w:pPr>
      <w:r>
        <w:rPr>
          <w:rFonts w:ascii="Times New Roman" w:cs="Times New Roman" w:eastAsia="Times New Roman" w:hAnsi="Times New Roman"/>
          <w:sz w:val="17"/>
          <w:szCs w:val="17"/>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78"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75"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5" w:lineRule="exact"/>
        <w:rPr>
          <w:sz w:val="20"/>
          <w:szCs w:val="20"/>
          <w:color w:val="auto"/>
        </w:rPr>
      </w:pPr>
    </w:p>
    <w:p>
      <w:pPr>
        <w:jc w:val="both"/>
        <w:ind w:left="600" w:right="619" w:firstLine="333"/>
        <w:spacing w:after="0" w:line="253" w:lineRule="auto"/>
        <w:rPr>
          <w:sz w:val="20"/>
          <w:szCs w:val="20"/>
          <w:color w:val="auto"/>
        </w:rPr>
      </w:pPr>
      <w:r>
        <w:rPr>
          <w:rFonts w:ascii="Times New Roman" w:cs="Times New Roman" w:eastAsia="Times New Roman" w:hAnsi="Times New Roman"/>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5"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77" w:lineRule="exact"/>
        <w:rPr>
          <w:sz w:val="20"/>
          <w:szCs w:val="20"/>
          <w:color w:val="auto"/>
        </w:rPr>
      </w:pPr>
    </w:p>
    <w:p>
      <w:pPr>
        <w:jc w:val="both"/>
        <w:ind w:left="600" w:right="619" w:firstLine="333"/>
        <w:spacing w:after="0" w:line="248" w:lineRule="auto"/>
        <w:rPr>
          <w:sz w:val="20"/>
          <w:szCs w:val="20"/>
          <w:color w:val="auto"/>
        </w:rPr>
      </w:pPr>
      <w:r>
        <w:rPr>
          <w:rFonts w:ascii="Times New Roman" w:cs="Times New Roman" w:eastAsia="Times New Roman" w:hAnsi="Times New Roman"/>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08" w:lineRule="exact"/>
        <w:rPr>
          <w:sz w:val="20"/>
          <w:szCs w:val="20"/>
          <w:color w:val="auto"/>
        </w:rPr>
      </w:pPr>
    </w:p>
    <w:p>
      <w:pPr>
        <w:jc w:val="both"/>
        <w:ind w:left="600" w:right="619" w:firstLine="333"/>
        <w:spacing w:after="0" w:line="268" w:lineRule="auto"/>
        <w:rPr>
          <w:sz w:val="20"/>
          <w:szCs w:val="20"/>
          <w:color w:val="auto"/>
        </w:rPr>
      </w:pPr>
      <w:r>
        <w:rPr>
          <w:rFonts w:ascii="Times New Roman" w:cs="Times New Roman" w:eastAsia="Times New Roman" w:hAnsi="Times New Roman"/>
          <w:sz w:val="16"/>
          <w:szCs w:val="16"/>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3" w:name="page64"/>
    <w:bookmarkEnd w:id="6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4" w:name="page65"/>
    <w:bookmarkEnd w:id="6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We may sell the offered securities from time to time:</w:t>
      </w:r>
    </w:p>
    <w:p>
      <w:pPr>
        <w:spacing w:after="0" w:line="104" w:lineRule="exact"/>
        <w:rPr>
          <w:sz w:val="20"/>
          <w:szCs w:val="20"/>
          <w:color w:val="auto"/>
        </w:rPr>
      </w:pPr>
    </w:p>
    <w:p>
      <w:pPr>
        <w:ind w:left="1260" w:hanging="318"/>
        <w:spacing w:after="0"/>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 or dealers;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 or</w:t>
      </w:r>
    </w:p>
    <w:p>
      <w:pPr>
        <w:spacing w:after="0" w:line="104"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104" w:lineRule="exact"/>
        <w:rPr>
          <w:sz w:val="20"/>
          <w:szCs w:val="20"/>
          <w:color w:val="auto"/>
        </w:rPr>
      </w:pPr>
    </w:p>
    <w:p>
      <w:pPr>
        <w:ind w:left="600" w:right="619" w:firstLine="333"/>
        <w:spacing w:after="0" w:line="270" w:lineRule="auto"/>
        <w:rPr>
          <w:sz w:val="20"/>
          <w:szCs w:val="20"/>
          <w:color w:val="auto"/>
        </w:rPr>
      </w:pPr>
      <w:r>
        <w:rPr>
          <w:rFonts w:ascii="Times New Roman" w:cs="Times New Roman" w:eastAsia="Times New Roman" w:hAnsi="Times New Roman"/>
          <w:sz w:val="17"/>
          <w:szCs w:val="17"/>
          <w:color w:val="auto"/>
        </w:rPr>
        <w:t>We will identify the specific plan of distribution, including any underwriters, dealers, agents or direct purchasers and their compensation, in the applicable prospectus supplement.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124460</wp:posOffset>
            </wp:positionV>
            <wp:extent cx="646874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8" w:lineRule="exact"/>
        <w:rPr>
          <w:sz w:val="20"/>
          <w:szCs w:val="20"/>
          <w:color w:val="auto"/>
        </w:rPr>
      </w:pPr>
    </w:p>
    <w:p>
      <w:pPr>
        <w:jc w:val="both"/>
        <w:ind w:left="600" w:right="619" w:firstLine="333"/>
        <w:spacing w:after="0" w:line="257" w:lineRule="auto"/>
        <w:rPr>
          <w:sz w:val="20"/>
          <w:szCs w:val="20"/>
          <w:color w:val="auto"/>
        </w:rPr>
      </w:pPr>
      <w:r>
        <w:rPr>
          <w:rFonts w:ascii="Times New Roman" w:cs="Times New Roman" w:eastAsia="Times New Roman" w:hAnsi="Times New Roman"/>
          <w:sz w:val="17"/>
          <w:szCs w:val="17"/>
          <w:color w:val="auto"/>
        </w:rPr>
        <w:t>Latham &amp; Watkins LLP will pass upon certain legal matters relating to the issuance and sale of the securities offered hereby on behalf of Opendoor Technologies Inc. Additional legal matters may be passed upon for us or any underwriters, dealers or agents by counsel that we will name in the applicable prospectus supplement.</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8" w:lineRule="exact"/>
        <w:rPr>
          <w:sz w:val="20"/>
          <w:szCs w:val="20"/>
          <w:color w:val="auto"/>
        </w:rPr>
      </w:pPr>
    </w:p>
    <w:p>
      <w:pPr>
        <w:jc w:val="both"/>
        <w:ind w:left="600" w:right="619" w:firstLine="333"/>
        <w:spacing w:after="0" w:line="251" w:lineRule="auto"/>
        <w:rPr>
          <w:sz w:val="20"/>
          <w:szCs w:val="20"/>
          <w:color w:val="auto"/>
        </w:rPr>
      </w:pPr>
      <w:r>
        <w:rPr>
          <w:rFonts w:ascii="Times New Roman" w:cs="Times New Roman" w:eastAsia="Times New Roman" w:hAnsi="Times New Roman"/>
          <w:sz w:val="17"/>
          <w:szCs w:val="17"/>
          <w:color w:val="auto"/>
        </w:rPr>
        <w:t>The financial statements of Opendoor Technologies Inc. incorporated by reference in this prospectus, and the effectiveness of Opendoor Technologies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116205</wp:posOffset>
            </wp:positionV>
            <wp:extent cx="646874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646874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6" w:name="page67"/>
    <w:bookmarkEnd w:id="6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93345</wp:posOffset>
            </wp:positionV>
            <wp:extent cx="481965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4819650" cy="1587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156845</wp:posOffset>
            </wp:positionV>
            <wp:extent cx="48196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48196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99,295,146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157480</wp:posOffset>
            </wp:positionV>
            <wp:extent cx="2821940" cy="634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282194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November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150495</wp:posOffset>
            </wp:positionV>
            <wp:extent cx="48196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4819650" cy="762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205740</wp:posOffset>
            </wp:positionV>
            <wp:extent cx="48196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481965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7" w:name="page68"/>
    <w:bookmarkEnd w:id="67"/>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107</w:t>
      </w:r>
    </w:p>
    <w:p>
      <w:pPr>
        <w:spacing w:after="0" w:line="1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Form 424B5</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Opendoor Technologies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Paid In</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Calculation</w:t>
            </w: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to be</w:t>
            </w:r>
          </w:p>
        </w:tc>
        <w:tc>
          <w:tcPr>
            <w:tcW w:w="0" w:type="dxa"/>
            <w:vAlign w:val="bottom"/>
          </w:tcPr>
          <w:p>
            <w:pPr>
              <w:spacing w:after="0"/>
              <w:rPr>
                <w:sz w:val="1"/>
                <w:szCs w:val="1"/>
                <w:color w:val="auto"/>
              </w:rPr>
            </w:pPr>
          </w:p>
        </w:tc>
      </w:tr>
      <w:tr>
        <w:trPr>
          <w:trHeight w:val="195"/>
        </w:trPr>
        <w:tc>
          <w:tcPr>
            <w:tcW w:w="8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960" w:type="dxa"/>
            <w:vAlign w:val="bottom"/>
            <w:tcBorders>
              <w:right w:val="single" w:sz="8" w:color="auto"/>
            </w:tcBorders>
            <w:vMerge w:val="continue"/>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carried</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b w:val="1"/>
                <w:bCs w:val="1"/>
                <w:color w:val="auto"/>
                <w:w w:val="93"/>
              </w:rPr>
              <w:t>Registered</w:t>
            </w:r>
            <w:r>
              <w:rPr>
                <w:rFonts w:ascii="Times New Roman" w:cs="Times New Roman" w:eastAsia="Times New Roman" w:hAnsi="Times New Roman"/>
                <w:sz w:val="27"/>
                <w:szCs w:val="27"/>
                <w:b w:val="1"/>
                <w:bCs w:val="1"/>
                <w:color w:val="auto"/>
                <w:w w:val="93"/>
                <w:vertAlign w:val="superscript"/>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Fee 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0" w:type="dxa"/>
            <w:vAlign w:val="bottom"/>
          </w:tcPr>
          <w:p>
            <w:pPr>
              <w:spacing w:after="0"/>
              <w:rPr>
                <w:sz w:val="1"/>
                <w:szCs w:val="1"/>
                <w:color w:val="auto"/>
              </w:rPr>
            </w:pPr>
          </w:p>
        </w:tc>
      </w:tr>
      <w:tr>
        <w:trPr>
          <w:trHeight w:val="192"/>
        </w:trPr>
        <w:tc>
          <w:tcPr>
            <w:tcW w:w="86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left="297"/>
              <w:spacing w:after="0" w:line="193" w:lineRule="exact"/>
              <w:rPr>
                <w:sz w:val="20"/>
                <w:szCs w:val="20"/>
                <w:color w:val="auto"/>
              </w:rPr>
            </w:pPr>
            <w:r>
              <w:rPr>
                <w:rFonts w:ascii="Times New Roman" w:cs="Times New Roman" w:eastAsia="Times New Roman" w:hAnsi="Times New Roman"/>
                <w:sz w:val="17"/>
                <w:szCs w:val="17"/>
                <w:b w:val="1"/>
                <w:bCs w:val="1"/>
                <w:color w:val="auto"/>
                <w:w w:val="97"/>
              </w:rPr>
              <w:t>Newly Registered Securities</w:t>
            </w:r>
          </w:p>
        </w:tc>
        <w:tc>
          <w:tcPr>
            <w:tcW w:w="10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$0.0001</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par value</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33,098,471</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1"/>
              </w:rPr>
              <w:t xml:space="preserve">$9.00 </w:t>
            </w:r>
            <w:r>
              <w:rPr>
                <w:rFonts w:ascii="Times New Roman" w:cs="Times New Roman" w:eastAsia="Times New Roman" w:hAnsi="Times New Roman"/>
                <w:sz w:val="27"/>
                <w:szCs w:val="27"/>
                <w:color w:val="auto"/>
                <w:w w:val="91"/>
                <w:vertAlign w:val="superscript"/>
              </w:rPr>
              <w:t>(5)</w:t>
            </w: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per share</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457(g)</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7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$297,886,239.00</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$41,138.09</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$0.0001</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par value</w:t>
            </w: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33,098,471</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1"/>
              </w:rPr>
              <w:t xml:space="preserve">$13.00 </w:t>
            </w:r>
            <w:r>
              <w:rPr>
                <w:rFonts w:ascii="Times New Roman" w:cs="Times New Roman" w:eastAsia="Times New Roman" w:hAnsi="Times New Roman"/>
                <w:sz w:val="27"/>
                <w:szCs w:val="27"/>
                <w:color w:val="auto"/>
                <w:w w:val="91"/>
                <w:vertAlign w:val="superscript"/>
              </w:rPr>
              <w:t>(6)</w:t>
            </w: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per share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457(g)</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780" w:type="dxa"/>
            <w:vAlign w:val="bottom"/>
            <w:tcBorders>
              <w:bottom w:val="single" w:sz="8" w:color="auto"/>
              <w:right w:val="single" w:sz="8" w:color="auto"/>
            </w:tcBorders>
            <w:vMerge w:val="continue"/>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$430,280,123.00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0.00013810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$59,421.69</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$0.0001</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par value</w:t>
            </w:r>
          </w:p>
        </w:tc>
        <w:tc>
          <w:tcPr>
            <w:tcW w:w="88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33,098,471</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1"/>
              </w:rPr>
              <w:t xml:space="preserve">$17.00 </w:t>
            </w:r>
            <w:r>
              <w:rPr>
                <w:rFonts w:ascii="Times New Roman" w:cs="Times New Roman" w:eastAsia="Times New Roman" w:hAnsi="Times New Roman"/>
                <w:sz w:val="27"/>
                <w:szCs w:val="27"/>
                <w:color w:val="auto"/>
                <w:w w:val="91"/>
                <w:vertAlign w:val="superscript"/>
              </w:rPr>
              <w:t>(7)</w:t>
            </w:r>
          </w:p>
        </w:tc>
        <w:tc>
          <w:tcPr>
            <w:tcW w:w="13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per share</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457(g)</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7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$562,674,007.00</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0.00013810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$77,705.29</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8"/>
              </w:rPr>
              <w:t>Previously</w:t>
            </w: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60" w:type="dxa"/>
            <w:vAlign w:val="bottom"/>
            <w:tcBorders>
              <w:left w:val="single" w:sz="8" w:color="auto"/>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right w:val="single" w:sz="8" w:color="CCEEFF"/>
            </w:tcBorders>
            <w:shd w:val="clear" w:color="auto" w:fill="CCEEFF"/>
          </w:tcPr>
          <w:p>
            <w:pPr>
              <w:spacing w:after="0"/>
              <w:rPr>
                <w:sz w:val="16"/>
                <w:szCs w:val="16"/>
                <w:color w:val="auto"/>
              </w:rPr>
            </w:pPr>
          </w:p>
        </w:tc>
        <w:tc>
          <w:tcPr>
            <w:tcW w:w="880" w:type="dxa"/>
            <w:vAlign w:val="bottom"/>
            <w:tcBorders>
              <w:bottom w:val="single" w:sz="8" w:color="auto"/>
              <w:right w:val="single" w:sz="8" w:color="CCEEFF"/>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shd w:val="clear" w:color="auto" w:fill="CCEEFF"/>
          </w:tcPr>
          <w:p>
            <w:pPr>
              <w:spacing w:after="0"/>
              <w:rPr>
                <w:sz w:val="16"/>
                <w:szCs w:val="16"/>
                <w:color w:val="auto"/>
              </w:rPr>
            </w:pPr>
          </w:p>
        </w:tc>
        <w:tc>
          <w:tcPr>
            <w:tcW w:w="780" w:type="dxa"/>
            <w:vAlign w:val="bottom"/>
            <w:tcBorders>
              <w:bottom w:val="single" w:sz="8" w:color="auto"/>
              <w:right w:val="single" w:sz="8" w:color="CCEEFF"/>
            </w:tcBorders>
            <w:shd w:val="clear" w:color="auto" w:fill="CCEEFF"/>
          </w:tcPr>
          <w:p>
            <w:pPr>
              <w:spacing w:after="0"/>
              <w:rPr>
                <w:sz w:val="16"/>
                <w:szCs w:val="16"/>
                <w:color w:val="auto"/>
              </w:rPr>
            </w:pPr>
          </w:p>
        </w:tc>
        <w:tc>
          <w:tcPr>
            <w:tcW w:w="2140" w:type="dxa"/>
            <w:vAlign w:val="bottom"/>
            <w:tcBorders>
              <w:bottom w:val="single" w:sz="8" w:color="auto"/>
              <w:right w:val="single" w:sz="8" w:color="CCEEFF"/>
            </w:tcBorders>
            <w:gridSpan w:val="2"/>
            <w:shd w:val="clear" w:color="auto" w:fill="CCEEFF"/>
          </w:tcPr>
          <w:p>
            <w:pPr>
              <w:jc w:val="center"/>
              <w:ind w:right="277"/>
              <w:spacing w:after="0" w:line="193" w:lineRule="exact"/>
              <w:rPr>
                <w:sz w:val="20"/>
                <w:szCs w:val="20"/>
                <w:color w:val="auto"/>
              </w:rPr>
            </w:pPr>
            <w:r>
              <w:rPr>
                <w:rFonts w:ascii="Times New Roman" w:cs="Times New Roman" w:eastAsia="Times New Roman" w:hAnsi="Times New Roman"/>
                <w:sz w:val="17"/>
                <w:szCs w:val="17"/>
                <w:b w:val="1"/>
                <w:bCs w:val="1"/>
                <w:color w:val="auto"/>
                <w:w w:val="94"/>
              </w:rPr>
              <w:t>Carry Forward Securities</w:t>
            </w:r>
          </w:p>
        </w:tc>
        <w:tc>
          <w:tcPr>
            <w:tcW w:w="1060" w:type="dxa"/>
            <w:vAlign w:val="bottom"/>
            <w:tcBorders>
              <w:bottom w:val="single" w:sz="8" w:color="auto"/>
              <w:right w:val="single" w:sz="8" w:color="CCEEFF"/>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8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96"/>
              </w:rPr>
              <w:t>Total Offering Amounts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$1,290,840,369.00</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$178,265.07</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78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w w:val="92"/>
              </w:rPr>
              <w:t>Net Fee Due</w:t>
            </w:r>
          </w:p>
        </w:tc>
        <w:tc>
          <w:tcPr>
            <w:tcW w:w="78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$178,265.07</w:t>
            </w: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80" w:right="520" w:hanging="280"/>
        <w:spacing w:after="0" w:line="270" w:lineRule="auto"/>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of 1933, as amended, there are also being registered an indeterminable number of additional securities as may be issued pursuant to anti-dilution adjustments resulting from share splits, share dividends, distributions or similar transactions.</w:t>
      </w:r>
    </w:p>
    <w:p>
      <w:pPr>
        <w:spacing w:after="0" w:line="47" w:lineRule="exact"/>
        <w:rPr>
          <w:rFonts w:ascii="Times New Roman" w:cs="Times New Roman" w:eastAsia="Times New Roman" w:hAnsi="Times New Roman"/>
          <w:sz w:val="17"/>
          <w:szCs w:val="17"/>
          <w:color w:val="auto"/>
        </w:rPr>
      </w:pPr>
    </w:p>
    <w:p>
      <w:pPr>
        <w:ind w:left="280" w:right="640" w:hanging="280"/>
        <w:spacing w:after="0" w:line="270" w:lineRule="auto"/>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par value $0.0001 per share (the “Common Stock”), issuable upon the exercise of Series K Warrants distributed by the Registrant for no consideration on November 21, 2025.</w:t>
      </w:r>
    </w:p>
    <w:p>
      <w:pPr>
        <w:spacing w:after="0" w:line="47" w:lineRule="exact"/>
        <w:rPr>
          <w:rFonts w:ascii="Times New Roman" w:cs="Times New Roman" w:eastAsia="Times New Roman" w:hAnsi="Times New Roman"/>
          <w:sz w:val="17"/>
          <w:szCs w:val="17"/>
          <w:color w:val="auto"/>
        </w:rPr>
      </w:pPr>
    </w:p>
    <w:p>
      <w:pPr>
        <w:ind w:left="280" w:hanging="280"/>
        <w:spacing w:after="0"/>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issuable upon the exercise of Series A Warrants distributed by the Registrant for no consideration on November 21, 2025.</w:t>
      </w:r>
    </w:p>
    <w:p>
      <w:pPr>
        <w:spacing w:after="0" w:line="91" w:lineRule="exact"/>
        <w:rPr>
          <w:rFonts w:ascii="Times New Roman" w:cs="Times New Roman" w:eastAsia="Times New Roman" w:hAnsi="Times New Roman"/>
          <w:sz w:val="17"/>
          <w:szCs w:val="17"/>
          <w:color w:val="auto"/>
        </w:rPr>
      </w:pPr>
    </w:p>
    <w:p>
      <w:pPr>
        <w:ind w:left="280" w:hanging="280"/>
        <w:spacing w:after="0"/>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issuable upon the exercise of Series Z Warrants distributed by the Registrant for no consideration on November 21, 2025.</w:t>
      </w:r>
    </w:p>
    <w:p>
      <w:pPr>
        <w:spacing w:after="0" w:line="91" w:lineRule="exact"/>
        <w:rPr>
          <w:rFonts w:ascii="Times New Roman" w:cs="Times New Roman" w:eastAsia="Times New Roman" w:hAnsi="Times New Roman"/>
          <w:sz w:val="17"/>
          <w:szCs w:val="17"/>
          <w:color w:val="auto"/>
        </w:rPr>
      </w:pPr>
    </w:p>
    <w:p>
      <w:pPr>
        <w:ind w:left="280" w:hanging="280"/>
        <w:spacing w:after="0"/>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is based upon the exercise price per Series K Warrant.</w:t>
      </w:r>
    </w:p>
    <w:p>
      <w:pPr>
        <w:spacing w:after="0" w:line="91" w:lineRule="exact"/>
        <w:rPr>
          <w:rFonts w:ascii="Times New Roman" w:cs="Times New Roman" w:eastAsia="Times New Roman" w:hAnsi="Times New Roman"/>
          <w:sz w:val="17"/>
          <w:szCs w:val="17"/>
          <w:color w:val="auto"/>
        </w:rPr>
      </w:pPr>
    </w:p>
    <w:p>
      <w:pPr>
        <w:ind w:left="280" w:hanging="280"/>
        <w:spacing w:after="0"/>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is based upon the exercise price per Series A Warrant.</w:t>
      </w:r>
    </w:p>
    <w:p>
      <w:pPr>
        <w:spacing w:after="0" w:line="91" w:lineRule="exact"/>
        <w:rPr>
          <w:rFonts w:ascii="Times New Roman" w:cs="Times New Roman" w:eastAsia="Times New Roman" w:hAnsi="Times New Roman"/>
          <w:sz w:val="17"/>
          <w:szCs w:val="17"/>
          <w:color w:val="auto"/>
        </w:rPr>
      </w:pPr>
    </w:p>
    <w:p>
      <w:pPr>
        <w:ind w:left="280" w:hanging="280"/>
        <w:spacing w:after="0"/>
        <w:tabs>
          <w:tab w:leader="none" w:pos="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 share is based upon the exercise price per Series Z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14248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sectPr>
      <w:pgSz w:w="11900" w:h="16838" w:orient="portrait"/>
      <w:cols w:equalWidth="0" w:num="1">
        <w:col w:w="11340"/>
      </w:cols>
      <w:pgMar w:left="320" w:top="2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Roman"/>
      <w:start w:val="1"/>
    </w:lvl>
  </w:abstractNum>
  <w:abstractNum w:abstractNumId="1">
    <w:nsid w:val="25E45D32"/>
    <w:multiLevelType w:val="hybridMultilevel"/>
    <w:lvl w:ilvl="0">
      <w:lvlJc w:val="left"/>
      <w:lvlText w:val="(%1)"/>
      <w:numFmt w:val="lowerRoman"/>
      <w:start w:val="1"/>
    </w:lvl>
  </w:abstractNum>
  <w:abstractNum w:abstractNumId="2">
    <w:nsid w:val="519B500D"/>
    <w:multiLevelType w:val="hybridMultilevel"/>
    <w:lvl w:ilvl="0">
      <w:lvlJc w:val="left"/>
      <w:lvlText w:val=" "/>
      <w:numFmt w:val="bullet"/>
      <w:start w:val="1"/>
    </w:lvl>
  </w:abstractNum>
  <w:abstractNum w:abstractNumId="3">
    <w:nsid w:val="431BD7B7"/>
    <w:multiLevelType w:val="hybridMultilevel"/>
    <w:lvl w:ilvl="0">
      <w:lvlJc w:val="left"/>
      <w:lvlText w:val="X"/>
      <w:numFmt w:val="bullet"/>
      <w:start w:val="1"/>
    </w:lvl>
  </w:abstractNum>
  <w:abstractNum w:abstractNumId="4">
    <w:nsid w:val="3F2DBA31"/>
    <w:multiLevelType w:val="hybridMultilevel"/>
    <w:lvl w:ilvl="0">
      <w:lvlJc w:val="left"/>
      <w:lvlText w:val="Y"/>
      <w:numFmt w:val="bullet"/>
      <w:start w:val="1"/>
    </w:lvl>
  </w:abstractNum>
  <w:abstractNum w:abstractNumId="5">
    <w:nsid w:val="7C83E458"/>
    <w:multiLevelType w:val="hybridMultilevel"/>
    <w:lvl w:ilvl="0">
      <w:lvlJc w:val="left"/>
      <w:lvlText w:val=" "/>
      <w:numFmt w:val="bullet"/>
      <w:start w:val="1"/>
    </w:lvl>
  </w:abstractNum>
  <w:abstractNum w:abstractNumId="6">
    <w:nsid w:val="257130A3"/>
    <w:multiLevelType w:val="hybridMultilevel"/>
    <w:lvl w:ilvl="0">
      <w:lvlJc w:val="left"/>
      <w:lvlText w:val=" "/>
      <w:numFmt w:val="bullet"/>
      <w:start w:val="1"/>
    </w:lvl>
  </w:abstractNum>
  <w:abstractNum w:abstractNumId="7">
    <w:nsid w:val="62BBD95A"/>
    <w:multiLevelType w:val="hybridMultilevel"/>
    <w:lvl w:ilvl="0">
      <w:lvlJc w:val="left"/>
      <w:lvlText w:val=" "/>
      <w:numFmt w:val="bullet"/>
      <w:start w:val="1"/>
    </w:lvl>
  </w:abstractNum>
  <w:abstractNum w:abstractNumId="8">
    <w:nsid w:val="436C6125"/>
    <w:multiLevelType w:val="hybridMultilevel"/>
    <w:lvl w:ilvl="0">
      <w:lvlJc w:val="left"/>
      <w:lvlText w:val="C"/>
      <w:numFmt w:val="bullet"/>
      <w:start w:val="1"/>
    </w:lvl>
  </w:abstractNum>
  <w:abstractNum w:abstractNumId="9">
    <w:nsid w:val="628C895D"/>
    <w:multiLevelType w:val="hybridMultilevel"/>
    <w:lvl w:ilvl="0">
      <w:lvlJc w:val="left"/>
      <w:lvlText w:val="(%1)"/>
      <w:numFmt w:val="upperLetter"/>
      <w:start w:val="9"/>
    </w:lvl>
  </w:abstractNum>
  <w:abstractNum w:abstractNumId="10">
    <w:nsid w:val="333AB105"/>
    <w:multiLevelType w:val="hybridMultilevel"/>
    <w:lvl w:ilvl="0">
      <w:lvlJc w:val="left"/>
      <w:lvlText w:val="(%1)"/>
      <w:numFmt w:val="lowerRoman"/>
      <w:start w:val="2"/>
    </w:lvl>
  </w:abstractNum>
  <w:abstractNum w:abstractNumId="11">
    <w:nsid w:val="721DA317"/>
    <w:multiLevelType w:val="hybridMultilevel"/>
    <w:lvl w:ilvl="0">
      <w:lvlJc w:val="left"/>
      <w:lvlText w:val="(%1)"/>
      <w:numFmt w:val="lowerRoman"/>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480"/>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jpe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jpe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53" Type="http://schemas.openxmlformats.org/officeDocument/2006/relationships/hyperlink" Target="https://www.sec.gov/ix?doc=/Archives/edgar/data/1801169/000180116925000017/open-20241231.htm" TargetMode="External"/><Relationship Id="rId54" Type="http://schemas.openxmlformats.org/officeDocument/2006/relationships/hyperlink" Target="https://www.sec.gov/ix?doc=/Archives/edgar/data/1801169/000114036125015722/ny20044754x1_def14a.htm" TargetMode="External"/><Relationship Id="rId55" Type="http://schemas.openxmlformats.org/officeDocument/2006/relationships/hyperlink" Target="https://www.sec.gov/ix?doc=/Archives/edgar/data/1801169/000180116925000038/open-20250331.htm" TargetMode="External"/><Relationship Id="rId56" Type="http://schemas.openxmlformats.org/officeDocument/2006/relationships/hyperlink" Target="https://www.sec.gov/ix?doc=/Archives/edgar/data/1801169/000180116925000074/open-20250630.htm" TargetMode="External"/><Relationship Id="rId57" Type="http://schemas.openxmlformats.org/officeDocument/2006/relationships/hyperlink" Target="https://www.sec.gov/ix?doc=/Archives/edgar/data/1801169/000180116925000092/open-20250930.htm" TargetMode="External"/><Relationship Id="rId58" Type="http://schemas.openxmlformats.org/officeDocument/2006/relationships/hyperlink" Target="https://www.sec.gov/ix?doc=/Archives/edgar/data/1801169/000114036125018030/ef20048700_8k.htm" TargetMode="External"/><Relationship Id="rId59" Type="http://schemas.openxmlformats.org/officeDocument/2006/relationships/hyperlink" Target="https://www.sec.gov/ix?doc=/Archives/edgar/data/1801169/000114036125019770/ef20049190_8k.htm" TargetMode="External"/><Relationship Id="rId60" Type="http://schemas.openxmlformats.org/officeDocument/2006/relationships/hyperlink" Target="https://www.sec.gov/ix?doc=/Archives/edgar/data/1801169/000180116925000042/open-20250528.htm" TargetMode="External"/><Relationship Id="rId61" Type="http://schemas.openxmlformats.org/officeDocument/2006/relationships/hyperlink" Target="https://www.sec.gov/ix?doc=/Archives/edgar/data/1801169/000180116925000044/open-20250613.htm" TargetMode="External"/><Relationship Id="rId62" Type="http://schemas.openxmlformats.org/officeDocument/2006/relationships/hyperlink" Target="https://www.sec.gov/ix?doc=/Archives/edgar/data/1801169/000180116925000069/open-20250731.htm" TargetMode="External"/><Relationship Id="rId63" Type="http://schemas.openxmlformats.org/officeDocument/2006/relationships/hyperlink" Target="https://www.sec.gov/ix?doc=/Archives/edgar/data/1801169/000114036125031416/ef20054058_8k.htm" TargetMode="External"/><Relationship Id="rId64" Type="http://schemas.openxmlformats.org/officeDocument/2006/relationships/hyperlink" Target="https://www.sec.gov/ix?doc=/Archives/edgar/data/1801169/000114036125033195/ef20054807_8ka.htm" TargetMode="External"/><Relationship Id="rId65" Type="http://schemas.openxmlformats.org/officeDocument/2006/relationships/hyperlink" Target="https://www.sec.gov/ix?doc=/Archives/edgar/data/1801169/000114036125034609/ef20055426_8k.htm" TargetMode="External"/><Relationship Id="rId66" Type="http://schemas.openxmlformats.org/officeDocument/2006/relationships/hyperlink" Target="https://www.sec.gov/ix?doc=/Archives/edgar/data/1801169/000180116925000082/open-20250916.htm" TargetMode="External"/><Relationship Id="rId67" Type="http://schemas.openxmlformats.org/officeDocument/2006/relationships/hyperlink" Target="https://www.sec.gov/ix?doc=/Archives/edgar/data/1801169/000114036125035480/ef20055829_8k.htm" TargetMode="External"/><Relationship Id="rId68" Type="http://schemas.openxmlformats.org/officeDocument/2006/relationships/hyperlink" Target="https://www.sec.gov/ix?doc=/Archives/edgar/data/1801169/000180116925000086/open-20251001.htm" TargetMode="External"/><Relationship Id="rId69" Type="http://schemas.openxmlformats.org/officeDocument/2006/relationships/hyperlink" Target="https://www.sec.gov/ix?doc=/Archives/edgar/data/1801169/000180116925000090/open-20251106.htm" TargetMode="External"/><Relationship Id="rId70" Type="http://schemas.openxmlformats.org/officeDocument/2006/relationships/hyperlink" Target="https://www.sec.gov/ix?doc=/Archives/edgar/data/1801169/000114036125040966/ny20058304x3_8k.htm" TargetMode="External"/><Relationship Id="rId71" Type="http://schemas.openxmlformats.org/officeDocument/2006/relationships/hyperlink" Target="https://www.sec.gov/Archives/edgar/data/1801169/000180116925000017/a2024ex46descriptionofcapi.htm" TargetMode="External"/><Relationship Id="rId78" Type="http://schemas.openxmlformats.org/officeDocument/2006/relationships/hyperlink" Target="https://www.sec.gov/ix?doc=/Archives/edgar/data/0001801169/000180116924000016/open-20231231.htm" TargetMode="External"/><Relationship Id="rId79" Type="http://schemas.openxmlformats.org/officeDocument/2006/relationships/hyperlink" Target="https://www.sec.gov/ix?doc=/Archives/edgar/data/1801169/000114036124021743/ny20018669x1_def14a.htm" TargetMode="External"/><Relationship Id="rId80" Type="http://schemas.openxmlformats.org/officeDocument/2006/relationships/hyperlink" Target="https://www.sec.gov/Archives/edgar/data/1801169/000180116924000087/proxysupplementmay2024.htm" TargetMode="External"/><Relationship Id="rId81" Type="http://schemas.openxmlformats.org/officeDocument/2006/relationships/hyperlink" Target="https://www.sec.gov/ix?doc=/Archives/edgar/data/1801169/000180116924000085/open-20240331.htm" TargetMode="External"/><Relationship Id="rId82" Type="http://schemas.openxmlformats.org/officeDocument/2006/relationships/hyperlink" Target="https://www.sec.gov/ix?doc=/Archives/edgar/data/1801169/000180116924000086/open-20240502.htm" TargetMode="External"/><Relationship Id="rId83" Type="http://schemas.openxmlformats.org/officeDocument/2006/relationships/hyperlink" Target="https://www.sec.gov/Archives/edgar/data/1801169/000180116921000011/a2020ex43x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2025-11-21T15:42:09Z</dcterms:created>
  <dcterms:modified xsi:type="dcterms:W3CDTF">2025-11-21T15:42:09Z</dcterms:modified>
</cp:coreProperties>
</file>