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 to ____________.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001-39253 </w:t>
      </w:r>
    </w:p>
    <w:p>
      <w:pPr>
        <w:pStyle w:val="TextBody"/>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Opendoor Technologies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710" w:type="dxa"/>
        <w:jc w:val="left"/>
        <w:tblInd w:w="0" w:type="dxa"/>
        <w:tblCellMar>
          <w:top w:w="28" w:type="dxa"/>
          <w:left w:w="28" w:type="dxa"/>
          <w:bottom w:w="28" w:type="dxa"/>
          <w:right w:w="28" w:type="dxa"/>
        </w:tblCellMar>
      </w:tblPr>
      <w:tblGrid>
        <w:gridCol w:w="424"/>
        <w:gridCol w:w="371"/>
        <w:gridCol w:w="371"/>
        <w:gridCol w:w="371"/>
        <w:gridCol w:w="371"/>
        <w:gridCol w:w="371"/>
        <w:gridCol w:w="353"/>
        <w:gridCol w:w="353"/>
        <w:gridCol w:w="369"/>
        <w:gridCol w:w="109"/>
        <w:gridCol w:w="109"/>
        <w:gridCol w:w="109"/>
        <w:gridCol w:w="884"/>
        <w:gridCol w:w="884"/>
        <w:gridCol w:w="1261"/>
      </w:tblGrid>
      <w:tr>
        <w:trPr/>
        <w:tc>
          <w:tcPr>
            <w:tcW w:w="42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30-1318214</w:t>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410 N. Scottsdale Road,</w:t>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Suite 1600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Tempe,</w:t>
            </w:r>
          </w:p>
        </w:tc>
        <w:tc>
          <w:tcPr>
            <w:tcW w:w="11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AZ</w:t>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85281</w:t>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(480) 618-6760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94" w:type="dxa"/>
        <w:jc w:val="left"/>
        <w:tblInd w:w="0" w:type="dxa"/>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OPEN</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2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6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number of shares of registrant’s common stock outstanding as of April 27, 2023 was approximately 648,777,275.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2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428"/>
        <w:gridCol w:w="376"/>
        <w:gridCol w:w="376"/>
        <w:gridCol w:w="376"/>
        <w:gridCol w:w="376"/>
        <w:gridCol w:w="376"/>
        <w:gridCol w:w="2433"/>
        <w:gridCol w:w="2430"/>
        <w:gridCol w:w="2458"/>
        <w:gridCol w:w="167"/>
        <w:gridCol w:w="167"/>
        <w:gridCol w:w="242"/>
      </w:tblGrid>
      <w:tr>
        <w:trPr/>
        <w:tc>
          <w:tcPr>
            <w:tcW w:w="42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433"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bottom w:val="single" w:sz="2"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321" w:type="dxa"/>
            <w:gridSpan w:val="3"/>
            <w:tcBorders>
              <w:bottom w:val="single" w:sz="2"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29" w:type="dxa"/>
            <w:gridSpan w:val="9"/>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0"/>
              <w:jc w:val="left"/>
              <w:rPr/>
            </w:pPr>
            <w:hyperlink w:anchor="i1f7e89f2c4b8424a8500ac1f3fab4313_16">
              <w:r>
                <w:rPr>
                  <w:rStyle w:val="InternetLink"/>
                  <w:rFonts w:ascii="Times New Roman;sans-serif" w:hAnsi="Times New Roman;sans-serif"/>
                  <w:b/>
                  <w:color w:val="000000"/>
                  <w:sz w:val="20"/>
                  <w:u w:val="single"/>
                </w:rPr>
                <w:t>PART I - FINANCIAL INFORMATION</w:t>
              </w:r>
            </w:hyperlink>
          </w:p>
        </w:tc>
        <w:tc>
          <w:tcPr>
            <w:tcW w:w="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9">
              <w:r>
                <w:rPr>
                  <w:rStyle w:val="InternetLink"/>
                  <w:rFonts w:ascii="Times New Roman;sans-serif" w:hAnsi="Times New Roman;sans-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9">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53" w:after="30"/>
              <w:jc w:val="right"/>
              <w:rPr/>
            </w:pPr>
            <w:hyperlink w:anchor="i1f7e89f2c4b8424a8500ac1f3fab4313_19">
              <w:r>
                <w:rPr>
                  <w:rStyle w:val="InternetLink"/>
                  <w:rFonts w:ascii="Times New Roman;sans-serif" w:hAnsi="Times New Roman;sans-serif"/>
                  <w:b w:val="false"/>
                  <w:strike w:val="false"/>
                  <w:dstrike w:val="false"/>
                  <w:color w:val="000000"/>
                  <w:sz w:val="20"/>
                  <w:u w:val="none"/>
                  <w:effect w:val="none"/>
                </w:rPr>
                <w:t>3</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22">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22">
              <w:r>
                <w:rPr>
                  <w:rStyle w:val="InternetLink"/>
                  <w:rFonts w:ascii="Times New Roman;sans-serif" w:hAnsi="Times New Roman;sans-serif"/>
                  <w:b w:val="false"/>
                  <w:strike w:val="false"/>
                  <w:dstrike w:val="false"/>
                  <w:color w:val="000000"/>
                  <w:sz w:val="20"/>
                  <w:u w:val="none"/>
                  <w:effect w:val="none"/>
                </w:rPr>
                <w:t>3</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25">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25">
              <w:r>
                <w:rPr>
                  <w:rStyle w:val="InternetLink"/>
                  <w:rFonts w:ascii="Times New Roman;sans-serif" w:hAnsi="Times New Roman;sans-serif"/>
                  <w:b w:val="false"/>
                  <w:strike w:val="false"/>
                  <w:dstrike w:val="false"/>
                  <w:color w:val="000000"/>
                  <w:sz w:val="20"/>
                  <w:u w:val="none"/>
                  <w:effect w:val="none"/>
                </w:rPr>
                <w:t>4</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28">
              <w:r>
                <w:rPr>
                  <w:rStyle w:val="InternetLink"/>
                </w:rPr>
                <w:t xml:space="preserve">Condensed Consolidated Statements of Comprehensive </w:t>
              </w:r>
            </w:hyperlink>
            <w:hyperlink w:anchor="i1f7e89f2c4b8424a8500ac1f3fab4313_28">
              <w:r>
                <w:rPr>
                  <w:rStyle w:val="InternetLink"/>
                </w:rPr>
                <w:t>(</w:t>
              </w:r>
            </w:hyperlink>
            <w:hyperlink w:anchor="i1f7e89f2c4b8424a8500ac1f3fab4313_28">
              <w:r>
                <w:rPr>
                  <w:rStyle w:val="InternetLink"/>
                </w:rPr>
                <w:t>Loss</w:t>
              </w:r>
            </w:hyperlink>
            <w:r>
              <w:rPr>
                <w:rFonts w:ascii="Times New Roman;sans-serif" w:hAnsi="Times New Roman;sans-serif"/>
                <w:b w:val="false"/>
                <w:color w:val="000000"/>
                <w:sz w:val="20"/>
              </w:rPr>
              <w:t>) Income</w:t>
            </w:r>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28">
              <w:r>
                <w:rPr>
                  <w:rStyle w:val="InternetLink"/>
                  <w:rFonts w:ascii="Times New Roman;sans-serif" w:hAnsi="Times New Roman;sans-serif"/>
                  <w:b w:val="false"/>
                  <w:strike w:val="false"/>
                  <w:dstrike w:val="false"/>
                  <w:color w:val="000000"/>
                  <w:sz w:val="20"/>
                  <w:u w:val="none"/>
                  <w:effect w:val="none"/>
                </w:rPr>
                <w:t>5</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31">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31">
              <w:r>
                <w:rPr>
                  <w:rStyle w:val="InternetLink"/>
                  <w:rFonts w:ascii="Times New Roman;sans-serif" w:hAnsi="Times New Roman;sans-serif"/>
                  <w:b w:val="false"/>
                  <w:strike w:val="false"/>
                  <w:dstrike w:val="false"/>
                  <w:color w:val="000000"/>
                  <w:sz w:val="20"/>
                  <w:u w:val="none"/>
                  <w:effect w:val="none"/>
                </w:rPr>
                <w:t>6</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34">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34">
              <w:r>
                <w:rPr>
                  <w:rStyle w:val="InternetLink"/>
                  <w:rFonts w:ascii="Times New Roman;sans-serif" w:hAnsi="Times New Roman;sans-serif"/>
                  <w:b w:val="false"/>
                  <w:strike w:val="false"/>
                  <w:dstrike w:val="false"/>
                  <w:color w:val="000000"/>
                  <w:sz w:val="20"/>
                  <w:u w:val="none"/>
                  <w:effect w:val="none"/>
                </w:rPr>
                <w:t>7</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37">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37">
              <w:r>
                <w:rPr>
                  <w:rStyle w:val="InternetLink"/>
                  <w:rFonts w:ascii="Times New Roman;sans-serif" w:hAnsi="Times New Roman;sans-serif"/>
                  <w:b w:val="false"/>
                  <w:strike w:val="false"/>
                  <w:dstrike w:val="false"/>
                  <w:color w:val="000000"/>
                  <w:sz w:val="20"/>
                  <w:u w:val="none"/>
                  <w:effect w:val="none"/>
                </w:rPr>
                <w:t>8</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97">
              <w:r>
                <w:rPr>
                  <w:rStyle w:val="InternetLink"/>
                  <w:rFonts w:ascii="Times New Roman;sans-serif" w:hAnsi="Times New Roman;sans-serif"/>
                  <w:b w:val="false"/>
                  <w:strike w:val="false"/>
                  <w:dstrike w:val="false"/>
                  <w:color w:val="000000"/>
                  <w:sz w:val="20"/>
                  <w:u w:val="none"/>
                  <w:effect w:val="none"/>
                </w:rPr>
                <w:t>Item 2.</w:t>
              </w:r>
            </w:hyperlink>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97">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97">
              <w:r>
                <w:rPr>
                  <w:rStyle w:val="InternetLink"/>
                  <w:rFonts w:ascii="Times New Roman;sans-serif" w:hAnsi="Times New Roman;sans-serif"/>
                  <w:b w:val="false"/>
                  <w:strike w:val="false"/>
                  <w:dstrike w:val="false"/>
                  <w:color w:val="000000"/>
                  <w:sz w:val="20"/>
                  <w:u w:val="none"/>
                  <w:effect w:val="none"/>
                </w:rPr>
                <w:t>26</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33">
              <w:r>
                <w:rPr>
                  <w:rStyle w:val="InternetLink"/>
                  <w:rFonts w:ascii="Times New Roman;sans-serif" w:hAnsi="Times New Roman;sans-serif"/>
                  <w:b w:val="false"/>
                  <w:strike w:val="false"/>
                  <w:dstrike w:val="false"/>
                  <w:color w:val="000000"/>
                  <w:sz w:val="20"/>
                  <w:u w:val="none"/>
                  <w:effect w:val="none"/>
                </w:rPr>
                <w:t>Item 3.</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33">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33">
              <w:r>
                <w:rPr>
                  <w:rStyle w:val="InternetLink"/>
                  <w:rFonts w:ascii="Times New Roman;sans-serif" w:hAnsi="Times New Roman;sans-serif"/>
                  <w:b w:val="false"/>
                  <w:strike w:val="false"/>
                  <w:dstrike w:val="false"/>
                  <w:color w:val="000000"/>
                  <w:sz w:val="20"/>
                  <w:u w:val="none"/>
                  <w:effect w:val="none"/>
                </w:rPr>
                <w:t>42</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36">
              <w:r>
                <w:rPr>
                  <w:rStyle w:val="InternetLink"/>
                  <w:rFonts w:ascii="Times New Roman;sans-serif" w:hAnsi="Times New Roman;sans-serif"/>
                  <w:b w:val="false"/>
                  <w:strike w:val="false"/>
                  <w:dstrike w:val="false"/>
                  <w:color w:val="000000"/>
                  <w:sz w:val="20"/>
                  <w:u w:val="none"/>
                  <w:effect w:val="none"/>
                </w:rPr>
                <w:t>Item 4.</w:t>
              </w:r>
            </w:hyperlink>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36">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36">
              <w:r>
                <w:rPr>
                  <w:rStyle w:val="InternetLink"/>
                  <w:rFonts w:ascii="Times New Roman;sans-serif" w:hAnsi="Times New Roman;sans-serif"/>
                  <w:b w:val="false"/>
                  <w:strike w:val="false"/>
                  <w:dstrike w:val="false"/>
                  <w:color w:val="000000"/>
                  <w:sz w:val="20"/>
                  <w:u w:val="none"/>
                  <w:effect w:val="none"/>
                </w:rPr>
                <w:t>42</w:t>
              </w:r>
            </w:hyperlink>
          </w:p>
        </w:tc>
      </w:tr>
      <w:tr>
        <w:trPr/>
        <w:tc>
          <w:tcPr>
            <w:tcW w:w="9629" w:type="dxa"/>
            <w:gridSpan w:val="9"/>
            <w:tcBorders>
              <w:bottom w:val="single" w:sz="2" w:space="0" w:color="FFFFFF"/>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9" w:type="dxa"/>
            <w:gridSpan w:val="9"/>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0"/>
              <w:jc w:val="left"/>
              <w:rPr/>
            </w:pPr>
            <w:hyperlink w:anchor="i1f7e89f2c4b8424a8500ac1f3fab4313_139">
              <w:r>
                <w:rPr>
                  <w:rStyle w:val="InternetLink"/>
                  <w:rFonts w:ascii="Times New Roman;sans-serif" w:hAnsi="Times New Roman;sans-serif"/>
                  <w:b/>
                  <w:color w:val="000000"/>
                  <w:sz w:val="20"/>
                  <w:u w:val="single"/>
                </w:rPr>
                <w:t>PART II - OTHER INFORMATION</w:t>
              </w:r>
            </w:hyperlink>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2">
              <w:r>
                <w:rPr>
                  <w:rStyle w:val="InternetLink"/>
                  <w:rFonts w:ascii="Times New Roman;sans-serif" w:hAnsi="Times New Roman;sans-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2">
              <w:r>
                <w:rPr>
                  <w:rStyle w:val="InternetLink"/>
                  <w:rFonts w:ascii="Times New Roman;sans-serif" w:hAnsi="Times New Roman;sans-serif"/>
                  <w:b w:val="false"/>
                  <w:strike w:val="false"/>
                  <w:dstrike w:val="false"/>
                  <w:color w:val="000000"/>
                  <w:sz w:val="20"/>
                  <w:u w:val="none"/>
                  <w:effect w:val="none"/>
                </w:rPr>
                <w:t>Legal Proceedings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42">
              <w:r>
                <w:rPr>
                  <w:rStyle w:val="InternetLink"/>
                  <w:rFonts w:ascii="Times New Roman;sans-serif" w:hAnsi="Times New Roman;sans-serif"/>
                  <w:b w:val="false"/>
                  <w:strike w:val="false"/>
                  <w:dstrike w:val="false"/>
                  <w:color w:val="000000"/>
                  <w:sz w:val="20"/>
                  <w:u w:val="none"/>
                  <w:effect w:val="none"/>
                </w:rPr>
                <w:t>43</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5">
              <w:r>
                <w:rPr>
                  <w:rStyle w:val="InternetLink"/>
                  <w:rFonts w:ascii="Times New Roman;sans-serif" w:hAnsi="Times New Roman;sans-serif"/>
                  <w:b w:val="false"/>
                  <w:strike w:val="false"/>
                  <w:dstrike w:val="false"/>
                  <w:color w:val="000000"/>
                  <w:sz w:val="20"/>
                  <w:u w:val="none"/>
                  <w:effect w:val="none"/>
                </w:rPr>
                <w:t>Item 1A.</w:t>
              </w:r>
            </w:hyperlink>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5">
              <w:r>
                <w:rPr>
                  <w:rStyle w:val="InternetLink"/>
                  <w:rFonts w:ascii="Times New Roman;sans-serif" w:hAnsi="Times New Roman;sans-serif"/>
                  <w:b w:val="false"/>
                  <w:strike w:val="false"/>
                  <w:dstrike w:val="false"/>
                  <w:color w:val="000000"/>
                  <w:sz w:val="20"/>
                  <w:u w:val="none"/>
                  <w:effect w:val="none"/>
                </w:rPr>
                <w:t>Risk Factors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45">
              <w:r>
                <w:rPr>
                  <w:rStyle w:val="InternetLink"/>
                  <w:rFonts w:ascii="Times New Roman;sans-serif" w:hAnsi="Times New Roman;sans-serif"/>
                  <w:b w:val="false"/>
                  <w:strike w:val="false"/>
                  <w:dstrike w:val="false"/>
                  <w:color w:val="000000"/>
                  <w:sz w:val="20"/>
                  <w:u w:val="none"/>
                  <w:effect w:val="none"/>
                </w:rPr>
                <w:t>43</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8">
              <w:r>
                <w:rPr>
                  <w:rStyle w:val="InternetLink"/>
                  <w:rFonts w:ascii="Times New Roman;sans-serif" w:hAnsi="Times New Roman;sans-serif"/>
                  <w:b w:val="false"/>
                  <w:strike w:val="false"/>
                  <w:dstrike w:val="false"/>
                  <w:color w:val="000000"/>
                  <w:sz w:val="20"/>
                  <w:u w:val="none"/>
                  <w:effect w:val="none"/>
                </w:rPr>
                <w:t>Item 2.</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48">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48">
              <w:r>
                <w:rPr>
                  <w:rStyle w:val="InternetLink"/>
                  <w:rFonts w:ascii="Times New Roman;sans-serif" w:hAnsi="Times New Roman;sans-serif"/>
                  <w:b w:val="false"/>
                  <w:strike w:val="false"/>
                  <w:dstrike w:val="false"/>
                  <w:color w:val="000000"/>
                  <w:sz w:val="20"/>
                  <w:u w:val="none"/>
                  <w:effect w:val="none"/>
                </w:rPr>
                <w:t>43</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1">
              <w:r>
                <w:rPr>
                  <w:rStyle w:val="InternetLink"/>
                  <w:rFonts w:ascii="Times New Roman;sans-serif" w:hAnsi="Times New Roman;sans-serif"/>
                  <w:b w:val="false"/>
                  <w:strike w:val="false"/>
                  <w:dstrike w:val="false"/>
                  <w:color w:val="000000"/>
                  <w:sz w:val="20"/>
                  <w:u w:val="none"/>
                  <w:effect w:val="none"/>
                </w:rPr>
                <w:t>Item 3.</w:t>
              </w:r>
            </w:hyperlink>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1">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51">
              <w:r>
                <w:rPr>
                  <w:rStyle w:val="InternetLink"/>
                  <w:rFonts w:ascii="Times New Roman;sans-serif" w:hAnsi="Times New Roman;sans-serif"/>
                  <w:b w:val="false"/>
                  <w:strike w:val="false"/>
                  <w:dstrike w:val="false"/>
                  <w:color w:val="000000"/>
                  <w:sz w:val="20"/>
                  <w:u w:val="none"/>
                  <w:effect w:val="none"/>
                </w:rPr>
                <w:t>44</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4">
              <w:r>
                <w:rPr>
                  <w:rStyle w:val="InternetLink"/>
                  <w:rFonts w:ascii="Times New Roman;sans-serif" w:hAnsi="Times New Roman;sans-serif"/>
                  <w:b w:val="false"/>
                  <w:strike w:val="false"/>
                  <w:dstrike w:val="false"/>
                  <w:color w:val="000000"/>
                  <w:sz w:val="20"/>
                  <w:u w:val="none"/>
                  <w:effect w:val="none"/>
                </w:rPr>
                <w:t>Item 4.</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4">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54">
              <w:r>
                <w:rPr>
                  <w:rStyle w:val="InternetLink"/>
                  <w:rFonts w:ascii="Times New Roman;sans-serif" w:hAnsi="Times New Roman;sans-serif"/>
                  <w:b w:val="false"/>
                  <w:strike w:val="false"/>
                  <w:dstrike w:val="false"/>
                  <w:color w:val="000000"/>
                  <w:sz w:val="20"/>
                  <w:u w:val="none"/>
                  <w:effect w:val="none"/>
                </w:rPr>
                <w:t>44</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7">
              <w:r>
                <w:rPr>
                  <w:rStyle w:val="InternetLink"/>
                  <w:rFonts w:ascii="Times New Roman;sans-serif" w:hAnsi="Times New Roman;sans-serif"/>
                  <w:b w:val="false"/>
                  <w:strike w:val="false"/>
                  <w:dstrike w:val="false"/>
                  <w:color w:val="000000"/>
                  <w:sz w:val="20"/>
                  <w:u w:val="none"/>
                  <w:effect w:val="none"/>
                </w:rPr>
                <w:t>Item 5.</w:t>
              </w:r>
            </w:hyperlink>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57">
              <w:r>
                <w:rPr>
                  <w:rStyle w:val="InternetLink"/>
                  <w:rFonts w:ascii="Times New Roman;sans-serif" w:hAnsi="Times New Roman;sans-serif"/>
                  <w:b w:val="false"/>
                  <w:strike w:val="false"/>
                  <w:dstrike w:val="false"/>
                  <w:color w:val="000000"/>
                  <w:sz w:val="20"/>
                  <w:u w:val="none"/>
                  <w:effect w:val="none"/>
                </w:rPr>
                <w:t>Other Information</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57">
              <w:r>
                <w:rPr>
                  <w:rStyle w:val="InternetLink"/>
                  <w:rFonts w:ascii="Times New Roman;sans-serif" w:hAnsi="Times New Roman;sans-serif"/>
                  <w:b w:val="false"/>
                  <w:strike w:val="false"/>
                  <w:dstrike w:val="false"/>
                  <w:color w:val="000000"/>
                  <w:sz w:val="20"/>
                  <w:u w:val="none"/>
                  <w:effect w:val="none"/>
                </w:rPr>
                <w:t>44</w:t>
              </w:r>
            </w:hyperlink>
          </w:p>
        </w:tc>
      </w:tr>
      <w:tr>
        <w:trPr/>
        <w:tc>
          <w:tcPr>
            <w:tcW w:w="11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60">
              <w:r>
                <w:rPr>
                  <w:rStyle w:val="InternetLink"/>
                  <w:rFonts w:ascii="Times New Roman;sans-serif" w:hAnsi="Times New Roman;sans-serif"/>
                  <w:b w:val="false"/>
                  <w:strike w:val="false"/>
                  <w:dstrike w:val="false"/>
                  <w:color w:val="000000"/>
                  <w:sz w:val="20"/>
                  <w:u w:val="none"/>
                  <w:effect w:val="none"/>
                </w:rPr>
                <w:t>Item 6.</w:t>
              </w:r>
            </w:hyperlink>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60">
              <w:r>
                <w:rPr>
                  <w:rStyle w:val="InternetLink"/>
                  <w:rFonts w:ascii="Times New Roman;sans-serif" w:hAnsi="Times New Roman;sans-serif"/>
                  <w:b w:val="false"/>
                  <w:strike w:val="false"/>
                  <w:dstrike w:val="false"/>
                  <w:color w:val="000000"/>
                  <w:sz w:val="20"/>
                  <w:u w:val="none"/>
                  <w:effect w:val="none"/>
                </w:rPr>
                <w:t>Exhibits</w:t>
              </w:r>
            </w:hyperlink>
          </w:p>
        </w:tc>
        <w:tc>
          <w:tcPr>
            <w:tcW w:w="57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60">
              <w:r>
                <w:rPr>
                  <w:rStyle w:val="InternetLink"/>
                  <w:rFonts w:ascii="Times New Roman;sans-serif" w:hAnsi="Times New Roman;sans-serif"/>
                  <w:b w:val="false"/>
                  <w:strike w:val="false"/>
                  <w:dstrike w:val="false"/>
                  <w:color w:val="000000"/>
                  <w:sz w:val="20"/>
                  <w:u w:val="none"/>
                  <w:effect w:val="none"/>
                </w:rPr>
                <w:t>44</w:t>
              </w:r>
            </w:hyperlink>
          </w:p>
        </w:tc>
      </w:tr>
      <w:tr>
        <w:trPr/>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f7e89f2c4b8424a8500ac1f3fab4313_163">
              <w:r>
                <w:rPr>
                  <w:rStyle w:val="InternetLink"/>
                  <w:rFonts w:ascii="Times New Roman;sans-serif" w:hAnsi="Times New Roman;sans-serif"/>
                  <w:b w:val="false"/>
                  <w:strike w:val="false"/>
                  <w:dstrike w:val="false"/>
                  <w:color w:val="000000"/>
                  <w:sz w:val="20"/>
                  <w:u w:val="none"/>
                  <w:effect w:val="none"/>
                </w:rPr>
                <w:t>Signatures</w:t>
              </w:r>
            </w:hyperlink>
          </w:p>
        </w:tc>
        <w:tc>
          <w:tcPr>
            <w:tcW w:w="57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f7e89f2c4b8424a8500ac1f3fab4313_163">
              <w:r>
                <w:rPr>
                  <w:rStyle w:val="InternetLink"/>
                  <w:rFonts w:ascii="Times New Roman;sans-serif" w:hAnsi="Times New Roman;sans-serif"/>
                  <w:b w:val="false"/>
                  <w:strike w:val="false"/>
                  <w:dstrike w:val="false"/>
                  <w:color w:val="000000"/>
                  <w:sz w:val="20"/>
                  <w:u w:val="none"/>
                  <w:effect w:val="none"/>
                </w:rPr>
                <w:t>46</w:t>
              </w:r>
            </w:hyperlink>
          </w:p>
        </w:tc>
      </w:tr>
    </w:tbl>
    <w:p>
      <w:pPr>
        <w:pStyle w:val="TextBody"/>
        <w:spacing w:before="240" w:after="283"/>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the health of our financial condition; anticipated future results of operations or financial performance; priorities of the Company to achieve future goals; our ability to continue to effectively navigate the markets in which it operates; anticipated future and ongoing impacts of our acquisitions and other business decisions; health of our balance sheet to weather ongoing market transitions; the Company’s ability to adopt an effective approach to manage economic and industry risk, as well as inventory health; business strategy and plans, including plans to expand into additional markets; market opportunity and expansion and objectives of management for future operations, including our statements regarding the benefits and timing of the roll out of new markets, products, or technology; and the expected diversification of funding sources, are forward-looking statements. When used in this Quarterly Report on Form 10-Q,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w:t>
      </w:r>
    </w:p>
    <w:p>
      <w:pPr>
        <w:pStyle w:val="TextBody"/>
        <w:spacing w:lineRule="auto" w:line="288" w:before="24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current and future health and stability of the economy, financial conditions and residential housing market, including any extended downturn or slowdown;</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real estate assets and increased competition in the U.S. residential real estate industry;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ability to operate and grow our core business products, including the ability to obtain sufficient financing and resell purchased homes;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investment of resources to pursue strategies and develop new products and services that may not prove effective or that are not attractive to customers and real estate partners or that do not allow us to compete successfully;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acquire and resell homes profitably;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grow market share in our existing markets or any new markets we may enter;</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manage our growth effectively;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access sources of capital, including debt financing and securitization funding to finance our real estate inventories and other sources of capital to finance operations and growth;</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maintain and enhance our products and brand, and to attract customers;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manage, develop and refine our technology platform, including our automated pricing and valuation technology;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ability to comply with multiple listing service rules and requirements to access and use listing data, and to maintain or establish relationships with listings and data providers;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ability to obtain or maintain licenses and permits to support our current and future business operations;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any future impact of the ongoing COVID-19 pandemic (including future variants) or other public health crises on our ability to operate, demand for our products or services, or general economic conditions;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acquisitions, strategic partnerships, joint ventures, capital-raising activities or other corporate transactions or commitments by us or our competitors;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actual or anticipated changes in technology, products, markets or services by us or our competitors;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our success in retaining or recruiting, or changes required in, our officers, key employees and/or directors;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the impact of the regulatory environment within our industry and complexities with compliance related to such environment;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changes in laws or government regulation affecting our business; and</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the impact of pending or any future litigation or regulatory actions.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including, without limitation, those described in the “Risk Factors” section of this Quarterly Report on Form 10-Q and on Part I. Item 1A “ Risk Factors” in our Annual Report on Form 10-K for the year ended December 31, 2022 (the “Annual Report”), our actual results or performance may be materially different from those expressed or implied by these forward-looking statements. You should not place undue reliance on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before="0" w:after="0"/>
        <w:ind w:left="0" w:right="0" w:firstLine="720"/>
        <w:jc w:val="center"/>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pPr>
      <w:r>
        <w:rPr>
          <w:rFonts w:ascii="Times New Roman;sans-serif" w:hAnsi="Times New Roman;sans-serif"/>
          <w:b w:val="false"/>
          <w:color w:val="000000"/>
          <w:sz w:val="18"/>
        </w:rPr>
        <w:t xml:space="preserve">(In millions, except </w:t>
      </w:r>
      <w:r>
        <w:rPr>
          <w:rFonts w:ascii="Times New Roman;sans-serif" w:hAnsi="Times New Roman;sans-serif"/>
          <w:b w:val="false"/>
          <w:color w:val="000000"/>
          <w:sz w:val="20"/>
        </w:rPr>
        <w:t>s</w:t>
      </w:r>
      <w:r>
        <w:rPr>
          <w:rFonts w:ascii="Times New Roman;sans-serif" w:hAnsi="Times New Roman;sans-serif"/>
          <w:b w:val="false"/>
          <w:color w:val="000000"/>
          <w:sz w:val="18"/>
        </w:rPr>
        <w:t>hare data)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left"/>
        <w:tblInd w:w="0" w:type="dxa"/>
        <w:tblCellMar>
          <w:top w:w="28" w:type="dxa"/>
          <w:left w:w="28" w:type="dxa"/>
          <w:bottom w:w="28" w:type="dxa"/>
          <w:right w:w="28" w:type="dxa"/>
        </w:tblCellMar>
      </w:tblPr>
      <w:tblGrid>
        <w:gridCol w:w="2973"/>
        <w:gridCol w:w="2319"/>
        <w:gridCol w:w="2348"/>
        <w:gridCol w:w="109"/>
        <w:gridCol w:w="109"/>
        <w:gridCol w:w="109"/>
        <w:gridCol w:w="196"/>
        <w:gridCol w:w="556"/>
        <w:gridCol w:w="109"/>
        <w:gridCol w:w="109"/>
        <w:gridCol w:w="109"/>
        <w:gridCol w:w="109"/>
        <w:gridCol w:w="226"/>
        <w:gridCol w:w="643"/>
        <w:gridCol w:w="181"/>
      </w:tblGrid>
      <w:tr>
        <w:trPr/>
        <w:tc>
          <w:tcPr>
            <w:tcW w:w="2973"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2022</w:t>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Escrow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inventory,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 ($0 and $1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 –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 -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 –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3,000,000,000 shares authorized; 647,607,920 and 637,387,025 shares issued, respectively; 647,607,920 and 637,387,025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4,148 </w:t>
            </w:r>
          </w:p>
        </w:tc>
        <w:tc>
          <w:tcPr>
            <w:tcW w:w="18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w:t>
            </w:r>
          </w:p>
        </w:tc>
        <w:tc>
          <w:tcPr>
            <w:tcW w:w="18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w:t>
      </w:r>
    </w:p>
    <w:p>
      <w:pPr>
        <w:pStyle w:val="TextBody"/>
        <w:spacing w:lineRule="auto" w:line="288" w:before="120" w:after="283"/>
        <w:ind w:left="0" w:right="0" w:hanging="360"/>
        <w:rPr/>
      </w:pPr>
      <w:r>
        <w:rPr>
          <w:rFonts w:ascii="Times New Roman;sans-serif" w:hAnsi="Times New Roman;sans-serif"/>
          <w:b w:val="false"/>
          <w:color w:val="000000"/>
          <w:sz w:val="10"/>
        </w:rPr>
        <w:t>(1)</w:t>
      </w:r>
      <w:r>
        <w:rPr>
          <w:rFonts w:ascii="Times New Roman;sans-serif" w:hAnsi="Times New Roman;sans-serif"/>
          <w:b w:val="false"/>
          <w:color w:val="000000"/>
          <w:sz w:val="16"/>
        </w:rPr>
        <w:t>The Company’s consolidated assets at March 31, 2023 and December 31, 2022 include the following assets of certain variable interest entities (“VIEs”) that can only be used to settle the liabilities of those VIEs: Restricted cash, $1,494 and $636; Real estate inventory, net, $2,007 and $4,408; Escrow receivable, $28 and $29; Other current assets, $15 and $9; and Total assets of $3,544 and $5,082, respectively.</w:t>
      </w:r>
    </w:p>
    <w:p>
      <w:pPr>
        <w:pStyle w:val="TextBody"/>
        <w:spacing w:lineRule="auto" w:line="288" w:before="60" w:after="283"/>
        <w:ind w:left="0" w:right="0" w:hanging="360"/>
        <w:rPr/>
      </w:pPr>
      <w:r>
        <w:rPr>
          <w:rFonts w:ascii="Times New Roman;sans-serif" w:hAnsi="Times New Roman;sans-serif"/>
          <w:b w:val="false"/>
          <w:color w:val="000000"/>
          <w:sz w:val="10"/>
        </w:rPr>
        <w:t>(2)</w:t>
      </w:r>
      <w:r>
        <w:rPr>
          <w:rFonts w:ascii="Times New Roman;sans-serif" w:hAnsi="Times New Roman;sans-serif"/>
          <w:b w:val="false"/>
          <w:color w:val="000000"/>
          <w:sz w:val="16"/>
        </w:rPr>
        <w:t>The Company’s consolidated liabilities at March 31, 2023 and December 31, 2022 include the following liabilities for which the VIE creditors do not have recourse to Opendoor: Accounts payable and other accrued liabilities, $27 and $61; Interest payable, $4 and $11; Current portion of non-recourse asset-backed debt, $355 and $1,376; Non-recourse asset-backed debt, net of current portion, $2,824 and $3,020; and Total liabilities, $3,210 and $4,468, respectively.</w:t>
      </w:r>
    </w:p>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share amounts which are presented in thousands, and per share amounts)</w:t>
      </w:r>
    </w:p>
    <w:p>
      <w:pPr>
        <w:pStyle w:val="TextBody"/>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8050" w:type="dxa"/>
        <w:jc w:val="left"/>
        <w:tblInd w:w="0" w:type="dxa"/>
        <w:tblCellMar>
          <w:top w:w="28" w:type="dxa"/>
          <w:left w:w="28" w:type="dxa"/>
          <w:bottom w:w="28" w:type="dxa"/>
          <w:right w:w="28" w:type="dxa"/>
        </w:tblCellMar>
      </w:tblPr>
      <w:tblGrid>
        <w:gridCol w:w="1945"/>
        <w:gridCol w:w="1709"/>
        <w:gridCol w:w="1716"/>
        <w:gridCol w:w="211"/>
        <w:gridCol w:w="616"/>
        <w:gridCol w:w="109"/>
        <w:gridCol w:w="109"/>
        <w:gridCol w:w="109"/>
        <w:gridCol w:w="109"/>
        <w:gridCol w:w="211"/>
        <w:gridCol w:w="616"/>
        <w:gridCol w:w="109"/>
        <w:gridCol w:w="109"/>
        <w:gridCol w:w="109"/>
        <w:gridCol w:w="109"/>
        <w:gridCol w:w="154"/>
      </w:tblGrid>
      <w:tr>
        <w:trPr/>
        <w:tc>
          <w:tcPr>
            <w:tcW w:w="1945"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attributable to common shareholders: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before="0" w:after="0"/>
        <w:ind w:left="0" w:right="0" w:firstLine="72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6280" w:type="dxa"/>
        <w:jc w:val="left"/>
        <w:tblInd w:w="0" w:type="dxa"/>
        <w:tblCellMar>
          <w:top w:w="28" w:type="dxa"/>
          <w:left w:w="28" w:type="dxa"/>
          <w:bottom w:w="28" w:type="dxa"/>
          <w:right w:w="28" w:type="dxa"/>
        </w:tblCellMar>
      </w:tblPr>
      <w:tblGrid>
        <w:gridCol w:w="1420"/>
        <w:gridCol w:w="1252"/>
        <w:gridCol w:w="1258"/>
        <w:gridCol w:w="211"/>
        <w:gridCol w:w="541"/>
        <w:gridCol w:w="109"/>
        <w:gridCol w:w="109"/>
        <w:gridCol w:w="109"/>
        <w:gridCol w:w="109"/>
        <w:gridCol w:w="211"/>
        <w:gridCol w:w="361"/>
        <w:gridCol w:w="109"/>
        <w:gridCol w:w="109"/>
        <w:gridCol w:w="109"/>
        <w:gridCol w:w="109"/>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99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number of shares)</w:t>
      </w:r>
    </w:p>
    <w:p>
      <w:pPr>
        <w:pStyle w:val="TextBody"/>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before="0" w:after="0"/>
        <w:jc w:val="center"/>
        <w:rPr/>
      </w:pPr>
      <w:r>
        <w:rPr/>
      </w:r>
    </w:p>
    <w:tbl>
      <w:tblPr>
        <w:tblW w:w="14473" w:type="dxa"/>
        <w:jc w:val="left"/>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256"/>
        <w:gridCol w:w="109"/>
        <w:gridCol w:w="109"/>
        <w:gridCol w:w="109"/>
        <w:gridCol w:w="109"/>
        <w:gridCol w:w="109"/>
        <w:gridCol w:w="109"/>
        <w:gridCol w:w="196"/>
        <w:gridCol w:w="556"/>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906" w:type="dxa"/>
            <w:gridSpan w:val="3"/>
            <w:tcBorders/>
            <w:shd w:fill="auto" w:val="clea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637,387,025 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8,241,495 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647,607,920 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1" w:type="dxa"/>
            <w:gridSpan w:val="5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6108" w:type="dxa"/>
            <w:gridSpan w:val="3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12" w:type="dxa"/>
            <w:gridSpan w:val="11"/>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tbl>
      <w:tblPr>
        <w:tblW w:w="14473" w:type="dxa"/>
        <w:jc w:val="left"/>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256"/>
        <w:gridCol w:w="109"/>
        <w:gridCol w:w="109"/>
        <w:gridCol w:w="109"/>
        <w:gridCol w:w="109"/>
        <w:gridCol w:w="109"/>
        <w:gridCol w:w="109"/>
        <w:gridCol w:w="196"/>
        <w:gridCol w:w="556"/>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906" w:type="dxa"/>
            <w:gridSpan w:val="3"/>
            <w:tcBorders/>
            <w:shd w:fill="auto" w:val="clear"/>
          </w:tcPr>
          <w:p>
            <w:pPr>
              <w:pStyle w:val="TableContents"/>
              <w:spacing w:before="0" w:after="283"/>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616,026,565 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622,918,512 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1" w:type="dxa"/>
            <w:gridSpan w:val="5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6108" w:type="dxa"/>
            <w:gridSpan w:val="32"/>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12" w:type="dxa"/>
            <w:gridSpan w:val="11"/>
            <w:tcBorders/>
            <w:shd w:fill="auto" w:val="clea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lineRule="auto" w:line="333" w:before="3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center"/>
        <w:tblInd w:w="0" w:type="dxa"/>
        <w:tblCellMar>
          <w:top w:w="28" w:type="dxa"/>
          <w:left w:w="28" w:type="dxa"/>
          <w:bottom w:w="28" w:type="dxa"/>
          <w:right w:w="28" w:type="dxa"/>
        </w:tblCellMar>
      </w:tblPr>
      <w:tblGrid>
        <w:gridCol w:w="2952"/>
        <w:gridCol w:w="2572"/>
        <w:gridCol w:w="2585"/>
        <w:gridCol w:w="196"/>
        <w:gridCol w:w="556"/>
        <w:gridCol w:w="109"/>
        <w:gridCol w:w="109"/>
        <w:gridCol w:w="109"/>
        <w:gridCol w:w="109"/>
        <w:gridCol w:w="196"/>
        <w:gridCol w:w="556"/>
        <w:gridCol w:w="156"/>
      </w:tblGrid>
      <w:tr>
        <w:trPr/>
        <w:tc>
          <w:tcPr>
            <w:tcW w:w="2952" w:type="dxa"/>
            <w:tcBorders/>
            <w:shd w:fill="auto" w:val="clear"/>
            <w:vAlign w:val="center"/>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8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cash, cash equivalents, and restricted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right of use asset</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valuation adjustment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equity securities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fair value adjustments and loss on sale of mortgage loans held for sale</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Origination of mortgage loans held for sale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principal collections of mortgage loans held for sale</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extinguishment of debt</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Escrow receivable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inventory</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payable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marketable securities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maturities, redemptions and paydowns of marketable securities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non-marketable equity securities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returns from non-marketable equity securities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convertible senior notes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for ESPP</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non-recourse asset-backed debt</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non-recourse asset-backed debt</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other secured borrowings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other secured borrowings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loan origination fees and debt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early extinguishment of debt</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 – Cash paid during the period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DISCLOSURES OF NONCASH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capitalized for internally developed software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TO CONDENSED CONSOLIDATED BALANCE SHEETS: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450"/>
        <w:rPr>
          <w:rFonts w:ascii="Times New Roman;sans-serif" w:hAnsi="Times New Roman;sans-serif"/>
          <w:b/>
          <w:color w:val="000000"/>
          <w:sz w:val="20"/>
        </w:rPr>
      </w:pPr>
      <w:r>
        <w:rPr>
          <w:rFonts w:ascii="Times New Roman;sans-serif" w:hAnsi="Times New Roman;sans-serif"/>
          <w:b/>
          <w:color w:val="000000"/>
          <w:sz w:val="20"/>
        </w:rPr>
        <w:t>1.DESCRIPTION OF BUSINESS AND ACCOUNTING POLICIES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Opendoor Technologies Inc. (the “Company” and “Opendoor”) including its consolidated subsidiaries and certain variable interest entities (“VIEs”), is a managed marketplace for residential real estate. By leveraging our centralized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pursuant to generally accepted accounting principles in the United States of America (“GAAP”). The condensed consolidated financial statements as of March 31, 2023 and December 31, 2022 and for the three month periods ended March 31, 2023 and 2022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significant intercompany accounts and transactions have been eliminated in the condensed consolidated financial statements herein. Certain prior period amounts in the condensed consolidated financial statements and accompanying notes have been reclassified to conform to the current period’s presentation.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and these related notes should be read in conjunction with the consolidated financial statements and related notes included in the Company’s Annual Report on Form 10-K for the year ended December 31, 2022 (“Annual Report”) filed on February 23,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warrants,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Significant Risks and Uncertainties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spacing w:lineRule="auto" w:line="288" w:before="240" w:after="283"/>
        <w:ind w:left="0" w:right="0" w:firstLine="450"/>
        <w:rPr/>
      </w:pPr>
      <w:r>
        <w:rPr>
          <w:rFonts w:ascii="Times New Roman;sans-serif" w:hAnsi="Times New Roman;sans-serif"/>
          <w:b w:val="false"/>
          <w:color w:val="000000"/>
          <w:sz w:val="20"/>
        </w:rPr>
        <w:t xml:space="preserve">The Company’s significant accounting policies are discussed in </w:t>
      </w:r>
      <w:r>
        <w:rPr>
          <w:color w:val="000000"/>
        </w:rPr>
        <w:t>“</w:t>
      </w:r>
      <w:r>
        <w:rPr>
          <w:rFonts w:ascii="Times New Roman;sans-serif" w:hAnsi="Times New Roman;sans-serif"/>
          <w:b w:val="false"/>
          <w:i/>
          <w:color w:val="000000"/>
          <w:sz w:val="20"/>
        </w:rPr>
        <w:t>Part II – Item 8 – Financial Statements and Supplementary Data – Note 1. Description of Business and Accounting Policies”</w:t>
      </w:r>
      <w:r>
        <w:rPr>
          <w:color w:val="000000"/>
        </w:rPr>
        <w:t xml:space="preserve"> </w:t>
      </w:r>
      <w:r>
        <w:rPr>
          <w:rFonts w:ascii="Times New Roman;sans-serif" w:hAnsi="Times New Roman;sans-serif"/>
          <w:b w:val="false"/>
          <w:color w:val="000000"/>
          <w:sz w:val="20"/>
        </w:rPr>
        <w:t>in the Annual Report. There have been no changes to these significant accounting policies for the three month period ended March 31, 2023, except as noted below.</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spacing w:lineRule="auto" w:line="288" w:before="240" w:after="283"/>
        <w:ind w:left="0" w:right="0" w:firstLine="450"/>
        <w:rPr/>
      </w:pPr>
      <w:r>
        <w:rPr>
          <w:rFonts w:ascii="Times New Roman;sans-serif" w:hAnsi="Times New Roman;sans-serif"/>
          <w:b w:val="false"/>
          <w:color w:val="000000"/>
          <w:sz w:val="20"/>
        </w:rPr>
        <w:t xml:space="preserve">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 Upon extinguishment of any portion of the 2026 Notes, the difference between the repurchase price of the extinguished notes and the respective net carrying amount is recorded as a gain or loss in Gain on extinguishment of debt in the condensed consolidated statements of operations. See </w:t>
      </w:r>
      <w:r>
        <w:rPr>
          <w:color w:val="000000"/>
        </w:rPr>
        <w:t>“</w:t>
      </w:r>
      <w:r>
        <w:rPr>
          <w:rFonts w:ascii="Times New Roman;sans-serif" w:hAnsi="Times New Roman;sans-serif"/>
          <w:b w:val="false"/>
          <w:i/>
          <w:color w:val="000000"/>
          <w:sz w:val="20"/>
        </w:rPr>
        <w:t xml:space="preserve">Note 5 — Credit Facilities and Long-Term Debt” </w:t>
      </w:r>
      <w:r>
        <w:rPr>
          <w:rFonts w:ascii="Times New Roman;sans-serif" w:hAnsi="Times New Roman;sans-serif"/>
          <w:b w:val="false"/>
          <w:color w:val="000000"/>
          <w:sz w:val="20"/>
        </w:rPr>
        <w:t>for details on the partial repurchase of the Company's convertible notes that occurred in the period.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three months ended March 31, 2023 is related to impairment of certain internally developed software projects. The impairment loss recognized during the periods presented is as follows (in millions):</w:t>
      </w:r>
    </w:p>
    <w:tbl>
      <w:tblPr>
        <w:tblW w:w="4674" w:type="dxa"/>
        <w:jc w:val="left"/>
        <w:tblInd w:w="0" w:type="dxa"/>
        <w:tblCellMar>
          <w:top w:w="28" w:type="dxa"/>
          <w:left w:w="28" w:type="dxa"/>
          <w:bottom w:w="28" w:type="dxa"/>
          <w:right w:w="28" w:type="dxa"/>
        </w:tblCellMar>
      </w:tblPr>
      <w:tblGrid>
        <w:gridCol w:w="930"/>
        <w:gridCol w:w="815"/>
        <w:gridCol w:w="819"/>
        <w:gridCol w:w="211"/>
        <w:gridCol w:w="256"/>
        <w:gridCol w:w="109"/>
        <w:gridCol w:w="109"/>
        <w:gridCol w:w="109"/>
        <w:gridCol w:w="109"/>
        <w:gridCol w:w="211"/>
        <w:gridCol w:w="406"/>
        <w:gridCol w:w="109"/>
        <w:gridCol w:w="109"/>
        <w:gridCol w:w="109"/>
        <w:gridCol w:w="109"/>
        <w:gridCol w:w="154"/>
      </w:tblGrid>
      <w:tr>
        <w:trPr/>
        <w:tc>
          <w:tcPr>
            <w:tcW w:w="93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2.REAL ESTATE INVENTORY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inventory, net of applicable inventory valuation adjustments of $187 million and $459 million, as of March 31, 2023 and December 31, 2022, respectively (in millions):</w:t>
      </w:r>
    </w:p>
    <w:tbl>
      <w:tblPr>
        <w:tblW w:w="4434" w:type="dxa"/>
        <w:jc w:val="left"/>
        <w:tblInd w:w="0" w:type="dxa"/>
        <w:tblCellMar>
          <w:top w:w="28" w:type="dxa"/>
          <w:left w:w="28" w:type="dxa"/>
          <w:bottom w:w="28" w:type="dxa"/>
          <w:right w:w="28" w:type="dxa"/>
        </w:tblCellMar>
      </w:tblPr>
      <w:tblGrid>
        <w:gridCol w:w="814"/>
        <w:gridCol w:w="715"/>
        <w:gridCol w:w="720"/>
        <w:gridCol w:w="211"/>
        <w:gridCol w:w="616"/>
        <w:gridCol w:w="109"/>
        <w:gridCol w:w="109"/>
        <w:gridCol w:w="245"/>
        <w:gridCol w:w="716"/>
        <w:gridCol w:w="179"/>
      </w:tblGrid>
      <w:tr>
        <w:trPr/>
        <w:tc>
          <w:tcPr>
            <w:tcW w:w="81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Listed for sale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contract for sale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was in contract to purchase 1,137 homes for an aggregate purchase price of $346 million.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recorded inventory valuation adjustments for real estate inventory of $23 million and $8 million , respectively, in Cost of revenue in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3.CASH, CASH EQUIVALENTS, AND INVESTMENTS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amortized cost, gross unrealized gains and losses, and fair value of cash, cash equivalents, and marketable securities as of March 31, 2023 and December 31, 2022, are as follows (in millions):</w:t>
      </w:r>
    </w:p>
    <w:tbl>
      <w:tblPr>
        <w:tblW w:w="9599" w:type="dxa"/>
        <w:jc w:val="left"/>
        <w:tblInd w:w="0" w:type="dxa"/>
        <w:tblCellMar>
          <w:top w:w="28" w:type="dxa"/>
          <w:left w:w="28" w:type="dxa"/>
          <w:bottom w:w="28" w:type="dxa"/>
          <w:right w:w="28" w:type="dxa"/>
        </w:tblCellMar>
      </w:tblPr>
      <w:tblGrid>
        <w:gridCol w:w="774"/>
        <w:gridCol w:w="680"/>
        <w:gridCol w:w="690"/>
        <w:gridCol w:w="211"/>
        <w:gridCol w:w="616"/>
        <w:gridCol w:w="109"/>
        <w:gridCol w:w="109"/>
        <w:gridCol w:w="109"/>
        <w:gridCol w:w="109"/>
        <w:gridCol w:w="257"/>
        <w:gridCol w:w="495"/>
        <w:gridCol w:w="134"/>
        <w:gridCol w:w="109"/>
        <w:gridCol w:w="109"/>
        <w:gridCol w:w="109"/>
        <w:gridCol w:w="257"/>
        <w:gridCol w:w="495"/>
        <w:gridCol w:w="134"/>
        <w:gridCol w:w="109"/>
        <w:gridCol w:w="109"/>
        <w:gridCol w:w="109"/>
        <w:gridCol w:w="211"/>
        <w:gridCol w:w="616"/>
        <w:gridCol w:w="109"/>
        <w:gridCol w:w="109"/>
        <w:gridCol w:w="109"/>
        <w:gridCol w:w="109"/>
        <w:gridCol w:w="267"/>
        <w:gridCol w:w="779"/>
        <w:gridCol w:w="139"/>
        <w:gridCol w:w="109"/>
        <w:gridCol w:w="109"/>
        <w:gridCol w:w="109"/>
        <w:gridCol w:w="251"/>
        <w:gridCol w:w="555"/>
        <w:gridCol w:w="185"/>
      </w:tblGrid>
      <w:tr>
        <w:trPr/>
        <w:tc>
          <w:tcPr>
            <w:tcW w:w="77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144"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Cost</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Cash and Cash</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Marketable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tc>
      </w:tr>
      <w:tr>
        <w:trPr/>
        <w:tc>
          <w:tcPr>
            <w:tcW w:w="214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599" w:type="dxa"/>
        <w:jc w:val="left"/>
        <w:tblInd w:w="0" w:type="dxa"/>
        <w:tblCellMar>
          <w:top w:w="28" w:type="dxa"/>
          <w:left w:w="28" w:type="dxa"/>
          <w:bottom w:w="28" w:type="dxa"/>
          <w:right w:w="28" w:type="dxa"/>
        </w:tblCellMar>
      </w:tblPr>
      <w:tblGrid>
        <w:gridCol w:w="774"/>
        <w:gridCol w:w="680"/>
        <w:gridCol w:w="690"/>
        <w:gridCol w:w="211"/>
        <w:gridCol w:w="616"/>
        <w:gridCol w:w="109"/>
        <w:gridCol w:w="109"/>
        <w:gridCol w:w="109"/>
        <w:gridCol w:w="109"/>
        <w:gridCol w:w="257"/>
        <w:gridCol w:w="495"/>
        <w:gridCol w:w="134"/>
        <w:gridCol w:w="109"/>
        <w:gridCol w:w="109"/>
        <w:gridCol w:w="109"/>
        <w:gridCol w:w="257"/>
        <w:gridCol w:w="495"/>
        <w:gridCol w:w="134"/>
        <w:gridCol w:w="109"/>
        <w:gridCol w:w="109"/>
        <w:gridCol w:w="109"/>
        <w:gridCol w:w="211"/>
        <w:gridCol w:w="616"/>
        <w:gridCol w:w="109"/>
        <w:gridCol w:w="109"/>
        <w:gridCol w:w="109"/>
        <w:gridCol w:w="109"/>
        <w:gridCol w:w="267"/>
        <w:gridCol w:w="779"/>
        <w:gridCol w:w="139"/>
        <w:gridCol w:w="109"/>
        <w:gridCol w:w="109"/>
        <w:gridCol w:w="109"/>
        <w:gridCol w:w="251"/>
        <w:gridCol w:w="555"/>
        <w:gridCol w:w="185"/>
      </w:tblGrid>
      <w:tr>
        <w:trPr/>
        <w:tc>
          <w:tcPr>
            <w:tcW w:w="77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4"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Cost</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Cash and Cash</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Marketable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tc>
      </w:tr>
      <w:tr>
        <w:trPr/>
        <w:tc>
          <w:tcPr>
            <w:tcW w:w="214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recognized $1 million of net unrealized gains in the condensed consolidated statements of operations related to marketable equity securities held as of March 31, 2023. During the three months ended March 31, 2022, the Company recognized $(22) million of net unrealized losses in the condensed consolidated statements of operations related to marketable equity securities held as of March 31,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summary of debt securities with unrealized losses aggregated by period of continuous unrealized loss is as follows (in millions):</w:t>
      </w:r>
    </w:p>
    <w:tbl>
      <w:tblPr>
        <w:tblW w:w="9471" w:type="dxa"/>
        <w:jc w:val="left"/>
        <w:tblInd w:w="0" w:type="dxa"/>
        <w:tblCellMar>
          <w:top w:w="28" w:type="dxa"/>
          <w:left w:w="28" w:type="dxa"/>
          <w:bottom w:w="28" w:type="dxa"/>
          <w:right w:w="28" w:type="dxa"/>
        </w:tblCellMar>
      </w:tblPr>
      <w:tblGrid>
        <w:gridCol w:w="774"/>
        <w:gridCol w:w="682"/>
        <w:gridCol w:w="688"/>
        <w:gridCol w:w="109"/>
        <w:gridCol w:w="109"/>
        <w:gridCol w:w="109"/>
        <w:gridCol w:w="324"/>
        <w:gridCol w:w="393"/>
        <w:gridCol w:w="167"/>
        <w:gridCol w:w="109"/>
        <w:gridCol w:w="109"/>
        <w:gridCol w:w="109"/>
        <w:gridCol w:w="257"/>
        <w:gridCol w:w="495"/>
        <w:gridCol w:w="134"/>
        <w:gridCol w:w="109"/>
        <w:gridCol w:w="109"/>
        <w:gridCol w:w="109"/>
        <w:gridCol w:w="274"/>
        <w:gridCol w:w="470"/>
        <w:gridCol w:w="141"/>
        <w:gridCol w:w="112"/>
        <w:gridCol w:w="112"/>
        <w:gridCol w:w="112"/>
        <w:gridCol w:w="316"/>
        <w:gridCol w:w="406"/>
        <w:gridCol w:w="164"/>
        <w:gridCol w:w="109"/>
        <w:gridCol w:w="109"/>
        <w:gridCol w:w="109"/>
        <w:gridCol w:w="274"/>
        <w:gridCol w:w="469"/>
        <w:gridCol w:w="141"/>
        <w:gridCol w:w="109"/>
        <w:gridCol w:w="109"/>
        <w:gridCol w:w="109"/>
        <w:gridCol w:w="308"/>
        <w:gridCol w:w="396"/>
        <w:gridCol w:w="227"/>
      </w:tblGrid>
      <w:tr>
        <w:trPr/>
        <w:tc>
          <w:tcPr>
            <w:tcW w:w="77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462" w:type="dxa"/>
        <w:jc w:val="left"/>
        <w:tblInd w:w="0" w:type="dxa"/>
        <w:tblCellMar>
          <w:top w:w="28" w:type="dxa"/>
          <w:left w:w="28" w:type="dxa"/>
          <w:bottom w:w="28" w:type="dxa"/>
          <w:right w:w="28" w:type="dxa"/>
        </w:tblCellMar>
      </w:tblPr>
      <w:tblGrid>
        <w:gridCol w:w="775"/>
        <w:gridCol w:w="684"/>
        <w:gridCol w:w="686"/>
        <w:gridCol w:w="109"/>
        <w:gridCol w:w="109"/>
        <w:gridCol w:w="109"/>
        <w:gridCol w:w="274"/>
        <w:gridCol w:w="469"/>
        <w:gridCol w:w="141"/>
        <w:gridCol w:w="109"/>
        <w:gridCol w:w="109"/>
        <w:gridCol w:w="109"/>
        <w:gridCol w:w="257"/>
        <w:gridCol w:w="495"/>
        <w:gridCol w:w="134"/>
        <w:gridCol w:w="109"/>
        <w:gridCol w:w="109"/>
        <w:gridCol w:w="109"/>
        <w:gridCol w:w="237"/>
        <w:gridCol w:w="525"/>
        <w:gridCol w:w="122"/>
        <w:gridCol w:w="109"/>
        <w:gridCol w:w="109"/>
        <w:gridCol w:w="109"/>
        <w:gridCol w:w="316"/>
        <w:gridCol w:w="406"/>
        <w:gridCol w:w="164"/>
        <w:gridCol w:w="109"/>
        <w:gridCol w:w="109"/>
        <w:gridCol w:w="109"/>
        <w:gridCol w:w="237"/>
        <w:gridCol w:w="525"/>
        <w:gridCol w:w="122"/>
        <w:gridCol w:w="109"/>
        <w:gridCol w:w="109"/>
        <w:gridCol w:w="109"/>
        <w:gridCol w:w="308"/>
        <w:gridCol w:w="396"/>
        <w:gridCol w:w="227"/>
      </w:tblGrid>
      <w:tr>
        <w:trPr/>
        <w:tc>
          <w:tcPr>
            <w:tcW w:w="77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losses of the Company's available-for-sale debt securities as of March 31, 2023 and December 31, 2022 were $3 million and $4 million, respectively. These unrealized losses are associated with the Company’s investments in corporate debt securities and were due to interest rate increases, and not credit-related events. The Company does not expect to be required to sell the investments before recovery of the amortized cost bases. As such, no allowance for credit losses is required as of March 31, 2023 or December 31, 2022.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scheduled contractual maturities of debt securities as of March 31, 2023 are as follows (in millions):</w:t>
      </w:r>
    </w:p>
    <w:tbl>
      <w:tblPr>
        <w:tblW w:w="5426" w:type="dxa"/>
        <w:jc w:val="left"/>
        <w:tblInd w:w="0" w:type="dxa"/>
        <w:tblCellMar>
          <w:top w:w="28" w:type="dxa"/>
          <w:left w:w="28" w:type="dxa"/>
          <w:bottom w:w="28" w:type="dxa"/>
          <w:right w:w="28" w:type="dxa"/>
        </w:tblCellMar>
      </w:tblPr>
      <w:tblGrid>
        <w:gridCol w:w="774"/>
        <w:gridCol w:w="682"/>
        <w:gridCol w:w="688"/>
        <w:gridCol w:w="109"/>
        <w:gridCol w:w="109"/>
        <w:gridCol w:w="109"/>
        <w:gridCol w:w="274"/>
        <w:gridCol w:w="469"/>
        <w:gridCol w:w="141"/>
        <w:gridCol w:w="109"/>
        <w:gridCol w:w="109"/>
        <w:gridCol w:w="109"/>
        <w:gridCol w:w="211"/>
        <w:gridCol w:w="361"/>
        <w:gridCol w:w="109"/>
        <w:gridCol w:w="109"/>
        <w:gridCol w:w="109"/>
        <w:gridCol w:w="109"/>
        <w:gridCol w:w="213"/>
        <w:gridCol w:w="365"/>
        <w:gridCol w:w="158"/>
      </w:tblGrid>
      <w:tr>
        <w:trPr/>
        <w:tc>
          <w:tcPr>
            <w:tcW w:w="77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Within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After</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through</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summary of non-marketable equity securities and equity method investment balances as of March 31, 2023 and December 31, 2022 are as follows (in millions):</w:t>
      </w:r>
    </w:p>
    <w:tbl>
      <w:tblPr>
        <w:tblW w:w="4909" w:type="dxa"/>
        <w:jc w:val="left"/>
        <w:tblInd w:w="0" w:type="dxa"/>
        <w:tblCellMar>
          <w:top w:w="28" w:type="dxa"/>
          <w:left w:w="28" w:type="dxa"/>
          <w:bottom w:w="28" w:type="dxa"/>
          <w:right w:w="28" w:type="dxa"/>
        </w:tblCellMar>
      </w:tblPr>
      <w:tblGrid>
        <w:gridCol w:w="1016"/>
        <w:gridCol w:w="893"/>
        <w:gridCol w:w="896"/>
        <w:gridCol w:w="265"/>
        <w:gridCol w:w="453"/>
        <w:gridCol w:w="137"/>
        <w:gridCol w:w="109"/>
        <w:gridCol w:w="331"/>
        <w:gridCol w:w="567"/>
        <w:gridCol w:w="242"/>
      </w:tblGrid>
      <w:tr>
        <w:trPr/>
        <w:tc>
          <w:tcPr>
            <w:tcW w:w="1016"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05"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7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4.VARIABLE INTEREST ENTITIES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its role in designing the SPEs and managing the real estate inventory they purchase and sell. The Company has a potentially significant variable interest in the entities based upon the equity interest the Company holds in the VIEs.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related to the VIEs consolidated by the Company as of March 31, 2023 and December 31, 2022 (in millions):</w:t>
      </w:r>
    </w:p>
    <w:tbl>
      <w:tblPr>
        <w:tblW w:w="5088" w:type="dxa"/>
        <w:jc w:val="left"/>
        <w:tblInd w:w="0" w:type="dxa"/>
        <w:tblCellMar>
          <w:top w:w="28" w:type="dxa"/>
          <w:left w:w="28" w:type="dxa"/>
          <w:bottom w:w="28" w:type="dxa"/>
          <w:right w:w="28" w:type="dxa"/>
        </w:tblCellMar>
      </w:tblPr>
      <w:tblGrid>
        <w:gridCol w:w="968"/>
        <w:gridCol w:w="854"/>
        <w:gridCol w:w="863"/>
        <w:gridCol w:w="211"/>
        <w:gridCol w:w="616"/>
        <w:gridCol w:w="109"/>
        <w:gridCol w:w="109"/>
        <w:gridCol w:w="109"/>
        <w:gridCol w:w="109"/>
        <w:gridCol w:w="245"/>
        <w:gridCol w:w="716"/>
        <w:gridCol w:w="179"/>
      </w:tblGrid>
      <w:tr>
        <w:trPr/>
        <w:tc>
          <w:tcPr>
            <w:tcW w:w="96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w:t>
      </w:r>
    </w:p>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escrow receivable and other current assets.</w:t>
      </w:r>
    </w:p>
    <w:p>
      <w:pPr>
        <w:pStyle w:val="TextBody"/>
        <w:spacing w:lineRule="auto" w:line="288" w:before="12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accounts payable and other accrued liabilities and interest payable.</w:t>
      </w:r>
    </w:p>
    <w:p>
      <w:pPr>
        <w:pStyle w:val="TextBody"/>
        <w:spacing w:lineRule="auto" w:line="288" w:before="240" w:after="283"/>
        <w:ind w:left="0" w:right="0" w:firstLine="450"/>
        <w:rPr/>
      </w:pPr>
      <w:r>
        <w:rPr>
          <w:rFonts w:ascii="Times New Roman;sans-serif" w:hAnsi="Times New Roman;sans-serif"/>
          <w:b w:val="false"/>
          <w:color w:val="000000"/>
          <w:sz w:val="20"/>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color w:val="000000"/>
        </w:rPr>
        <w:t>“</w:t>
      </w:r>
      <w:r>
        <w:rPr>
          <w:rFonts w:ascii="Times New Roman;sans-serif" w:hAnsi="Times New Roman;sans-serif"/>
          <w:b w:val="false"/>
          <w:i/>
          <w:color w:val="000000"/>
          <w:sz w:val="20"/>
        </w:rPr>
        <w:t>Note 5 — Credit Facilities and Long-Term Debt”</w:t>
      </w:r>
      <w:r>
        <w:rPr>
          <w:color w:val="000000"/>
        </w:rPr>
        <w:t xml:space="preserve"> </w:t>
      </w:r>
      <w:r>
        <w:rPr>
          <w:rFonts w:ascii="Times New Roman;sans-serif" w:hAnsi="Times New Roman;sans-serif"/>
          <w:b w:val="false"/>
          <w:color w:val="000000"/>
          <w:sz w:val="20"/>
        </w:rPr>
        <w:t>for further discussion of the recourse obligations with respect to the VIEs.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5.CREDIT FACILITIES AND LONG-TERM DEBT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certain details related to the Company's credit facilities and long-term debt as of March 31, 2023 and December 31, 2022 (in millions, except interest rates):</w:t>
      </w:r>
    </w:p>
    <w:tbl>
      <w:tblPr>
        <w:tblW w:w="10205" w:type="dxa"/>
        <w:jc w:val="left"/>
        <w:tblInd w:w="0" w:type="dxa"/>
        <w:tblCellMar>
          <w:top w:w="28" w:type="dxa"/>
          <w:left w:w="28" w:type="dxa"/>
          <w:bottom w:w="28" w:type="dxa"/>
          <w:right w:w="28" w:type="dxa"/>
        </w:tblCellMar>
      </w:tblPr>
      <w:tblGrid>
        <w:gridCol w:w="690"/>
        <w:gridCol w:w="608"/>
        <w:gridCol w:w="499"/>
        <w:gridCol w:w="109"/>
        <w:gridCol w:w="109"/>
        <w:gridCol w:w="109"/>
        <w:gridCol w:w="196"/>
        <w:gridCol w:w="646"/>
        <w:gridCol w:w="109"/>
        <w:gridCol w:w="109"/>
        <w:gridCol w:w="109"/>
        <w:gridCol w:w="109"/>
        <w:gridCol w:w="196"/>
        <w:gridCol w:w="421"/>
        <w:gridCol w:w="109"/>
        <w:gridCol w:w="109"/>
        <w:gridCol w:w="109"/>
        <w:gridCol w:w="109"/>
        <w:gridCol w:w="239"/>
        <w:gridCol w:w="678"/>
        <w:gridCol w:w="134"/>
        <w:gridCol w:w="109"/>
        <w:gridCol w:w="109"/>
        <w:gridCol w:w="109"/>
        <w:gridCol w:w="297"/>
        <w:gridCol w:w="259"/>
        <w:gridCol w:w="457"/>
        <w:gridCol w:w="109"/>
        <w:gridCol w:w="109"/>
        <w:gridCol w:w="109"/>
        <w:gridCol w:w="537"/>
        <w:gridCol w:w="537"/>
        <w:gridCol w:w="539"/>
        <w:gridCol w:w="109"/>
        <w:gridCol w:w="109"/>
        <w:gridCol w:w="109"/>
        <w:gridCol w:w="354"/>
        <w:gridCol w:w="302"/>
        <w:gridCol w:w="436"/>
      </w:tblGrid>
      <w:tr>
        <w:trPr/>
        <w:tc>
          <w:tcPr>
            <w:tcW w:w="69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Borrowing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End of Revolving / Withdrawal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Final Maturity</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7,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7, 2024</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2024</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5,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4, 2025</w:t>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2022-1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31, 2023</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2025</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2027</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March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 2025</w:t>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2026</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2026</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7478" w:type="dxa"/>
        <w:jc w:val="left"/>
        <w:tblInd w:w="0" w:type="dxa"/>
        <w:tblCellMar>
          <w:top w:w="28" w:type="dxa"/>
          <w:left w:w="28" w:type="dxa"/>
          <w:bottom w:w="28" w:type="dxa"/>
          <w:right w:w="28" w:type="dxa"/>
        </w:tblCellMar>
      </w:tblPr>
      <w:tblGrid>
        <w:gridCol w:w="1230"/>
        <w:gridCol w:w="1086"/>
        <w:gridCol w:w="1089"/>
        <w:gridCol w:w="109"/>
        <w:gridCol w:w="109"/>
        <w:gridCol w:w="109"/>
        <w:gridCol w:w="196"/>
        <w:gridCol w:w="556"/>
        <w:gridCol w:w="109"/>
        <w:gridCol w:w="109"/>
        <w:gridCol w:w="109"/>
        <w:gridCol w:w="109"/>
        <w:gridCol w:w="239"/>
        <w:gridCol w:w="678"/>
        <w:gridCol w:w="134"/>
        <w:gridCol w:w="109"/>
        <w:gridCol w:w="109"/>
        <w:gridCol w:w="109"/>
        <w:gridCol w:w="280"/>
        <w:gridCol w:w="276"/>
        <w:gridCol w:w="624"/>
      </w:tblGrid>
      <w:tr>
        <w:trPr/>
        <w:tc>
          <w:tcPr>
            <w:tcW w:w="123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2022-1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Non-Recourse Asset-backed Debt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 situations involving “bad acts” by an Opendoor entity and certain other limited circumstances.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total borrowing capacity with respect to its non-recourse asset-backed debt of $10.7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March 31, 2023, the Company had committed borrowing capacity with respect to the Company’s non-recourse asset-backed debt of $4.9 billion; this committed borrowing capacity is comprised of $2.0 billion for senior revolving credit facilities, $1.9 billion for senior term debt facilities, and $1.0 billion for mezzanine term debt facilities.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Revolving Credit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revolving credit facilities accrue interest at various floating rates based on a London Interbank Offered Rate ("LIBOR") or a secured overnight financing rate ("SOFR"), plus a margin that varies by facility. Effective November 2022, all such floating rates are based on SOFR.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Term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senior term debt facilities as non-current liabilities on the Company’s condensed consolidated balance sheets because its borrowings under these facilities are generally not required to be repaid until the final maturity date.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term debt facilities accrue interest at a fixed rate with the exception of Term Debt Facility 2022-S2, which accrued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Mezzanine Term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or cash or through partial repayment of the facility.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inventory financing facilities include customary representations and warranties, covenants and events of default. Financed properties are subject to customary eligibility criteria and concentration limits.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consolidates subsidiaries' assets and liabilities. As a result, under certain circumstances, this may limit our flexibility to transfer assets from Opendoor subsidiaries to the Parent Company. At March 31, 2023 and December 31, 2022, $500 million and $565 million, respectively, of the Company's net assets are restricted as they reflect minimum net asset requirements at Opendoor Labs Inc. As of March 31, 2023, the Company was in compliance with all financial covenants and no event of default had occurred.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Mortgage Financing</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2022, the Company ceased providing correspondent lending or mortgage brokering services. As a result, the Company no longer requires mortgage financing and terminated its master repurchase agreement (the “Repurchase Agreement”) in October 2022.</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From March 2019 through its exit of mortgage lending and brokering services, the Company utilized the Repurchase Agreement to provide capital for Opendoor Home Loans. The facility, which was classified as a current liability on the Company’s condensed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 transferred under the arrangement for the benefit of the lender. This financing arrangement was an important component of Opendoor Home Loans’ operations as a correspondent lender.</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issued 0.25% senior notes due in 2026 (the “2026 Notes”) with an aggregate principal amount of $978 million. The tables below summarizes certain details related to the 2026 Notes (in millions, except interest rates):</w:t>
      </w:r>
    </w:p>
    <w:tbl>
      <w:tblPr>
        <w:tblW w:w="9559" w:type="dxa"/>
        <w:jc w:val="left"/>
        <w:tblInd w:w="0" w:type="dxa"/>
        <w:tblCellMar>
          <w:top w:w="28" w:type="dxa"/>
          <w:left w:w="28" w:type="dxa"/>
          <w:bottom w:w="28" w:type="dxa"/>
          <w:right w:w="28" w:type="dxa"/>
        </w:tblCellMar>
      </w:tblPr>
      <w:tblGrid>
        <w:gridCol w:w="460"/>
        <w:gridCol w:w="405"/>
        <w:gridCol w:w="409"/>
        <w:gridCol w:w="109"/>
        <w:gridCol w:w="109"/>
        <w:gridCol w:w="109"/>
        <w:gridCol w:w="810"/>
        <w:gridCol w:w="1796"/>
        <w:gridCol w:w="424"/>
        <w:gridCol w:w="109"/>
        <w:gridCol w:w="109"/>
        <w:gridCol w:w="109"/>
        <w:gridCol w:w="762"/>
        <w:gridCol w:w="1360"/>
        <w:gridCol w:w="398"/>
        <w:gridCol w:w="109"/>
        <w:gridCol w:w="109"/>
        <w:gridCol w:w="109"/>
        <w:gridCol w:w="445"/>
        <w:gridCol w:w="984"/>
        <w:gridCol w:w="325"/>
      </w:tblGrid>
      <w:tr>
        <w:trPr/>
        <w:tc>
          <w:tcPr>
            <w:tcW w:w="4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Remaining 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305"/>
        <w:gridCol w:w="269"/>
        <w:gridCol w:w="271"/>
        <w:gridCol w:w="109"/>
        <w:gridCol w:w="109"/>
        <w:gridCol w:w="109"/>
        <w:gridCol w:w="338"/>
        <w:gridCol w:w="338"/>
        <w:gridCol w:w="340"/>
        <w:gridCol w:w="109"/>
        <w:gridCol w:w="109"/>
        <w:gridCol w:w="109"/>
        <w:gridCol w:w="390"/>
        <w:gridCol w:w="253"/>
        <w:gridCol w:w="631"/>
        <w:gridCol w:w="109"/>
        <w:gridCol w:w="109"/>
        <w:gridCol w:w="109"/>
        <w:gridCol w:w="359"/>
        <w:gridCol w:w="247"/>
        <w:gridCol w:w="617"/>
        <w:gridCol w:w="109"/>
        <w:gridCol w:w="109"/>
        <w:gridCol w:w="109"/>
        <w:gridCol w:w="556"/>
        <w:gridCol w:w="556"/>
        <w:gridCol w:w="558"/>
        <w:gridCol w:w="109"/>
        <w:gridCol w:w="109"/>
        <w:gridCol w:w="109"/>
        <w:gridCol w:w="357"/>
        <w:gridCol w:w="357"/>
        <w:gridCol w:w="358"/>
        <w:gridCol w:w="109"/>
        <w:gridCol w:w="109"/>
        <w:gridCol w:w="109"/>
        <w:gridCol w:w="243"/>
        <w:gridCol w:w="711"/>
        <w:gridCol w:w="189"/>
      </w:tblGrid>
      <w:tr>
        <w:trPr/>
        <w:tc>
          <w:tcPr>
            <w:tcW w:w="3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Stated Cash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Semi-Annual Interest Payment Dates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Price</w:t>
            </w:r>
          </w:p>
        </w:tc>
      </w:tr>
      <w:tr>
        <w:trPr/>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15,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15; August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entered into separate, privately negotiated transactions to repurchase a portion of the outstanding 2026 Notes (“Repurchased 2026 Notes”). The holders of the Repurchased 2026 Notes exchanged $189 million in aggregate principal amount for an aggregate payment of $101 million in cash for full settlement of the principal value and accrued interest on such date. The Company accounted for the repurchase as a debt extinguishment. Accordingly, on the repurchase date, the Company: (i) reduced the carrying value of the Repurchased 2026 Notes by $189 million, (ii) reduced outstanding deferred issuance costs by $3 million, (iii) incurred fees of $1 million and (iv) recorded $84 million of gain on debt extinguishment. The Company elected to leave the Capped Calls associated with the Repurchased 2026 Notes outstanding.</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total interest expense on the Company's convertible senior notes was $2 million, with coupon interest of $1 million and amortization of debt issuance costs of $1 million.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6.FAIR VALUE DISCLOSURES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uses fair value measurements to record fair value adjustments to certain assets and liabilities and to determine fair value disclosures.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Fair value measurements of assets and liabilities are categorized based on the following hierarchy:</w:t>
      </w:r>
    </w:p>
    <w:p>
      <w:pPr>
        <w:pStyle w:val="TextBody"/>
        <w:spacing w:lineRule="auto" w:line="288" w:before="240" w:after="283"/>
        <w:ind w:left="0" w:right="0" w:firstLine="450"/>
        <w:rPr/>
      </w:pPr>
      <w:r>
        <w:rPr>
          <w:rFonts w:ascii="Times New Roman;sans-serif" w:hAnsi="Times New Roman;sans-serif"/>
          <w:b/>
          <w:i/>
          <w:color w:val="000000"/>
          <w:sz w:val="20"/>
        </w:rPr>
        <w:t>Level 1 —</w:t>
      </w:r>
      <w:r>
        <w:rPr>
          <w:color w:val="000000"/>
        </w:rPr>
        <w:t> </w:t>
      </w:r>
      <w:r>
        <w:rPr>
          <w:rFonts w:ascii="Times New Roman;sans-serif" w:hAnsi="Times New Roman;sans-serif"/>
          <w:b w:val="false"/>
          <w:color w:val="000000"/>
          <w:sz w:val="20"/>
        </w:rPr>
        <w:t>Fair value determined based on quoted prices in active markets for identical assets or liabilities.</w:t>
      </w:r>
    </w:p>
    <w:p>
      <w:pPr>
        <w:pStyle w:val="TextBody"/>
        <w:spacing w:lineRule="auto" w:line="288" w:before="240" w:after="283"/>
        <w:ind w:left="0" w:right="0" w:firstLine="450"/>
        <w:rPr/>
      </w:pPr>
      <w:r>
        <w:rPr>
          <w:rFonts w:ascii="Times New Roman;sans-serif" w:hAnsi="Times New Roman;sans-serif"/>
          <w:b/>
          <w:i/>
          <w:color w:val="000000"/>
          <w:sz w:val="20"/>
        </w:rPr>
        <w:t>Level 2 —</w:t>
      </w:r>
      <w:r>
        <w:rPr>
          <w:color w:val="000000"/>
        </w:rPr>
        <w:t> </w:t>
      </w:r>
      <w:r>
        <w:rPr>
          <w:rFonts w:ascii="Times New Roman;sans-serif" w:hAnsi="Times New Roman;sans-serif"/>
          <w:b w:val="false"/>
          <w:color w:val="000000"/>
          <w:sz w:val="20"/>
        </w:rPr>
        <w:t>Fair value determined using significant observable inputs, such as quoted prices for similar 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pStyle w:val="TextBody"/>
        <w:spacing w:lineRule="auto" w:line="288" w:before="240" w:after="283"/>
        <w:ind w:left="0" w:right="0" w:firstLine="450"/>
        <w:rPr/>
      </w:pPr>
      <w:r>
        <w:rPr>
          <w:rFonts w:ascii="Times New Roman;sans-serif" w:hAnsi="Times New Roman;sans-serif"/>
          <w:b/>
          <w:i/>
          <w:color w:val="000000"/>
          <w:sz w:val="20"/>
        </w:rPr>
        <w:t>Level 3 —</w:t>
      </w:r>
      <w:r>
        <w:rPr>
          <w:color w:val="000000"/>
        </w:rPr>
        <w:t> </w:t>
      </w:r>
      <w:r>
        <w:rPr>
          <w:rFonts w:ascii="Times New Roman;sans-serif" w:hAnsi="Times New Roman;sans-serif"/>
          <w:b w:val="false"/>
          <w:color w:val="000000"/>
          <w:sz w:val="20"/>
        </w:rPr>
        <w:t>Fair value determined using significant unobservable inputs, such as pricing models, discounted cash flows, or similar techniques.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Estimation of Fair Value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measurement methodologies, including significant inputs and assumptions, and classification of the Company’s assets and liabilities.</w:t>
      </w:r>
    </w:p>
    <w:tbl>
      <w:tblPr>
        <w:tblW w:w="10205" w:type="dxa"/>
        <w:jc w:val="left"/>
        <w:tblInd w:w="0" w:type="dxa"/>
        <w:tblCellMar>
          <w:top w:w="28" w:type="dxa"/>
          <w:left w:w="28" w:type="dxa"/>
          <w:bottom w:w="28" w:type="dxa"/>
          <w:right w:w="28" w:type="dxa"/>
        </w:tblCellMar>
      </w:tblPr>
      <w:tblGrid>
        <w:gridCol w:w="843"/>
        <w:gridCol w:w="501"/>
        <w:gridCol w:w="478"/>
        <w:gridCol w:w="109"/>
        <w:gridCol w:w="109"/>
        <w:gridCol w:w="109"/>
        <w:gridCol w:w="1869"/>
        <w:gridCol w:w="1869"/>
        <w:gridCol w:w="1873"/>
        <w:gridCol w:w="109"/>
        <w:gridCol w:w="109"/>
        <w:gridCol w:w="109"/>
        <w:gridCol w:w="616"/>
        <w:gridCol w:w="616"/>
        <w:gridCol w:w="886"/>
      </w:tblGrid>
      <w:tr>
        <w:trPr/>
        <w:tc>
          <w:tcPr>
            <w:tcW w:w="84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Asset/Liability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color w:val="000000"/>
                <w:sz w:val="16"/>
              </w:rPr>
            </w:pPr>
            <w:r>
              <w:rPr>
                <w:rFonts w:ascii="Times New Roman;sans-serif" w:hAnsi="Times New Roman;sans-serif"/>
                <w:b/>
                <w:color w:val="000000"/>
                <w:sz w:val="16"/>
              </w:rPr>
              <w:t>Valuation Methodology, Inputs and</w:t>
            </w:r>
          </w:p>
          <w:p>
            <w:pPr>
              <w:pStyle w:val="TableContents"/>
              <w:spacing w:lineRule="auto" w:line="288" w:before="0" w:after="30"/>
              <w:jc w:val="left"/>
              <w:rPr>
                <w:rFonts w:ascii="Times New Roman;sans-serif" w:hAnsi="Times New Roman;sans-serif"/>
                <w:b/>
                <w:color w:val="000000"/>
                <w:sz w:val="16"/>
              </w:rPr>
            </w:pPr>
            <w:r>
              <w:rPr>
                <w:rFonts w:ascii="Times New Roman;sans-serif" w:hAnsi="Times New Roman;sans-serif"/>
                <w:b/>
                <w:color w:val="000000"/>
                <w:sz w:val="16"/>
              </w:rPr>
              <w:t>Assumptions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r>
      <w:tr>
        <w:trPr/>
        <w:tc>
          <w:tcPr>
            <w:tcW w:w="1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is a reasonable estimate of fair value based on the short-term nature of the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estimated fair value measurement.</w:t>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is a reasonable estimate of fair value based on the short-term nature of the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estimated fair value measurement.</w:t>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Prices obtained from third-party vendors that compile prices from various sources and often apply matrix pricing for similar securities when no price is observable.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recurring fair value measurement.</w:t>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is quoted given the security is traded on an exchange.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recurring fair value measurement.</w:t>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is quoted given the securities are traded on an exchange.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recurring fair value measurement.</w:t>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based on observable market data including quoted market prices and deal price quotes.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recurring fair value measurement.</w:t>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Non-recourse asset-backed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using discounted cash flows based on current lending rates for similar credit facilities with similar terms and remaining time to 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at amortized cost.</w:t>
            </w:r>
          </w:p>
          <w:p>
            <w:pPr>
              <w:pStyle w:val="TableContents"/>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Level 2 estimated fair value measurement.</w:t>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using broker quotes and other observable market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Carried at amortized cost. </w:t>
              <w:br/>
              <w:t>Level 2 estimated fair value measurement.</w:t>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Assets and Liabilities Recorded at Fair Value on a Recurring Basis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levels of the fair value hierarchy for the Company’s assets measured at fair value on a recurring basis (in millions):</w:t>
      </w:r>
    </w:p>
    <w:tbl>
      <w:tblPr>
        <w:tblW w:w="7325" w:type="dxa"/>
        <w:jc w:val="left"/>
        <w:tblInd w:w="0" w:type="dxa"/>
        <w:tblCellMar>
          <w:top w:w="28" w:type="dxa"/>
          <w:left w:w="28" w:type="dxa"/>
          <w:bottom w:w="28" w:type="dxa"/>
          <w:right w:w="28" w:type="dxa"/>
        </w:tblCellMar>
      </w:tblPr>
      <w:tblGrid>
        <w:gridCol w:w="774"/>
        <w:gridCol w:w="682"/>
        <w:gridCol w:w="688"/>
        <w:gridCol w:w="109"/>
        <w:gridCol w:w="109"/>
        <w:gridCol w:w="109"/>
        <w:gridCol w:w="455"/>
        <w:gridCol w:w="1005"/>
        <w:gridCol w:w="235"/>
        <w:gridCol w:w="109"/>
        <w:gridCol w:w="109"/>
        <w:gridCol w:w="109"/>
        <w:gridCol w:w="211"/>
        <w:gridCol w:w="406"/>
        <w:gridCol w:w="109"/>
        <w:gridCol w:w="109"/>
        <w:gridCol w:w="109"/>
        <w:gridCol w:w="109"/>
        <w:gridCol w:w="211"/>
        <w:gridCol w:w="361"/>
        <w:gridCol w:w="109"/>
        <w:gridCol w:w="109"/>
        <w:gridCol w:w="109"/>
        <w:gridCol w:w="109"/>
        <w:gridCol w:w="211"/>
        <w:gridCol w:w="406"/>
        <w:gridCol w:w="154"/>
      </w:tblGrid>
      <w:tr>
        <w:trPr/>
        <w:tc>
          <w:tcPr>
            <w:tcW w:w="77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tbl>
      <w:tblPr>
        <w:tblW w:w="7716" w:type="dxa"/>
        <w:jc w:val="left"/>
        <w:tblInd w:w="0" w:type="dxa"/>
        <w:tblCellMar>
          <w:top w:w="28" w:type="dxa"/>
          <w:left w:w="28" w:type="dxa"/>
          <w:bottom w:w="28" w:type="dxa"/>
          <w:right w:w="28" w:type="dxa"/>
        </w:tblCellMar>
      </w:tblPr>
      <w:tblGrid>
        <w:gridCol w:w="878"/>
        <w:gridCol w:w="775"/>
        <w:gridCol w:w="777"/>
        <w:gridCol w:w="109"/>
        <w:gridCol w:w="109"/>
        <w:gridCol w:w="109"/>
        <w:gridCol w:w="455"/>
        <w:gridCol w:w="1005"/>
        <w:gridCol w:w="235"/>
        <w:gridCol w:w="109"/>
        <w:gridCol w:w="109"/>
        <w:gridCol w:w="109"/>
        <w:gridCol w:w="211"/>
        <w:gridCol w:w="406"/>
        <w:gridCol w:w="109"/>
        <w:gridCol w:w="109"/>
        <w:gridCol w:w="109"/>
        <w:gridCol w:w="109"/>
        <w:gridCol w:w="211"/>
        <w:gridCol w:w="466"/>
        <w:gridCol w:w="109"/>
        <w:gridCol w:w="109"/>
        <w:gridCol w:w="109"/>
        <w:gridCol w:w="109"/>
        <w:gridCol w:w="211"/>
        <w:gridCol w:w="406"/>
        <w:gridCol w:w="154"/>
      </w:tblGrid>
      <w:tr>
        <w:trPr/>
        <w:tc>
          <w:tcPr>
            <w:tcW w:w="87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carrying value, estimated fair value and the levels of the fair value hierarchy for the Company’s financial instruments other than assets and liabilities measured at fair value on a recurring basis (in millions):</w:t>
      </w:r>
    </w:p>
    <w:tbl>
      <w:tblPr>
        <w:tblW w:w="7782" w:type="dxa"/>
        <w:jc w:val="left"/>
        <w:tblInd w:w="0" w:type="dxa"/>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782" w:type="dxa"/>
        <w:jc w:val="left"/>
        <w:tblInd w:w="0" w:type="dxa"/>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47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47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450"/>
        <w:rPr>
          <w:rFonts w:ascii="Times New Roman;sans-serif" w:hAnsi="Times New Roman;sans-serif"/>
          <w:b/>
          <w:color w:val="000000"/>
          <w:sz w:val="20"/>
        </w:rPr>
      </w:pPr>
      <w:r>
        <w:rPr>
          <w:rFonts w:ascii="Times New Roman;sans-serif" w:hAnsi="Times New Roman;sans-serif"/>
          <w:b/>
          <w:color w:val="000000"/>
          <w:sz w:val="20"/>
        </w:rPr>
        <w:t>7.PROPERTY AND EQUIPMENT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Property and equipment as of March 31, 2023 and December 31, 2022, consisted of the following (in millions):</w:t>
      </w:r>
    </w:p>
    <w:tbl>
      <w:tblPr>
        <w:tblW w:w="6010" w:type="dxa"/>
        <w:jc w:val="left"/>
        <w:tblInd w:w="0" w:type="dxa"/>
        <w:tblCellMar>
          <w:top w:w="28" w:type="dxa"/>
          <w:left w:w="28" w:type="dxa"/>
          <w:bottom w:w="28" w:type="dxa"/>
          <w:right w:w="28" w:type="dxa"/>
        </w:tblCellMar>
      </w:tblPr>
      <w:tblGrid>
        <w:gridCol w:w="1334"/>
        <w:gridCol w:w="1176"/>
        <w:gridCol w:w="1179"/>
        <w:gridCol w:w="229"/>
        <w:gridCol w:w="507"/>
        <w:gridCol w:w="118"/>
        <w:gridCol w:w="109"/>
        <w:gridCol w:w="109"/>
        <w:gridCol w:w="109"/>
        <w:gridCol w:w="289"/>
        <w:gridCol w:w="639"/>
        <w:gridCol w:w="212"/>
      </w:tblGrid>
      <w:tr>
        <w:trPr/>
        <w:tc>
          <w:tcPr>
            <w:tcW w:w="133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systems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implementation costs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 net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of $10 million and $9 million was recorded for the three months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8.GOODWILL AND INTANGIBLE ASSETS</w:t>
      </w:r>
    </w:p>
    <w:p>
      <w:pPr>
        <w:pStyle w:val="TextBody"/>
        <w:spacing w:lineRule="auto" w:line="268" w:before="240" w:after="283"/>
        <w:ind w:left="0" w:right="0" w:firstLine="450"/>
        <w:rPr/>
      </w:pPr>
      <w:r>
        <w:rPr>
          <w:rFonts w:ascii="Times New Roman;sans-serif" w:hAnsi="Times New Roman;sans-serif"/>
          <w:b w:val="false"/>
          <w:color w:val="000000"/>
          <w:sz w:val="20"/>
        </w:rPr>
        <w:t>For the three months ended March 31, 2023, there were no additions to goodwill. For the year ended December 31, 2022 the carrying amount of goodwill increased by $4 million due to acquisitions. For more information on significant acquisitions, refer to “</w:t>
      </w:r>
      <w:r>
        <w:rPr>
          <w:rFonts w:ascii="Times New Roman;sans-serif" w:hAnsi="Times New Roman;sans-serif"/>
          <w:b w:val="false"/>
          <w:i/>
          <w:color w:val="000000"/>
          <w:sz w:val="20"/>
        </w:rPr>
        <w:t>Note 13 — Business Acquisition</w:t>
      </w:r>
      <w:r>
        <w:rPr>
          <w:color w:val="000000"/>
        </w:rPr>
        <w:t>”</w:t>
      </w:r>
      <w:r>
        <w:rPr>
          <w:rFonts w:ascii="Times New Roman;sans-serif" w:hAnsi="Times New Roman;sans-serif"/>
          <w:b w:val="false"/>
          <w:color w:val="000000"/>
          <w:sz w:val="20"/>
        </w:rPr>
        <w:t>. No impairment of goodwill was identified for the three months ended March 31, 2023 and 2022.</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consisted of the following as of March 31, 2023 and December 31, 2022, respectively (in millions, except years):</w:t>
      </w:r>
    </w:p>
    <w:tbl>
      <w:tblPr>
        <w:tblW w:w="9095" w:type="dxa"/>
        <w:jc w:val="left"/>
        <w:tblInd w:w="0" w:type="dxa"/>
        <w:tblCellMar>
          <w:top w:w="28" w:type="dxa"/>
          <w:left w:w="28" w:type="dxa"/>
          <w:bottom w:w="28" w:type="dxa"/>
          <w:right w:w="28" w:type="dxa"/>
        </w:tblCellMar>
      </w:tblPr>
      <w:tblGrid>
        <w:gridCol w:w="721"/>
        <w:gridCol w:w="634"/>
        <w:gridCol w:w="640"/>
        <w:gridCol w:w="109"/>
        <w:gridCol w:w="109"/>
        <w:gridCol w:w="109"/>
        <w:gridCol w:w="241"/>
        <w:gridCol w:w="414"/>
        <w:gridCol w:w="126"/>
        <w:gridCol w:w="109"/>
        <w:gridCol w:w="109"/>
        <w:gridCol w:w="109"/>
        <w:gridCol w:w="327"/>
        <w:gridCol w:w="583"/>
        <w:gridCol w:w="171"/>
        <w:gridCol w:w="109"/>
        <w:gridCol w:w="109"/>
        <w:gridCol w:w="109"/>
        <w:gridCol w:w="241"/>
        <w:gridCol w:w="414"/>
        <w:gridCol w:w="126"/>
        <w:gridCol w:w="109"/>
        <w:gridCol w:w="109"/>
        <w:gridCol w:w="109"/>
        <w:gridCol w:w="920"/>
        <w:gridCol w:w="920"/>
        <w:gridCol w:w="1309"/>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Remaining Weighted Average Useful Life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49" w:type="dxa"/>
            <w:gridSpan w:val="3"/>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095" w:type="dxa"/>
        <w:jc w:val="left"/>
        <w:tblInd w:w="0" w:type="dxa"/>
        <w:tblCellMar>
          <w:top w:w="28" w:type="dxa"/>
          <w:left w:w="28" w:type="dxa"/>
          <w:bottom w:w="28" w:type="dxa"/>
          <w:right w:w="28" w:type="dxa"/>
        </w:tblCellMar>
      </w:tblPr>
      <w:tblGrid>
        <w:gridCol w:w="721"/>
        <w:gridCol w:w="636"/>
        <w:gridCol w:w="638"/>
        <w:gridCol w:w="109"/>
        <w:gridCol w:w="109"/>
        <w:gridCol w:w="109"/>
        <w:gridCol w:w="241"/>
        <w:gridCol w:w="414"/>
        <w:gridCol w:w="126"/>
        <w:gridCol w:w="109"/>
        <w:gridCol w:w="109"/>
        <w:gridCol w:w="109"/>
        <w:gridCol w:w="327"/>
        <w:gridCol w:w="583"/>
        <w:gridCol w:w="171"/>
        <w:gridCol w:w="109"/>
        <w:gridCol w:w="109"/>
        <w:gridCol w:w="109"/>
        <w:gridCol w:w="241"/>
        <w:gridCol w:w="414"/>
        <w:gridCol w:w="126"/>
        <w:gridCol w:w="109"/>
        <w:gridCol w:w="109"/>
        <w:gridCol w:w="109"/>
        <w:gridCol w:w="920"/>
        <w:gridCol w:w="920"/>
        <w:gridCol w:w="1309"/>
      </w:tblGrid>
      <w:tr>
        <w:trPr/>
        <w:tc>
          <w:tcPr>
            <w:tcW w:w="72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Remaining Weighted Average Useful Life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49" w:type="dxa"/>
            <w:gridSpan w:val="3"/>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$2 million and $2 million for the three months ended March 31, 2023 and 2022, respectively.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expected amortization of intangible assets is as follows:</w:t>
      </w:r>
    </w:p>
    <w:tbl>
      <w:tblPr>
        <w:tblW w:w="3026" w:type="dxa"/>
        <w:jc w:val="left"/>
        <w:tblInd w:w="0" w:type="dxa"/>
        <w:tblCellMar>
          <w:top w:w="28" w:type="dxa"/>
          <w:left w:w="28" w:type="dxa"/>
          <w:bottom w:w="28" w:type="dxa"/>
          <w:right w:w="28" w:type="dxa"/>
        </w:tblCellMar>
      </w:tblPr>
      <w:tblGrid>
        <w:gridCol w:w="608"/>
        <w:gridCol w:w="533"/>
        <w:gridCol w:w="539"/>
        <w:gridCol w:w="109"/>
        <w:gridCol w:w="109"/>
        <w:gridCol w:w="109"/>
        <w:gridCol w:w="296"/>
        <w:gridCol w:w="507"/>
        <w:gridCol w:w="216"/>
      </w:tblGrid>
      <w:tr>
        <w:trPr/>
        <w:tc>
          <w:tcPr>
            <w:tcW w:w="60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Fiscal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9.SHARE-BASED AWARDS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2022 Inducement Plan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July 2022, the Company’s board of directors adopted the 2022 Inducement Plan (the “Inducement Plan”). Under the Inducement Plan, 31,200,000 shares were initially reserved for issuance. The purpose of the Inducement Plan is to attract, retain and motivate prospective employees of the Company, particularly executive team members and employees joining as part of business combinations. The Inducement Plan allows for the issuance of non-qualified stock options, stock appreciation rights, restricted stock, restricted stock units, dividend equivalents and other stock or cash based awards to new employees of the Company or any subsidiary of the Company.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for the three months ended March 31, 2023, is as follows:</w:t>
      </w:r>
    </w:p>
    <w:tbl>
      <w:tblPr>
        <w:tblW w:w="7609" w:type="dxa"/>
        <w:jc w:val="left"/>
        <w:tblInd w:w="0" w:type="dxa"/>
        <w:tblCellMar>
          <w:top w:w="28" w:type="dxa"/>
          <w:left w:w="28" w:type="dxa"/>
          <w:bottom w:w="28" w:type="dxa"/>
          <w:right w:w="28" w:type="dxa"/>
        </w:tblCellMar>
      </w:tblPr>
      <w:tblGrid>
        <w:gridCol w:w="875"/>
        <w:gridCol w:w="769"/>
        <w:gridCol w:w="771"/>
        <w:gridCol w:w="374"/>
        <w:gridCol w:w="374"/>
        <w:gridCol w:w="376"/>
        <w:gridCol w:w="109"/>
        <w:gridCol w:w="109"/>
        <w:gridCol w:w="109"/>
        <w:gridCol w:w="217"/>
        <w:gridCol w:w="526"/>
        <w:gridCol w:w="112"/>
        <w:gridCol w:w="109"/>
        <w:gridCol w:w="109"/>
        <w:gridCol w:w="109"/>
        <w:gridCol w:w="409"/>
        <w:gridCol w:w="409"/>
        <w:gridCol w:w="411"/>
        <w:gridCol w:w="109"/>
        <w:gridCol w:w="109"/>
        <w:gridCol w:w="109"/>
        <w:gridCol w:w="341"/>
        <w:gridCol w:w="414"/>
        <w:gridCol w:w="250"/>
      </w:tblGrid>
      <w:tr>
        <w:trPr/>
        <w:tc>
          <w:tcPr>
            <w:tcW w:w="87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Exercisable-March 31, 2023</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summary of the RSU activity for the three months ended March 31, 2023, is as follows:</w:t>
      </w:r>
    </w:p>
    <w:tbl>
      <w:tblPr>
        <w:tblW w:w="6342" w:type="dxa"/>
        <w:jc w:val="left"/>
        <w:tblInd w:w="0" w:type="dxa"/>
        <w:tblCellMar>
          <w:top w:w="28" w:type="dxa"/>
          <w:left w:w="28" w:type="dxa"/>
          <w:bottom w:w="28" w:type="dxa"/>
          <w:right w:w="28" w:type="dxa"/>
        </w:tblCellMar>
      </w:tblPr>
      <w:tblGrid>
        <w:gridCol w:w="1407"/>
        <w:gridCol w:w="1237"/>
        <w:gridCol w:w="1241"/>
        <w:gridCol w:w="374"/>
        <w:gridCol w:w="374"/>
        <w:gridCol w:w="376"/>
        <w:gridCol w:w="109"/>
        <w:gridCol w:w="109"/>
        <w:gridCol w:w="109"/>
        <w:gridCol w:w="216"/>
        <w:gridCol w:w="631"/>
        <w:gridCol w:w="159"/>
      </w:tblGrid>
      <w:tr>
        <w:trPr/>
        <w:tc>
          <w:tcPr>
            <w:tcW w:w="140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RSUs</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Grant-Date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outstanding-December 31, 2022</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top w:val="single" w:sz="2" w:space="0" w:color="CCEE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outstanding-March 31, 2023</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2" w:space="0" w:color="CCEE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2" w:space="0" w:color="CCEEFF"/>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9" w:type="dxa"/>
            <w:tcBorders>
              <w:top w:val="single" w:sz="2" w:space="0" w:color="CCEE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Restricted Shares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has granted Restricted Shares to certain continuing employees, primarily in connection with acquisitions. The Restricted Shares vest upon satisfaction of a service condition, which generally ranges from three to four years.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ESPP</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The Company has limited the maximum number of shares to be purchased in an offering period to 1,000 shares per employee. Beginning in March 2023, the maximum number of shares to be purchased in an offering period was increased to 10,000 shares per employee, 5,000 per purchase period. The ESPP allows eligible employees to purchase shares of the Company’s common stock at a 15% discount on the lower price of either (i) the offer period start date or (ii) the purchase date. Prior to March 2023, each offering period was six months in duration. Beginning in March 2023, each offering period is 12 months in duration, with two 6-month purchase periods. The ESPP also includes a reset provision for the purchase price if the stock price on the purchase date is less than the stock price on the offering date. ESPP employee payroll contributions withheld as of March 31, 2023 were $0.5 million and are included within Accounts payable and other accrued liabilities in the condensed consolidated balance sheets. Payroll contributions withheld as of March 31, 2023 will be used to purchase shares at the end of the current ESPP purchase period ending on August 31, 2023.</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fair value of ESPP purchase rights is estimated at the date of grant using the Black-Scholes option-pricing valuation model. The following assumptions were applied in the model to estimate the grant-date fair value of the ESPP.</w:t>
      </w:r>
    </w:p>
    <w:tbl>
      <w:tblPr>
        <w:tblW w:w="3863" w:type="dxa"/>
        <w:jc w:val="left"/>
        <w:tblInd w:w="0" w:type="dxa"/>
        <w:tblCellMar>
          <w:top w:w="28" w:type="dxa"/>
          <w:left w:w="28" w:type="dxa"/>
          <w:bottom w:w="28" w:type="dxa"/>
          <w:right w:w="28" w:type="dxa"/>
        </w:tblCellMar>
      </w:tblPr>
      <w:tblGrid>
        <w:gridCol w:w="724"/>
        <w:gridCol w:w="632"/>
        <w:gridCol w:w="639"/>
        <w:gridCol w:w="466"/>
        <w:gridCol w:w="898"/>
        <w:gridCol w:w="241"/>
        <w:gridCol w:w="109"/>
        <w:gridCol w:w="154"/>
      </w:tblGrid>
      <w:tr>
        <w:trPr/>
        <w:tc>
          <w:tcPr>
            <w:tcW w:w="72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$0.64 – $0.81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605"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1605"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  </w:t>
            </w:r>
            <w:r>
              <w:rPr>
                <w:rFonts w:ascii="Times New Roman;sans-serif" w:hAnsi="Times New Roman;sans-serif"/>
                <w:b w:val="false"/>
                <w:color w:val="000000"/>
                <w:sz w:val="20"/>
              </w:rPr>
              <w:t>5.06% – 5.20%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605"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1.0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the ESPP of $0.4 million during the three months ended March 31, 2023. As of March 31, 2023, total estimated unrecognized compensation expense related to the ESPP was $2 million. The unamortized compensation costs are expected to be recognized over the remaining term of the offering period of 0.9 years.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allocated based on the cost center to which the award holder belongs. The following table summarizes total stock-based compensation expense by function as presented in the condensed consolidated statements of operations for the three months ended March 31, 2023 and 2022 (in millions):</w:t>
      </w:r>
    </w:p>
    <w:tbl>
      <w:tblPr>
        <w:tblW w:w="5619" w:type="dxa"/>
        <w:jc w:val="left"/>
        <w:tblInd w:w="0" w:type="dxa"/>
        <w:tblCellMar>
          <w:top w:w="28" w:type="dxa"/>
          <w:left w:w="28" w:type="dxa"/>
          <w:bottom w:w="28" w:type="dxa"/>
          <w:right w:w="28" w:type="dxa"/>
        </w:tblCellMar>
      </w:tblPr>
      <w:tblGrid>
        <w:gridCol w:w="1251"/>
        <w:gridCol w:w="1097"/>
        <w:gridCol w:w="1101"/>
        <w:gridCol w:w="211"/>
        <w:gridCol w:w="361"/>
        <w:gridCol w:w="109"/>
        <w:gridCol w:w="109"/>
        <w:gridCol w:w="109"/>
        <w:gridCol w:w="109"/>
        <w:gridCol w:w="211"/>
        <w:gridCol w:w="361"/>
        <w:gridCol w:w="109"/>
        <w:gridCol w:w="109"/>
        <w:gridCol w:w="109"/>
        <w:gridCol w:w="109"/>
        <w:gridCol w:w="154"/>
      </w:tblGrid>
      <w:tr>
        <w:trPr/>
        <w:tc>
          <w:tcPr>
            <w:tcW w:w="1251"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no market condition awards satisfied their market condition.</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$354 million of unamortized stock-based compensation costs related to unvested RSUs. The unamortized compensation costs are expected to be recognized over a weighted-average period of approximately 2.1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10.WARRANTS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Marketing Warrants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 exercised via a cash payment or a cashless exercise; provided that the Company has the option to cash settle any exercise. The warrant expires in July 2027, subject to extension for an additional Tranche and early termination under limited circumstances. Zillow began providing marketing services under the partnership arrangement in March 2023. As of March 31, 2023, no warrant shares had vested.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and the resulting effective tax rate for interim periods is determined based upon its estimated annual effective tax rate adjusted for the effect of discrete items arising in that quarter.</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which was primarily composed of state tax expense, was $0.3 million for the three months ended March 31, 2023 with an effective tax rate of (0.26)%. The Company's provision for income taxes was $0.3 million for the three months ended March 31, 2022 with an effective tax rate of 1.00%. The effective tax rate differs from the U.S. statutory tax rate primarily due to the recording of a full valuation allowance against the net deferred tax assets.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positive and negative evidence bearing upon the realizability of its deferred tax assets. Based on the Company’s history of operating losses, including a three-year cumulative loss position, the Company believes that based on the weight of available evidence, it is more likely than not that all of the deferred tax assets will not be realized and recorded a full valuation allowance on its net deferred tax assets as of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12.NET (LOSS) INCOME PER SHARE</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is computed based on the weighted average number of shares of common stock outstanding during the period. Diluted net (loss) income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months ended March 31, 2023 or 2022.</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to calculate net (loss) income per share and apply the more dilutive of the two-class method, treasury stock method or if-converted method to calculate diluted net (loss) income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income per share is computed by dividing the net (loss) income attributable to common shareholders by the weighted-average shares of common stock outstanding during periods with undistributed losses.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income per share attributable to common shareholders for the three months ended March 31, 2023 and 2022 (in millions, except share amounts which are presented in thousands, and per share amounts):</w:t>
      </w:r>
    </w:p>
    <w:tbl>
      <w:tblPr>
        <w:tblW w:w="8002" w:type="dxa"/>
        <w:jc w:val="left"/>
        <w:tblInd w:w="0" w:type="dxa"/>
        <w:tblCellMar>
          <w:top w:w="28" w:type="dxa"/>
          <w:left w:w="28" w:type="dxa"/>
          <w:bottom w:w="28" w:type="dxa"/>
          <w:right w:w="28" w:type="dxa"/>
        </w:tblCellMar>
      </w:tblPr>
      <w:tblGrid>
        <w:gridCol w:w="1923"/>
        <w:gridCol w:w="1697"/>
        <w:gridCol w:w="1704"/>
        <w:gridCol w:w="236"/>
        <w:gridCol w:w="590"/>
        <w:gridCol w:w="109"/>
        <w:gridCol w:w="109"/>
        <w:gridCol w:w="109"/>
        <w:gridCol w:w="109"/>
        <w:gridCol w:w="241"/>
        <w:gridCol w:w="585"/>
        <w:gridCol w:w="109"/>
        <w:gridCol w:w="109"/>
        <w:gridCol w:w="109"/>
        <w:gridCol w:w="109"/>
        <w:gridCol w:w="154"/>
      </w:tblGrid>
      <w:tr>
        <w:trPr/>
        <w:tc>
          <w:tcPr>
            <w:tcW w:w="1923"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(loss) income per share:</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shareholders – basic</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(loss) income per share:</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shareholders – diluted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Potential common shares:</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were no preferred dividends declared or accumulated for the periods presented.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tbl>
      <w:tblPr>
        <w:tblW w:w="5438" w:type="dxa"/>
        <w:jc w:val="left"/>
        <w:tblInd w:w="0" w:type="dxa"/>
        <w:tblCellMar>
          <w:top w:w="28" w:type="dxa"/>
          <w:left w:w="28" w:type="dxa"/>
          <w:bottom w:w="28" w:type="dxa"/>
          <w:right w:w="28" w:type="dxa"/>
        </w:tblCellMar>
      </w:tblPr>
      <w:tblGrid>
        <w:gridCol w:w="949"/>
        <w:gridCol w:w="827"/>
        <w:gridCol w:w="849"/>
        <w:gridCol w:w="360"/>
        <w:gridCol w:w="361"/>
        <w:gridCol w:w="178"/>
        <w:gridCol w:w="178"/>
        <w:gridCol w:w="178"/>
        <w:gridCol w:w="178"/>
        <w:gridCol w:w="360"/>
        <w:gridCol w:w="361"/>
        <w:gridCol w:w="178"/>
        <w:gridCol w:w="109"/>
        <w:gridCol w:w="109"/>
        <w:gridCol w:w="109"/>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76,816 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36,034 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13.BUSINESS ACQUISITION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November 4, 2022, the Company acquired TaxProper Inc. in exchange for $10 million in cash consideration. Acquired intangible assets consist of developed technology valued at $7 million and are being amortized over two years. Goodwill attributed to the TaxProper acquisition was $2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did not enter into any material new leases, lease renewals, or lease modifications.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potential liability relating to the ownership and operations of the Company’s properties. Accruals are recorded when the outcome is probable and can be reasonably estimated.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October 7, 2022 and November 22, 2022, purported securities class action lawsuits were filed in the United States District Court for the District of Arizona, captioned Alich v. Opendoor Technologies Inc., et al. (Case No. 2:22-cv-01717-JFM) (“Alich”) and Oakland County Voluntary Employee’s Beneficiary Association, et al. v. Opendoor Technologies Inc., et al. (Case No. 2:22-cv-01987-GMS) (“Oakland County”), respectively. The lawsuits were consolidated into a single action, captioned In re Opendoor Technologies Inc. Securities Litigation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offerings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We believe that the allegations in the complaints are without merit and we intend to vigorously defend ourselves in the matter.</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1, 2023 and March 15, 2023, shareholder derivative lawsuits were filed in the United States District Court for the District of Arizona, captioned Carlson v. Rice, et al. (Case No. 2:23-cv-00367-GMS) and Van Dorn v. Wu, et al. (Case No. 2:23-cv-00455-DMF), respectively. The lawsuits were consolidated into a single action, captioned Carlson v. Rice (Case No. 2:23-CV-00367-GMS). The complaints are based on the same facts and circumstances as In re Opendoor Technologies Inc. Securities Litigation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50"/>
        <w:rPr>
          <w:rFonts w:ascii="Times New Roman;sans-serif" w:hAnsi="Times New Roman;sans-serif"/>
          <w:b/>
          <w:color w:val="000000"/>
          <w:sz w:val="20"/>
        </w:rPr>
      </w:pPr>
      <w:r>
        <w:rPr>
          <w:rFonts w:ascii="Times New Roman;sans-serif" w:hAnsi="Times New Roman;sans-serif"/>
          <w:b/>
          <w:color w:val="000000"/>
          <w:sz w:val="20"/>
        </w:rPr>
        <w:t>15.SUBSEQUENT EVENTS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18, 2023, the Company announced a workforce reduction of approximately 560 employees, representing approximately 22% of our workforce at that time and primarily impacting volume-based roles. We are providing post-employment benefits to impacted employees for a total cash cost of approximately $10 million, which we expect will be recognized in the second quarter of fiscal 2023 and paid primarily during the same period.</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24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pStyle w:val="TextBody"/>
        <w:spacing w:lineRule="auto" w:line="288" w:before="24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the Company's Annual Report on Form 10-K for the year ended December 31, 2022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Opendoor’s mission is to power life’s progress, one move at a time. Residential real estate is a trillion dollar industry underpinned by a process that is complicated, time-consuming, stressful, and offline. We believe all consumers deserve to buy, sell, and move between homes with simplicity and confidence, and we have dedicated the last nine years to delivering on this vision. We have built unique pricing and operations capabilities to become one of the largest buyers and sellers of homes in the United States. We have helped customers to buy or sell homes in over 226,000 transactions and expand our footprint to 53 markets across the country.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Financial Highlights</w:t>
      </w:r>
    </w:p>
    <w:tbl>
      <w:tblPr>
        <w:tblW w:w="10205" w:type="dxa"/>
        <w:jc w:val="left"/>
        <w:tblInd w:w="0" w:type="dxa"/>
        <w:tblCellMar>
          <w:top w:w="28" w:type="dxa"/>
          <w:left w:w="28" w:type="dxa"/>
          <w:bottom w:w="28" w:type="dxa"/>
          <w:right w:w="28" w:type="dxa"/>
        </w:tblCellMar>
      </w:tblPr>
      <w:tblGrid>
        <w:gridCol w:w="1947"/>
        <w:gridCol w:w="1686"/>
        <w:gridCol w:w="1697"/>
        <w:gridCol w:w="109"/>
        <w:gridCol w:w="109"/>
        <w:gridCol w:w="109"/>
        <w:gridCol w:w="211"/>
        <w:gridCol w:w="616"/>
        <w:gridCol w:w="271"/>
        <w:gridCol w:w="109"/>
        <w:gridCol w:w="109"/>
        <w:gridCol w:w="109"/>
        <w:gridCol w:w="211"/>
        <w:gridCol w:w="616"/>
        <w:gridCol w:w="271"/>
        <w:gridCol w:w="109"/>
        <w:gridCol w:w="109"/>
        <w:gridCol w:w="109"/>
        <w:gridCol w:w="211"/>
        <w:gridCol w:w="677"/>
        <w:gridCol w:w="109"/>
        <w:gridCol w:w="109"/>
        <w:gridCol w:w="109"/>
        <w:gridCol w:w="109"/>
        <w:gridCol w:w="109"/>
        <w:gridCol w:w="109"/>
        <w:gridCol w:w="156"/>
      </w:tblGrid>
      <w:tr>
        <w:trPr/>
        <w:tc>
          <w:tcPr>
            <w:tcW w:w="1947"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5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 homes sold, number of markets, and homes in inventory)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markets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Current Housing Environment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spent the last 12 months navigating the steepest transition in the housing market in decades. While we are seeing some signs of stabilization in mortgage rates, home sellers continue to be on the sidelines with new listings down significantly in the first quarter of 2023 versus the prior year’s quarterly peak. Market clearance is trending better than expected as a result of this lack of supply, but the outlook for home prices continues to be uncertain.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this macro environment, we are continuing to operate with caution and discipline. Specifically, we are expanding our partnership channels to attract more sellers to the platform as we maintain high spreads in our offers. We are also driving operational efficiencies to improve our cost structure so that we can deliver higher, more durable unit economics long term.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With housing transaction volumes expected to remain low in the near-term, we have right-sized our operating capacity and overall cost structure to reflect these volume expectations. In April 2023, we announced a workforce reduction of approximately 22% or 560 employees, primarily focused on volume-based roles. We expect this to deliver over $50 million in annualized savings.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Business Impact of COVID-19</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While we believe we have adapted our operations to function effectively during the ongoing COVID-19 pandemic, our business remains sensitive to potential future disruptions of the real estate market caused by COVID-19 and its variants.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Factors Affecting our Business Performance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Market Penetration in Existing Markets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is one of the largest consumer markets, with approximately $1.9 trillion of home value transacted annually. Given the fact that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continuing to iterate on our marketplace product, which enables our sellers to connect directly with our buyers thereby expanding our target audience to additional sellers. We expect this marketplace to reduce our inventory exposure, capital intensity and macroeconomic risk, which we believe has the potential to positively impact our results.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launched our new partnership agreement with Zillow, Inc. in early 2023, allowing home sellers on the Zillow, Inc. platform to request an offer directly from Opendoor, and creating an additional channel for us to drive brand awareness and acquire customers.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Market Footprint</w:t>
      </w:r>
    </w:p>
    <w:p>
      <w:pPr>
        <w:pStyle w:val="TextBody"/>
        <w:spacing w:lineRule="auto" w:line="288" w:before="240" w:after="24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operated in 53 markets as of March 31, 2023. The following table represents the number of markets as of the periods presented:</w:t>
      </w:r>
    </w:p>
    <w:tbl>
      <w:tblPr>
        <w:tblW w:w="7059" w:type="dxa"/>
        <w:jc w:val="left"/>
        <w:tblInd w:w="0" w:type="dxa"/>
        <w:tblCellMar>
          <w:top w:w="28" w:type="dxa"/>
          <w:left w:w="28" w:type="dxa"/>
          <w:bottom w:w="28" w:type="dxa"/>
          <w:right w:w="28" w:type="dxa"/>
        </w:tblCellMar>
      </w:tblPr>
      <w:tblGrid>
        <w:gridCol w:w="1041"/>
        <w:gridCol w:w="916"/>
        <w:gridCol w:w="923"/>
        <w:gridCol w:w="109"/>
        <w:gridCol w:w="109"/>
        <w:gridCol w:w="109"/>
        <w:gridCol w:w="284"/>
        <w:gridCol w:w="284"/>
        <w:gridCol w:w="286"/>
        <w:gridCol w:w="109"/>
        <w:gridCol w:w="109"/>
        <w:gridCol w:w="109"/>
        <w:gridCol w:w="109"/>
        <w:gridCol w:w="109"/>
        <w:gridCol w:w="109"/>
        <w:gridCol w:w="109"/>
        <w:gridCol w:w="155"/>
        <w:gridCol w:w="155"/>
        <w:gridCol w:w="156"/>
        <w:gridCol w:w="132"/>
        <w:gridCol w:w="132"/>
        <w:gridCol w:w="132"/>
        <w:gridCol w:w="155"/>
        <w:gridCol w:w="155"/>
        <w:gridCol w:w="156"/>
        <w:gridCol w:w="132"/>
        <w:gridCol w:w="132"/>
        <w:gridCol w:w="132"/>
        <w:gridCol w:w="149"/>
        <w:gridCol w:w="149"/>
        <w:gridCol w:w="213"/>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whole numbers)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markets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Due to the deteriorating macro environment in 2022, we slowed down our new market expansion plans.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However, given our “risk-off” stance and our reduced acquisition pace, we expect our newer markets will grow slower than prior cohorts.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Adjacent Services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home sellers and buyers value simplicity and certainty. To that end, we are building an online, integrated suite of home services, which currently include title insurance, escrow services and brokerage services.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success with title insurance and escrow services helps validate our view that customers prefer an online, integrated experience. We will continue to evaluate new ways to improve our end-to-end solution and expect to invest in additional adjacent products and services over time with the expectation that these adjacent services will continue to improve our unit economics and Contribution Margin.</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Unit Economics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view Contribution Margin as a key measure of unit economic performance. Our long-term financial performance depends, in part, on continuing to maintain and expand unit margins through the following initiatives: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Optimization and enhancements of our pricing engine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Platform efficiency improvements through greater automation and self-service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Incremental attach of services, which supplement the core transaction margin profile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Expansion of our marketplace product offering, which will reduce our inventory exposure and capital intensity, and eliminate any holding and selling costs associated with taking ownership of the home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Inventory Management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performance in the first quarter of 2023 reflects the sharp transition in the housing market from peak levels earlier 2022 to lower transaction velocity and home price appreciation well beyond typical seasonal trends. Given these macroeconomic pressures, we have been focused on managing for overall inventory health and risk. As part of that focus, we have continued to adjust down listed prices on our inventory to stay in-line with the market and drive resale clearance. Related to those price actions, we have recorded inventory valuation adjustments of $23 million during the three months ended March 31, 2023. We have also proactively reduced our acquisition pace via higher spreads embedded in our offers and lower marketing investment. While this allows us to manage overall inventory growth, we expect future margins on those acquisition cohorts to be in-line with our expectations for positive contribution margins. We expect to resume a higher acquisition pace as the housing market stabilizes.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March 31, 2023, such homes represented 59% of our portfolio, compared to 23% for the broader market when filtered for the types of homes we are able to underwrite and acquire in a given market based on characteristics such as price range, home type, home location, year built and lot size (which we refer to as our “buybox”). This metric is impacted by the mix of homes in our inventory. Beginning early in the third quarter of 2022, we significantly reduced our offer pace and subsequent closings of new home acquisitions in light of our risk management objective and overall macroeconomic uncertainty. When newly acquired homes represent a smaller proportion of our overall inventory, average days on market for our portfolio generally increases and we expect this trend to continue for the first half of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Inventory Financing</w:t>
      </w:r>
    </w:p>
    <w:p>
      <w:pPr>
        <w:pStyle w:val="TextBody"/>
        <w:spacing w:lineRule="auto" w:line="288" w:before="240" w:after="283"/>
        <w:ind w:left="0" w:right="0" w:firstLine="450"/>
        <w:rPr/>
      </w:pPr>
      <w:r>
        <w:rPr>
          <w:rFonts w:ascii="Times New Roman;sans-serif" w:hAnsi="Times New Roman;sans-serif"/>
          <w:b w:val="false"/>
          <w:color w:val="000000"/>
          <w:sz w:val="20"/>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sans-serif" w:hAnsi="Times New Roman;sans-serif"/>
          <w:b w:val="false"/>
          <w:i/>
          <w:color w:val="000000"/>
          <w:sz w:val="20"/>
        </w:rPr>
        <w:t>Liquidity and Capital Resources — Debt and Financing Arrangements.</w:t>
      </w:r>
      <w:r>
        <w:rPr>
          <w:color w:val="000000"/>
        </w:rPr>
        <w: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increases as recently observed, have obscured the impact of seasonality in our historical financials and we expect may continue to do so.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below, we report certain financial measures that are not required by, or presented in accordance with, U.S. generally accepted accounting principles (“GAAP”).</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These measures have limitations as analytical tools when assessing our operating performance and should not be considered in isolation or as a substitute for GAAP measures, including gross (loss)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Gross (Loss) Profit and Contribution (Loss) Profit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margins and return on inventory acquired, we have included Adjusted Gross (Loss) Profit and Contribution (Loss) Profit, which are non-GAAP financial measures. We believe that Adjusted Gross (Loss) Profit and Contribution (Loss)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(Loss) Profit provides investors a measure to assess Opendoor’s ability to generate returns on homes sold during a reporting period after considering home purchase costs, renovation and repair costs, holding costs and selling costs.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Adjusted Gross (Loss) Profit and Contribution (Loss)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(loss) profit.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Gross (Loss) Profit / Margin</w:t>
      </w:r>
    </w:p>
    <w:p>
      <w:pPr>
        <w:pStyle w:val="TextBody"/>
        <w:spacing w:lineRule="auto" w:line="288" w:before="240" w:after="283"/>
        <w:ind w:left="0" w:right="0" w:firstLine="450"/>
        <w:rPr/>
      </w:pPr>
      <w:r>
        <w:rPr>
          <w:rFonts w:ascii="Times New Roman;sans-serif" w:hAnsi="Times New Roman;sans-serif"/>
          <w:b w:val="false"/>
          <w:color w:val="000000"/>
          <w:sz w:val="20"/>
        </w:rPr>
        <w:t>We calculate Adjusted Gross (Loss) Profit as gross (loss)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(Loss) Profit as a percentage of revenue. See “—</w:t>
      </w:r>
      <w:r>
        <w:rPr>
          <w:rFonts w:ascii="Times New Roman;sans-serif" w:hAnsi="Times New Roman;sans-serif"/>
          <w:b w:val="false"/>
          <w:i/>
          <w:color w:val="000000"/>
          <w:sz w:val="20"/>
        </w:rPr>
        <w:t>Critical Accounting Policies and Estimates— Real Estate Inventory”</w:t>
      </w:r>
      <w:r>
        <w:rPr>
          <w:color w:val="000000"/>
        </w:rPr>
        <w:t xml:space="preserve"> </w:t>
      </w:r>
      <w:r>
        <w:rPr>
          <w:rFonts w:ascii="Times New Roman;sans-serif" w:hAnsi="Times New Roman;sans-serif"/>
          <w:b w:val="false"/>
          <w:color w:val="000000"/>
          <w:sz w:val="20"/>
        </w:rPr>
        <w:t>for detailed discussion of inventory valuation adjustment.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view this metric as an important measure of business performance as it captures gross margin performance isolated to homes sold in a given period and provides comparability across reporting periods. Adjusted Gross (Loss) Profit helps management assess home pricing, service fees and renovation performance for a specific resale cohort.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Contribution (Loss) Profit / Margin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calculate Contribution (Loss) Profit as Adjusted Gross (Loss) Profit,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(Loss) Profit as a percentage of revenue.</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view this metric as an important measure of business performance as it captures the unit level performance isolated to homes sold in a given period and provides comparability across reporting periods. Contribution (Loss) Profit helps management assess inflows and outflows directly associated with a specific resale cohort.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our Adjusted Gross (Loss) Profit and Contribution (Loss) Profit to our gross (loss) profit, which is the most directly comparable GAAP measure, for the periods indicated:</w:t>
      </w:r>
    </w:p>
    <w:tbl>
      <w:tblPr>
        <w:tblW w:w="7515" w:type="dxa"/>
        <w:jc w:val="left"/>
        <w:tblInd w:w="0" w:type="dxa"/>
        <w:tblCellMar>
          <w:top w:w="28" w:type="dxa"/>
          <w:left w:w="28" w:type="dxa"/>
          <w:bottom w:w="28" w:type="dxa"/>
          <w:right w:w="28" w:type="dxa"/>
        </w:tblCellMar>
      </w:tblPr>
      <w:tblGrid>
        <w:gridCol w:w="1592"/>
        <w:gridCol w:w="1398"/>
        <w:gridCol w:w="1404"/>
        <w:gridCol w:w="109"/>
        <w:gridCol w:w="109"/>
        <w:gridCol w:w="109"/>
        <w:gridCol w:w="211"/>
        <w:gridCol w:w="541"/>
        <w:gridCol w:w="271"/>
        <w:gridCol w:w="109"/>
        <w:gridCol w:w="109"/>
        <w:gridCol w:w="109"/>
        <w:gridCol w:w="211"/>
        <w:gridCol w:w="481"/>
        <w:gridCol w:w="271"/>
        <w:gridCol w:w="109"/>
        <w:gridCol w:w="109"/>
        <w:gridCol w:w="109"/>
        <w:gridCol w:w="154"/>
      </w:tblGrid>
      <w:tr>
        <w:trPr/>
        <w:tc>
          <w:tcPr>
            <w:tcW w:w="1592"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Inventory valuation adjustment – Current Period</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Inventory valuation adjustment – Prior Periods</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(Loss)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Direct selling costs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Holding costs on sales – Current Period</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Holding costs on sales – Prior Periods</w:t>
            </w:r>
            <w:r>
              <w:rPr>
                <w:rFonts w:ascii="Times New Roman;sans-serif" w:hAnsi="Times New Roman;sans-serif"/>
                <w:b w:val="false"/>
                <w:color w:val="000000"/>
                <w:sz w:val="13"/>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Contribution (Loss)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bottom w:val="single" w:sz="2" w:space="0" w:color="FFFFFF"/>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4"/>
        </w:rPr>
      </w:pPr>
      <w:r>
        <w:rPr>
          <w:rFonts w:ascii="Arial;sans-serif" w:hAnsi="Arial;sans-serif"/>
          <w:b w:val="false"/>
          <w:color w:val="000000"/>
          <w:sz w:val="24"/>
        </w:rPr>
        <w:t>________________</w:t>
      </w:r>
    </w:p>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Inventory valuation adjustment includes adjustments to record real estate inventory at the lower of its carrying amount or its net realizable value. See “—</w:t>
      </w:r>
      <w:r>
        <w:rPr>
          <w:rFonts w:ascii="Times New Roman;sans-serif" w:hAnsi="Times New Roman;sans-serif"/>
          <w:b w:val="false"/>
          <w:i/>
          <w:color w:val="000000"/>
          <w:sz w:val="20"/>
        </w:rPr>
        <w:t>Critical Accounting Policies and Estimates — Real Estate Inventory.</w:t>
      </w:r>
      <w:r>
        <w:rPr>
          <w:color w:val="000000"/>
        </w:rPr>
        <w:t>”</w:t>
      </w:r>
    </w:p>
    <w:p>
      <w:pPr>
        <w:pStyle w:val="TextBody"/>
        <w:spacing w:lineRule="auto" w:line="288" w:before="12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Inventory valuation adjustment — Current Period is the inventory valuation adjustments recorded during the period presented associated with homes that remain in inventory at period end.</w:t>
      </w:r>
    </w:p>
    <w:p>
      <w:pPr>
        <w:pStyle w:val="TextBody"/>
        <w:spacing w:lineRule="auto" w:line="288" w:before="12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Inventory valuation adjustment — Prior Periods is the inventory valuation adjustments recorded in prior periods associated with homes that sold in the period presented.</w:t>
      </w:r>
    </w:p>
    <w:p>
      <w:pPr>
        <w:pStyle w:val="TextBody"/>
        <w:spacing w:lineRule="auto" w:line="288" w:before="12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selling costs incurred related to homes sold in the relevant period. This primarily includes broker commissions, external title and escrow-related fees and transfer taxes.</w:t>
      </w:r>
    </w:p>
    <w:p>
      <w:pPr>
        <w:pStyle w:val="TextBody"/>
        <w:spacing w:lineRule="auto" w:line="288" w:before="120" w:after="283"/>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Holding costs include mainly property taxes, insurance, utilities, homeowners association dues, cleaning and maintenance costs. Holding costs are included in Sales, marketing, and operations on the Condensed Consolidated Statements of Operations.</w:t>
      </w:r>
    </w:p>
    <w:p>
      <w:pPr>
        <w:pStyle w:val="TextBody"/>
        <w:spacing w:lineRule="auto" w:line="288" w:before="120" w:after="283"/>
        <w:ind w:left="0" w:right="0" w:hanging="360"/>
        <w:rPr/>
      </w:pPr>
      <w:r>
        <w:rPr>
          <w:rFonts w:ascii="Times New Roman;sans-serif" w:hAnsi="Times New Roman;sans-serif"/>
          <w:b w:val="false"/>
          <w:color w:val="000000"/>
          <w:sz w:val="13"/>
        </w:rPr>
        <w:t>(6)</w:t>
      </w:r>
      <w:r>
        <w:rPr>
          <w:rFonts w:ascii="Times New Roman;sans-serif" w:hAnsi="Times New Roman;sans-serif"/>
          <w:b w:val="false"/>
          <w:color w:val="000000"/>
          <w:sz w:val="20"/>
        </w:rPr>
        <w:t>Represents holding costs incurred in the period presented on homes sold in the period presented.</w:t>
      </w:r>
    </w:p>
    <w:p>
      <w:pPr>
        <w:pStyle w:val="TextBody"/>
        <w:spacing w:lineRule="auto" w:line="288" w:before="120" w:after="283"/>
        <w:ind w:left="0" w:right="0" w:hanging="360"/>
        <w:rPr/>
      </w:pPr>
      <w:r>
        <w:rPr>
          <w:rFonts w:ascii="Times New Roman;sans-serif" w:hAnsi="Times New Roman;sans-serif"/>
          <w:b w:val="false"/>
          <w:color w:val="000000"/>
          <w:sz w:val="13"/>
        </w:rPr>
        <w:t>(7)</w:t>
      </w:r>
      <w:r>
        <w:rPr>
          <w:rFonts w:ascii="Times New Roman;sans-serif" w:hAnsi="Times New Roman;sans-serif"/>
          <w:b w:val="false"/>
          <w:color w:val="000000"/>
          <w:sz w:val="20"/>
        </w:rPr>
        <w:t>Represents holding costs incurred in prior periods on homes sold in the period presented.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Adjusted Net (Loss) Income and Adjusted EBITDA</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present Adjusted Net (Loss) Income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 Income and Adjusted EBITDA are supplemental measures of our operating performance and have important limitations. For example, these measures exclude the impact of certain costs required to be recorded under GAAP.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 income.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Net (Loss) Income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calculate Adjusted Net (Loss) Income as GAAP net (loss) income adjusted to exclude non-cash expenses of stock-based compensation, equity securities fair value adjustment, and intangibles amortization expense. It excludes expenses that are not directly related to our revenue-generating operations such as legal contingency accruals. It excludes (gain) loss on extinguishment of debt as these expenses were incurred as a result of decisions made by management to repay portions of our outstanding credit facilities early; these expenses are not reflective of ongoing operating results and vary in frequency and amount. Adjusted Net (Loss) Income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Income does not currently include the tax effects of the non-GAAP adjustments because our taxes and such tax effects have not been material to date.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calculated Adjusted EBITDA as Adjusted Net (Loss) Income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pStyle w:val="TextBody"/>
        <w:spacing w:lineRule="auto" w:line="288" w:before="240" w:after="12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our Adjusted Net (Loss) Income and Adjusted EBITDA to our net (loss) income, which is the most directly comparable GAAP measure, for the periods indicated:</w:t>
      </w:r>
    </w:p>
    <w:tbl>
      <w:tblPr>
        <w:tblW w:w="10205" w:type="dxa"/>
        <w:jc w:val="left"/>
        <w:tblInd w:w="0" w:type="dxa"/>
        <w:tblCellMar>
          <w:top w:w="28" w:type="dxa"/>
          <w:left w:w="28" w:type="dxa"/>
          <w:bottom w:w="28" w:type="dxa"/>
          <w:right w:w="28" w:type="dxa"/>
        </w:tblCellMar>
      </w:tblPr>
      <w:tblGrid>
        <w:gridCol w:w="2586"/>
        <w:gridCol w:w="2245"/>
        <w:gridCol w:w="2256"/>
        <w:gridCol w:w="109"/>
        <w:gridCol w:w="109"/>
        <w:gridCol w:w="109"/>
        <w:gridCol w:w="211"/>
        <w:gridCol w:w="536"/>
        <w:gridCol w:w="271"/>
        <w:gridCol w:w="109"/>
        <w:gridCol w:w="109"/>
        <w:gridCol w:w="109"/>
        <w:gridCol w:w="211"/>
        <w:gridCol w:w="481"/>
        <w:gridCol w:w="271"/>
        <w:gridCol w:w="109"/>
        <w:gridCol w:w="109"/>
        <w:gridCol w:w="109"/>
        <w:gridCol w:w="156"/>
      </w:tblGrid>
      <w:tr>
        <w:trPr/>
        <w:tc>
          <w:tcPr>
            <w:tcW w:w="2586"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0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Equity securities fair value adjustment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Intangibles amortization expense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Inventory valuation adjustment – Current Period</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Inventory valuation adjustment — Prior Periods</w:t>
            </w:r>
            <w:r>
              <w:rPr>
                <w:rFonts w:ascii="Times New Roman;sans-serif" w:hAnsi="Times New Roman;sans-serif"/>
                <w:b w:val="false"/>
                <w:color w:val="000000"/>
                <w:sz w:val="13"/>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contingency accrual and 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excluding amortization of intangibles and 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Property financing</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Other interest expense</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Interest income</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(341)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w:t>
      </w:r>
    </w:p>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the gains and losses on certain financial instruments, which are marked to fair value at the end of each period.</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12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amortization of acquisition-related intangible assets. The acquired intangible assets have useful lives ranging from 1 to 5 years and amortization is expected until the intangible assets are fully amortized.</w:t>
      </w:r>
    </w:p>
    <w:p>
      <w:pPr>
        <w:pStyle w:val="TextBody"/>
        <w:spacing w:lineRule="auto" w:line="288" w:before="12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Inventory valuation adjustment includes adjustments to record real estate inventory at the lower of its carrying amount or its net realizable value.</w:t>
      </w:r>
    </w:p>
    <w:p>
      <w:pPr>
        <w:pStyle w:val="TextBody"/>
        <w:spacing w:lineRule="auto" w:line="288" w:before="12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Inventory valuation adjustment — Current Period is the inventory valuation adjustments recorded during the period presented associated with homes that remain in inventory at period end.</w:t>
      </w:r>
    </w:p>
    <w:p>
      <w:pPr>
        <w:pStyle w:val="TextBody"/>
        <w:spacing w:lineRule="auto" w:line="288" w:before="120" w:after="283"/>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Inventory valuation adjustment — Prior Periods is the inventory valuation adjustments recorded in prior periods associated with homes that sold in the period presented.</w:t>
      </w:r>
    </w:p>
    <w:p>
      <w:pPr>
        <w:pStyle w:val="TextBody"/>
        <w:spacing w:lineRule="auto" w:line="288" w:before="120" w:after="283"/>
        <w:ind w:left="0" w:right="0" w:hanging="360"/>
        <w:rPr/>
      </w:pPr>
      <w:r>
        <w:rPr>
          <w:rFonts w:ascii="Times New Roman;sans-serif" w:hAnsi="Times New Roman;sans-serif"/>
          <w:b w:val="false"/>
          <w:color w:val="000000"/>
          <w:sz w:val="13"/>
        </w:rPr>
        <w:t>(6)</w:t>
      </w:r>
      <w:r>
        <w:rPr>
          <w:rFonts w:ascii="Times New Roman;sans-serif" w:hAnsi="Times New Roman;sans-serif"/>
          <w:b w:val="false"/>
          <w:color w:val="000000"/>
          <w:sz w:val="20"/>
        </w:rPr>
        <w:t>Includes primarily sublease income and income from equity method investments.</w:t>
      </w:r>
    </w:p>
    <w:p>
      <w:pPr>
        <w:pStyle w:val="TextBody"/>
        <w:spacing w:lineRule="auto" w:line="288" w:before="120" w:after="283"/>
        <w:ind w:left="0" w:right="0" w:hanging="360"/>
        <w:rPr/>
      </w:pPr>
      <w:r>
        <w:rPr>
          <w:rFonts w:ascii="Times New Roman;sans-serif" w:hAnsi="Times New Roman;sans-serif"/>
          <w:b w:val="false"/>
          <w:color w:val="000000"/>
          <w:sz w:val="13"/>
        </w:rPr>
        <w:t>(7)</w:t>
      </w:r>
      <w:r>
        <w:rPr>
          <w:rFonts w:ascii="Times New Roman;sans-serif" w:hAnsi="Times New Roman;sans-serif"/>
          <w:b w:val="false"/>
          <w:color w:val="000000"/>
          <w:sz w:val="20"/>
        </w:rPr>
        <w:t>Includes interest expense on our non-recourse asset-backed debt facilities.</w:t>
      </w:r>
    </w:p>
    <w:p>
      <w:pPr>
        <w:pStyle w:val="TextBody"/>
        <w:spacing w:lineRule="auto" w:line="288" w:before="120" w:after="283"/>
        <w:ind w:left="0" w:right="0" w:hanging="360"/>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pStyle w:val="TextBody"/>
        <w:spacing w:lineRule="auto" w:line="288" w:before="120" w:after="283"/>
        <w:ind w:left="0" w:right="0" w:hanging="360"/>
        <w:rPr/>
      </w:pPr>
      <w:r>
        <w:rPr>
          <w:rFonts w:ascii="Times New Roman;sans-serif" w:hAnsi="Times New Roman;sans-serif"/>
          <w:b w:val="false"/>
          <w:color w:val="000000"/>
          <w:sz w:val="13"/>
        </w:rPr>
        <w:t>(9)</w:t>
      </w:r>
      <w:r>
        <w:rPr>
          <w:rFonts w:ascii="Times New Roman;sans-serif" w:hAnsi="Times New Roman;sans-serif"/>
          <w:b w:val="false"/>
          <w:color w:val="000000"/>
          <w:sz w:val="20"/>
        </w:rPr>
        <w:t>Consists mainly of interest earned on cash, cash equivalents, restricted cash and marketable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Additionally, for our revenue other than home sales revenue, cost of revenue consists of any costs incurred in delivering the service, including associated headcount expenses such as salaries, benefits and stock-based compensation.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Sales, Marketing and Operations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Technology and Development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primarily of headcount expenses, including salaries, benefits and stock-based compensation for employees in the design, development, testing, maintenance and operation of our mobile applications, websites, tools, applications, and mobile apps that support our products. Technology and development expense also includes amortization of capitalized software development costs and third-party software and hosting costs.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Gain on Extinguishment of Debt</w:t>
      </w:r>
    </w:p>
    <w:p>
      <w:pPr>
        <w:pStyle w:val="TextBody"/>
        <w:spacing w:lineRule="auto" w:line="288" w:before="240" w:after="283"/>
        <w:ind w:left="0" w:right="0" w:firstLine="450"/>
        <w:rPr/>
      </w:pPr>
      <w:r>
        <w:rPr>
          <w:rFonts w:ascii="Times New Roman;sans-serif" w:hAnsi="Times New Roman;sans-serif"/>
          <w:b w:val="false"/>
          <w:color w:val="000000"/>
          <w:sz w:val="20"/>
        </w:rPr>
        <w:t xml:space="preserve">Gain on extinguishment of debt is the result of the Company’s partial repurchase of the 2026 Notes at a discount net of unamortized deferred costs associated with the 2026 Notes. The amount is offset by the termination of a debt facility as well as unamortized deferred costs associated with the facility. See </w:t>
      </w:r>
      <w:r>
        <w:rPr>
          <w:rFonts w:ascii="Times New Roman;sans-serif" w:hAnsi="Times New Roman;sans-serif"/>
          <w:b w:val="false"/>
          <w:i/>
          <w:color w:val="000000"/>
          <w:sz w:val="20"/>
        </w:rPr>
        <w:t>Part I – Item 1. Financial Statements – Notes to Condensed Consolidated Financial Statements – Note 5. Credit Facilities and Long-Term Debt—Convertible Senior Notes</w:t>
      </w:r>
      <w:r>
        <w:rPr>
          <w:color w:val="000000"/>
        </w:rPr>
        <w:t xml:space="preserve"> </w:t>
      </w:r>
      <w:r>
        <w:rPr>
          <w:rFonts w:ascii="Times New Roman;sans-serif" w:hAnsi="Times New Roman;sans-serif"/>
          <w:b w:val="false"/>
          <w:color w:val="000000"/>
          <w:sz w:val="20"/>
        </w:rPr>
        <w:t>for additional information regarding the 2026 Notes.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ind w:left="0" w:right="0" w:firstLine="450"/>
        <w:rPr/>
      </w:pPr>
      <w:r>
        <w:rPr>
          <w:rFonts w:ascii="Times New Roman;sans-serif" w:hAnsi="Times New Roman;sans-serif"/>
          <w:b w:val="false"/>
          <w:color w:val="000000"/>
          <w:sz w:val="20"/>
        </w:rPr>
        <w:t>Interest expense consists primarily of interest paid or payable and the amortization of debt discounts and debt issuance costs. Interest expense varies period over period, primarily due to fluctuations in our inventory volumes and changes in the Benchmark Rates, which impact the interest incurred on our senior revolving credit facilities (see “— </w:t>
      </w:r>
      <w:r>
        <w:rPr>
          <w:rFonts w:ascii="Times New Roman;sans-serif" w:hAnsi="Times New Roman;sans-serif"/>
          <w:b w:val="false"/>
          <w:i/>
          <w:color w:val="000000"/>
          <w:sz w:val="20"/>
        </w:rPr>
        <w:t>Liquidity and Capital Resources — Debt and Financing Arrangements</w:t>
      </w:r>
      <w:r>
        <w:rPr>
          <w:color w:val="000000"/>
        </w:rPr>
        <w:t>”</w:t>
      </w:r>
      <w:r>
        <w:rPr>
          <w:rFonts w:ascii="Times New Roman;sans-serif" w:hAnsi="Times New Roman;sans-serif"/>
          <w:b w:val="false"/>
          <w:color w:val="000000"/>
          <w:sz w:val="20"/>
        </w:rPr>
        <w: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(Loss) — Net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income (loss) -net consists primarily of changes in fair value of, and dividend income from, our investment in equity securities as well as interest income on our Cash and Restricted cash balances and from our investment in money market funds, time deposits, and debt securities.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4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w:t>
      </w:r>
    </w:p>
    <w:tbl>
      <w:tblPr>
        <w:tblW w:w="7426" w:type="dxa"/>
        <w:jc w:val="left"/>
        <w:tblInd w:w="0" w:type="dxa"/>
        <w:tblCellMar>
          <w:top w:w="28" w:type="dxa"/>
          <w:left w:w="28" w:type="dxa"/>
          <w:bottom w:w="28" w:type="dxa"/>
          <w:right w:w="28" w:type="dxa"/>
        </w:tblCellMar>
      </w:tblPr>
      <w:tblGrid>
        <w:gridCol w:w="1059"/>
        <w:gridCol w:w="931"/>
        <w:gridCol w:w="934"/>
        <w:gridCol w:w="211"/>
        <w:gridCol w:w="616"/>
        <w:gridCol w:w="109"/>
        <w:gridCol w:w="109"/>
        <w:gridCol w:w="109"/>
        <w:gridCol w:w="109"/>
        <w:gridCol w:w="211"/>
        <w:gridCol w:w="616"/>
        <w:gridCol w:w="109"/>
        <w:gridCol w:w="109"/>
        <w:gridCol w:w="109"/>
        <w:gridCol w:w="109"/>
        <w:gridCol w:w="211"/>
        <w:gridCol w:w="691"/>
        <w:gridCol w:w="109"/>
        <w:gridCol w:w="109"/>
        <w:gridCol w:w="290"/>
        <w:gridCol w:w="250"/>
        <w:gridCol w:w="316"/>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4"/>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856" w:type="dxa"/>
            <w:gridSpan w:val="3"/>
            <w:tcBorders/>
            <w:shd w:fill="auto" w:val="clear"/>
          </w:tcPr>
          <w:p>
            <w:pPr>
              <w:pStyle w:val="TableContents"/>
              <w:spacing w:before="0" w:after="283"/>
              <w:rPr>
                <w:sz w:val="4"/>
                <w:szCs w:val="4"/>
              </w:rPr>
            </w:pPr>
            <w:r>
              <w:rPr>
                <w:sz w:val="4"/>
                <w:szCs w:val="4"/>
              </w:rPr>
            </w:r>
          </w:p>
        </w:tc>
      </w:tr>
      <w:tr>
        <w:trPr/>
        <w:tc>
          <w:tcPr>
            <w:tcW w:w="2924" w:type="dxa"/>
            <w:gridSpan w:val="3"/>
            <w:tcBorders>
              <w:top w:val="single" w:sz="2"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CCEEFF"/>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CCEEFF"/>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bl>
      <w:tblPr>
        <w:tblW w:w="245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Revenue decreased by $2.0 billion, or 39%, for the three months ended March 31, 2023 compared to the three months ended March 31, 2022. The decrease in revenue was primarily attributable to lower sales volumes as well as lower revenue per home in the first quarter of 2023. We sold 8,274 homes during the three months ended March 31, 2023, compared to 12,669 homes during the three months ended March 31, 2022, representing a decrease of 35%. Revenue per home sold decreased 7% between the same periods. The decrease in sales volumes and revenue per home is largely due to the series of Federal Funds Rate increases implemented by the U.S. Federal Reserve Board starting in March 2022 in reaction to persistent inflationary pressures. These rate increases resulted in a decline in housing affordability, which drove a sharp pullback in home buyer demand and precipitated a rapid slowdown in both transaction velocity and home price appreciation (“HPA”) in the second half of 2022 and continuing into early 2023.</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Gross Profit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$1.7 billion, or 36%, for the three months ended March 31, 2023 compared to the three months ended March 31, 2022. The decrease in cost of revenue was primarily attributable to lower sales volumes and a 2% decrease in cost of revenue per home due to the rapid slowdown in transaction velocity and HPA discussed above. </w:t>
      </w:r>
    </w:p>
    <w:p>
      <w:pPr>
        <w:pStyle w:val="TextBody"/>
        <w:spacing w:lineRule="auto" w:line="288" w:before="240" w:after="283"/>
        <w:ind w:left="0" w:right="0" w:firstLine="450"/>
        <w:rPr/>
      </w:pPr>
      <w:r>
        <w:rPr>
          <w:rFonts w:ascii="Times New Roman;sans-serif" w:hAnsi="Times New Roman;sans-serif"/>
          <w:b w:val="false"/>
          <w:color w:val="000000"/>
          <w:sz w:val="20"/>
        </w:rPr>
        <w:t>Gross profit decreased from $535 million to $170 million and gross margin decreased from 10.4% to 5.4% for the three months ended March 31, 2022 and March 31, 2023, respectively. For the same periods, Adjusted Gross Margin decreased from 9.9% to (3.3)%. The decrease in gross margin reflects the fast downturn in the housing market due to macroeconomic conditions, resulting in market conditions at the time of sale to be weaker than we believed they would be at the time of pricing our inventory acquisitions. In addition, we have prioritized risk management and resale clearance at the expense of resale margin performance in order to clear homes acquired prior to the shift in market conditions. Adjusted gross margin for the three months ended March 31, 2023 is further impacted by $295 million of inventory valuation adjustments recorded in prior periods on the homes sold in the current period in order to reduce the carrying value of these homes to their net realizable value. Contribution Margin decreased from 6.4% to (7.7)%, due to the reasons noted above as well as increased holding costs due to longer average inventory holding periods. See “— </w:t>
      </w:r>
      <w:r>
        <w:rPr>
          <w:rFonts w:ascii="Times New Roman;sans-serif" w:hAnsi="Times New Roman;sans-serif"/>
          <w:b w:val="false"/>
          <w:i/>
          <w:color w:val="000000"/>
          <w:sz w:val="20"/>
        </w:rPr>
        <w:t>Non-GAAP Financial Measures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lineRule="auto" w:line="288" w:before="240" w:after="283"/>
        <w:ind w:left="0" w:right="0" w:firstLine="450"/>
        <w:rPr/>
      </w:pPr>
      <w:r>
        <w:rPr>
          <w:rFonts w:ascii="Times New Roman;sans-serif" w:hAnsi="Times New Roman;sans-serif"/>
          <w:b w:val="false"/>
          <w:i/>
          <w:color w:val="000000"/>
          <w:sz w:val="20"/>
        </w:rPr>
        <w:t>Sales, Marketing and Operations</w:t>
      </w:r>
      <w:r>
        <w:rPr>
          <w:rFonts w:ascii="Times New Roman;sans-serif" w:hAnsi="Times New Roman;sans-serif"/>
          <w:b w:val="false"/>
          <w:color w:val="000000"/>
          <w:sz w:val="20"/>
        </w:rPr>
        <w:t xml:space="preserve">. Sales, marketing and operations decreased by $88 million, or 32%, for the three months ended March 31, 2023 compared to the three months ended March 31, 2022. The decrease was primarily attributable to a $51 million decrease in resale transaction costs and broker commissions, consistent with the 39% decrease in revenue. Property holding costs decreased by $11 million, consistent with decreased inventory levels compared to the three months ended March 31, 2022 . Advertising expense decreased $22 million, from $49 million for the three months ended March 31, 2022 to $27 million for the three months ended March 31, 2023 as we decreased marketing in both existing and new markets. </w:t>
      </w:r>
    </w:p>
    <w:p>
      <w:pPr>
        <w:pStyle w:val="TextBody"/>
        <w:spacing w:lineRule="auto" w:line="288" w:before="240" w:after="283"/>
        <w:ind w:left="0" w:right="0" w:firstLine="450"/>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decreased by $35 million, or 35%, for the three months ended March 31, 2023 compared to the three months ended March 31, 2022. The decrease was mainly attributable to a $24 million reduction in stock-based compensation, which was primarily related to the forfeiture of certain executive performance awards. In addition, the Company recorded a $3 million legal contingency accrual during the three months ended March 31, 2022 for the Federal Trade Commission matter which was settled in October 2022, as previously disclosed in our Annual Report. No additional legal expenses were incurred on this matter during the three months ended March 31, 2023.</w:t>
      </w:r>
    </w:p>
    <w:p>
      <w:pPr>
        <w:pStyle w:val="TextBody"/>
        <w:spacing w:lineRule="auto" w:line="288" w:before="240" w:after="283"/>
        <w:ind w:left="0" w:right="0" w:firstLine="450"/>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xml:space="preserve">. Technology and development changed by a nominal amount for the three months ended March 31, 2023 compared to the three months ended March 31, 2022.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Gain on Extinguishment of Debt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increased by $78 million, for the three months ended March 31, 2023 compared to the three months ended March 31, 2022. The gain on extinguishment of debt resulted from the Company’s partial repurchase of its 2026 Notes at a discount net of unamortized deferred costs associated with the 2026 Notes, partially offset by expenses related to partial debt extinguishments during the three months ended March 31, 2023.</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$6 million, or 9%, for the three months ended March 31, 2023 compared to the three months ended March 31, 2022. The increase was primarily attributable to increases in the floating Benchmark Rates on our asset-backed senior revolving credit facilities, which precipitated the increased utilization of asset-backed senior term debt facilities, which have a slightly higher weighted average interest rate than our revolving facilities offered during the three months ended March 31, 2022. In addition, unused fees increased by $3 million due to lower inventory volumes and less utilization of our credit facilities.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Income (Loss) — Net</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income (loss) – net increased to $19 million from $(22) million for the three months ended March 31, 2023 compared to the three months ended March 31, 2022. The increase is primarily related to a $23 million unrealized fair value adjustment recorded on marketable equity securities offset by a $17 million increase in interest income during the three months ended March 31, 2023.</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Income tax expense changed by a nominal amount for the three months ended March 31, 2023 compared to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have historically consisted of cash generated from our operations and from financing activities. As of March 31, 2023, we had cash and cash equivalents of $1.1 billion, restricted cash of $1.5 billion, and marketable securities of $108 million. The decline in our cash, cash equivalents and marketable securities balance of $30 million as compared to December 31, 2022 resulted from a combination of operating losses and borrowing less from our asset-backed senior revolving credit facilities relative to our real estate inventory as part of deleveraging of our inventory. The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increase in our restricted cash balance of $861 million as compared to December 31, 2022 was a result of the proactive reduction of our acquisition pace via higher spreads embedded in our offers and lower marketing investment, resulting in greater restricted cash available for the future acquisition of real estate inventory.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had total outstanding balances on our asset-backed debt of $3.2 billion and aggregate principal outstanding from convertible senior notes of $789 million. In addition, we had undrawn borrowing capacity of $7.5 billion under our non-recourse asset-backed debt facilities (as described further below), of which $1.9 billion was committed.</w:t>
      </w:r>
    </w:p>
    <w:p>
      <w:pPr>
        <w:pStyle w:val="TextBody"/>
        <w:spacing w:lineRule="auto" w:line="288" w:before="240" w:after="283"/>
        <w:ind w:left="0" w:right="0" w:firstLine="450"/>
        <w:rPr/>
      </w:pPr>
      <w:r>
        <w:rPr>
          <w:rFonts w:ascii="Times New Roman;sans-serif" w:hAnsi="Times New Roman;sans-serif"/>
          <w:b w:val="false"/>
          <w:color w:val="000000"/>
          <w:sz w:val="20"/>
        </w:rPr>
        <w:t>In March 2023, we repurchased approximately $189 million in aggregate principal amount of our 2026 Notes as further described in “</w:t>
      </w:r>
      <w:r>
        <w:rPr>
          <w:rFonts w:ascii="Times New Roman;sans-serif" w:hAnsi="Times New Roman;sans-serif"/>
          <w:b w:val="false"/>
          <w:i/>
          <w:color w:val="000000"/>
          <w:sz w:val="20"/>
        </w:rPr>
        <w:t>Part I – Item 1. Financial Statements – Notes to Condensed Consolidated Financial Statements – Note 5. Credit Facilities and Long-Term Debt – Convertible Senior Notes</w:t>
      </w:r>
      <w:r>
        <w:rPr>
          <w:color w:val="000000"/>
        </w:rPr>
        <w:t xml:space="preserve">” </w:t>
      </w:r>
      <w:r>
        <w:rPr>
          <w:rFonts w:ascii="Times New Roman;sans-serif" w:hAnsi="Times New Roman;sans-serif"/>
          <w:b w:val="false"/>
          <w:color w:val="000000"/>
          <w:sz w:val="20"/>
        </w:rPr>
        <w:t>in this Quarterly Report on Form 10-Q. As market conditions warrant, we may, from time to time, repurchase additional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incurred losses from inception, with the exception of net income during the three months ended March 31, 2022 and we expect to incur additional losses in the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may increase should our inventory balance increase over the remainder of the year. We believe our cash, cash equivalents, and marketable securities together with cash we expect to generate from future operations and borrowings, will be sufficient to meet our working capital and capital expenditure requirements for a period of at least 12 months from the date of this Quarterly Report on Form 10-Q.</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Debt and Financing Arrangements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include: short-term borrowings under our asset-backed senior revolving credit facilities and, prior to the discontinuation of our mortgage origination business,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March 31, 2023, the Company was in compliance with all financial covenants.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asset-backed senior debt facilities generally provide for advance rates of 70% to 90% against our cost basis in the underlying properties upon acquisition. Our mezzanine term facilities may finance up to 95% to 100% of our cost basis in the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times, we may be required to keep amounts in restricted cash accounts to collateralize our asset-backed term debt facilities if the property borrowing base is insufficient to satisfy the borrowing base requirements. These amounts may fluctuate due to seasonality, timing of property acquisitions and resales, and the outstanding loan balances under our asset-backed term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details related to our non-recourse asset-backed debt and other secured borrowings as of March 31, 2023 (in millions, except interest rates):</w:t>
      </w:r>
    </w:p>
    <w:tbl>
      <w:tblPr>
        <w:tblW w:w="10205" w:type="dxa"/>
        <w:jc w:val="left"/>
        <w:tblInd w:w="0" w:type="dxa"/>
        <w:tblCellMar>
          <w:top w:w="28" w:type="dxa"/>
          <w:left w:w="28" w:type="dxa"/>
          <w:bottom w:w="28" w:type="dxa"/>
          <w:right w:w="28" w:type="dxa"/>
        </w:tblCellMar>
      </w:tblPr>
      <w:tblGrid>
        <w:gridCol w:w="690"/>
        <w:gridCol w:w="608"/>
        <w:gridCol w:w="499"/>
        <w:gridCol w:w="109"/>
        <w:gridCol w:w="109"/>
        <w:gridCol w:w="109"/>
        <w:gridCol w:w="196"/>
        <w:gridCol w:w="646"/>
        <w:gridCol w:w="109"/>
        <w:gridCol w:w="109"/>
        <w:gridCol w:w="109"/>
        <w:gridCol w:w="109"/>
        <w:gridCol w:w="196"/>
        <w:gridCol w:w="421"/>
        <w:gridCol w:w="109"/>
        <w:gridCol w:w="109"/>
        <w:gridCol w:w="109"/>
        <w:gridCol w:w="109"/>
        <w:gridCol w:w="239"/>
        <w:gridCol w:w="678"/>
        <w:gridCol w:w="134"/>
        <w:gridCol w:w="109"/>
        <w:gridCol w:w="109"/>
        <w:gridCol w:w="109"/>
        <w:gridCol w:w="297"/>
        <w:gridCol w:w="259"/>
        <w:gridCol w:w="457"/>
        <w:gridCol w:w="109"/>
        <w:gridCol w:w="109"/>
        <w:gridCol w:w="109"/>
        <w:gridCol w:w="537"/>
        <w:gridCol w:w="537"/>
        <w:gridCol w:w="539"/>
        <w:gridCol w:w="109"/>
        <w:gridCol w:w="109"/>
        <w:gridCol w:w="109"/>
        <w:gridCol w:w="354"/>
        <w:gridCol w:w="302"/>
        <w:gridCol w:w="436"/>
      </w:tblGrid>
      <w:tr>
        <w:trPr/>
        <w:tc>
          <w:tcPr>
            <w:tcW w:w="69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Borrowing</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End of Revolving / Withdrawal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Final Maturity</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7,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7, 2024</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2024</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5,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4, 2025</w:t>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2022-1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31, 2023</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2025</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2027</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March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 2025</w:t>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2026</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2026</w:t>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Revolving Credit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March 31, 2023, we had committed borrowing capacity with respect to asset-backed senior revolving credit facilities of $2.0 billion.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Term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classify our senior term debt facilities as non-current liabilities in our condensed consolidated balance sheets. The carrying value of the non-current liabilities is reduced by issuance costs of $16 million. In some cases, the borrowing capacity amounts under the asset-backed senior term debt facilities as reflected in the table are not fully committed and any borrowings above the committed amounts are subject to the applicable lender’s discretion. As of March 31, 2023, we had committed borrowing capacity with respect to asset-backed senior term debt facilities of $1.9 billion.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Asset-backed Mezzanine Term Debt Facilities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March 31, 2023, we had committed borrowing capacity with respect to asset-backed mezzanine term debt facilities of $1.0 billion.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August 2021, we issued the 2026 Notes with an aggregate principal amount of $978 million. The table below summarizes certain details related to our 2026 Notes (in millions), as of March 31, 2023, which includes certain repurchases:</w:t>
      </w:r>
    </w:p>
    <w:tbl>
      <w:tblPr>
        <w:tblW w:w="9559" w:type="dxa"/>
        <w:jc w:val="left"/>
        <w:tblInd w:w="0" w:type="dxa"/>
        <w:tblCellMar>
          <w:top w:w="28" w:type="dxa"/>
          <w:left w:w="28" w:type="dxa"/>
          <w:bottom w:w="28" w:type="dxa"/>
          <w:right w:w="28" w:type="dxa"/>
        </w:tblCellMar>
      </w:tblPr>
      <w:tblGrid>
        <w:gridCol w:w="460"/>
        <w:gridCol w:w="405"/>
        <w:gridCol w:w="409"/>
        <w:gridCol w:w="109"/>
        <w:gridCol w:w="109"/>
        <w:gridCol w:w="109"/>
        <w:gridCol w:w="810"/>
        <w:gridCol w:w="1796"/>
        <w:gridCol w:w="424"/>
        <w:gridCol w:w="109"/>
        <w:gridCol w:w="109"/>
        <w:gridCol w:w="109"/>
        <w:gridCol w:w="762"/>
        <w:gridCol w:w="1360"/>
        <w:gridCol w:w="398"/>
        <w:gridCol w:w="109"/>
        <w:gridCol w:w="109"/>
        <w:gridCol w:w="109"/>
        <w:gridCol w:w="445"/>
        <w:gridCol w:w="984"/>
        <w:gridCol w:w="325"/>
      </w:tblGrid>
      <w:tr>
        <w:trPr/>
        <w:tc>
          <w:tcPr>
            <w:tcW w:w="4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Remaining 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pPr>
      <w:r>
        <w:rPr>
          <w:rFonts w:ascii="Times New Roman;sans-serif" w:hAnsi="Times New Roman;sans-serif"/>
          <w:b w:val="false"/>
          <w:color w:val="000000"/>
          <w:sz w:val="20"/>
        </w:rPr>
        <w:t>See “</w:t>
      </w:r>
      <w:r>
        <w:rPr>
          <w:rFonts w:ascii="Times New Roman;sans-serif" w:hAnsi="Times New Roman;sans-serif"/>
          <w:b w:val="false"/>
          <w:i/>
          <w:color w:val="000000"/>
          <w:sz w:val="20"/>
        </w:rPr>
        <w:t>Part I – Item 1. Financial Statements – Notes to Condensed Consolidated Financial Statements – Note 5. Credit Facilities and Long-Term Debt</w:t>
      </w:r>
      <w:r>
        <w:rPr>
          <w:color w:val="000000"/>
        </w:rPr>
        <w:t xml:space="preserve">” </w:t>
      </w:r>
      <w:r>
        <w:rPr>
          <w:rFonts w:ascii="Times New Roman;sans-serif" w:hAnsi="Times New Roman;sans-serif"/>
          <w:b w:val="false"/>
          <w:color w:val="000000"/>
          <w:sz w:val="20"/>
        </w:rPr>
        <w:t>for additional information regarding our debt and financing arrangements.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Special Purpose Entities</w:t>
      </w:r>
    </w:p>
    <w:p>
      <w:pPr>
        <w:pStyle w:val="TextBody"/>
        <w:spacing w:lineRule="auto" w:line="288" w:before="240" w:after="283"/>
        <w:ind w:left="0" w:right="0" w:firstLine="450"/>
        <w:rPr/>
      </w:pPr>
      <w:r>
        <w:rPr>
          <w:rFonts w:ascii="Times New Roman;sans-serif" w:hAnsi="Times New Roman;sans-serif"/>
          <w:b w:val="false"/>
          <w:color w:val="000000"/>
          <w:sz w:val="20"/>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Times New Roman;sans-serif" w:hAnsi="Times New Roman;sans-serif"/>
          <w:b w:val="false"/>
          <w:i/>
          <w:color w:val="000000"/>
          <w:sz w:val="20"/>
        </w:rPr>
        <w:t>Part I – Item 1. Financial Statements – Notes to Condensed Consolidated Financial Statements – Note 4. Variable Interest Entities</w:t>
      </w:r>
      <w:r>
        <w:rPr>
          <w:color w:val="000000"/>
        </w:rPr>
        <w:t xml:space="preserve">” </w:t>
      </w:r>
      <w:r>
        <w:rPr>
          <w:rFonts w:ascii="Times New Roman;sans-serif" w:hAnsi="Times New Roman;sans-serif"/>
          <w:b w:val="false"/>
          <w:color w:val="000000"/>
          <w:sz w:val="20"/>
        </w:rPr>
        <w:t>for additional information regarding our VIEs.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related to the VIEs consolidated by the Company as well as the assets, liabilities and equity related to Opendoor Technologies Inc. (Parent Company Only) (“Parent Company”) and subsidiaries that are not VIEs, as of March 31, 2023 (in millions):</w:t>
      </w:r>
    </w:p>
    <w:tbl>
      <w:tblPr>
        <w:tblW w:w="7733" w:type="dxa"/>
        <w:jc w:val="left"/>
        <w:tblInd w:w="0" w:type="dxa"/>
        <w:tblCellMar>
          <w:top w:w="28" w:type="dxa"/>
          <w:left w:w="28" w:type="dxa"/>
          <w:bottom w:w="28" w:type="dxa"/>
          <w:right w:w="28" w:type="dxa"/>
        </w:tblCellMar>
      </w:tblPr>
      <w:tblGrid>
        <w:gridCol w:w="1411"/>
        <w:gridCol w:w="1242"/>
        <w:gridCol w:w="124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11"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VIE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Non-VIE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valuation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senior revolver asset-backed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asset-backed mezzanine 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asset-backed senior 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w:t>
      </w:r>
    </w:p>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Company’s consolidated Other Assets include the following assets as shown in the Condensed Consolidated Balance Sheets: Property and Equipment - Net, $59 million; Right of Use Assets, $39 million; Goodwill, $4 million; Intangibles - Net, $11 million; and Other Assets, $27 million.</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The Company’s Other Current Liabilities include the following liabilities as shown in the Condensed Consolidated Balance Sheets: Accounts Payable and Other Accrued Liabilities, $77 million; Interest Payable, $4 million; and Lease Liabilities - Current, $7 million.</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7475" w:type="dxa"/>
        <w:jc w:val="left"/>
        <w:tblInd w:w="0" w:type="dxa"/>
        <w:tblCellMar>
          <w:top w:w="28" w:type="dxa"/>
          <w:left w:w="28" w:type="dxa"/>
          <w:bottom w:w="28" w:type="dxa"/>
          <w:right w:w="28" w:type="dxa"/>
        </w:tblCellMar>
      </w:tblPr>
      <w:tblGrid>
        <w:gridCol w:w="1723"/>
        <w:gridCol w:w="1514"/>
        <w:gridCol w:w="1517"/>
        <w:gridCol w:w="109"/>
        <w:gridCol w:w="109"/>
        <w:gridCol w:w="109"/>
        <w:gridCol w:w="211"/>
        <w:gridCol w:w="691"/>
        <w:gridCol w:w="109"/>
        <w:gridCol w:w="109"/>
        <w:gridCol w:w="109"/>
        <w:gridCol w:w="109"/>
        <w:gridCol w:w="211"/>
        <w:gridCol w:w="691"/>
        <w:gridCol w:w="154"/>
      </w:tblGrid>
      <w:tr>
        <w:trPr/>
        <w:tc>
          <w:tcPr>
            <w:tcW w:w="1723"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54" w:type="dxa"/>
            <w:gridSpan w:val="3"/>
            <w:tcBorders>
              <w:top w:val="single" w:sz="2"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$2.2 billion and $1.6 billion for the three months ended March 31, 2023 and 2022, respectively. For the three months ended March 31, 2023, cash provided by operating activities was primarily driven by the $2.3 billion decrease in real estate inventory. For the three months ended March 31, 2022, cash provided by operating activities was primarily driven by a $1.4 billion decrease in real estate inventory and net income, net of non-cash items of $145 million.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Cash Provided by (Used in) Investing Activities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 was $30 million and $(38) million for the three months ended March 31, 2023 and 2022, respectively. For the three months ended March 31, 2023, cash provided by investing activities primarily consisted of a net decrease in marketable securities of $38 million, partially offset by a $8 million increase in property and equipment. For the three months ended March 31, 2022, cash used in investing activities primarily consisted of $25 million for strategic investments in certain privately held companies and $10 million increase in property and equipment.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$1.3 billion and $1.3 billion for the three months ended March 31, 2023 and 2022, respectively. Cash used in financing activities was primarily attributable to $1.2 billion and $1.3 billion net principal payments on non-recourse asset-backed debt for the three months ended March 31, 2023 and March 31, 2022,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outside the ordinary course of business in our commitments under contractual obligations as previously disclosed in our Annual Report on Form 10-K for the year ended December 31, 2022, except for the categories of contractual obligations included in the table below, which have been updated to reflect our contractual obligations as of March 31, 2023:</w:t>
      </w:r>
    </w:p>
    <w:tbl>
      <w:tblPr>
        <w:tblW w:w="9446" w:type="dxa"/>
        <w:jc w:val="left"/>
        <w:tblInd w:w="0" w:type="dxa"/>
        <w:tblCellMar>
          <w:top w:w="28" w:type="dxa"/>
          <w:left w:w="28" w:type="dxa"/>
          <w:bottom w:w="28" w:type="dxa"/>
          <w:right w:w="28" w:type="dxa"/>
        </w:tblCellMar>
      </w:tblPr>
      <w:tblGrid>
        <w:gridCol w:w="1313"/>
        <w:gridCol w:w="1157"/>
        <w:gridCol w:w="1160"/>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50"/>
        <w:gridCol w:w="482"/>
        <w:gridCol w:w="182"/>
      </w:tblGrid>
      <w:tr>
        <w:trPr/>
        <w:tc>
          <w:tcPr>
            <w:tcW w:w="131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6"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Due by Year</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Less than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More than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Senior revolving credit facilities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Senior and mezzanine term debt facilities</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Convertible senior notes</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Purchase commitments</w:t>
            </w:r>
            <w:r>
              <w:rPr>
                <w:rFonts w:ascii="Times New Roman;sans-serif" w:hAnsi="Times New Roman;sans-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w:t>
      </w:r>
    </w:p>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the principal amounts outstanding as of March 31, 2023.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March 31, 2023.</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spacing w:lineRule="auto" w:line="288" w:before="12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principal amounts outstanding as of March 31, 2023 and interest payments assuming the principal balances remain outstanding until maturity. The final maturity dates of the senior and mezzanine term debt facilities vary, as discussed above.</w:t>
      </w:r>
    </w:p>
    <w:p>
      <w:pPr>
        <w:pStyle w:val="TextBody"/>
        <w:spacing w:lineRule="auto" w:line="288" w:before="12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principal amounts outstanding as of March 31, 2023 and interest payments assuming the principal balances remain outstanding until maturity.</w:t>
      </w:r>
    </w:p>
    <w:p>
      <w:pPr>
        <w:pStyle w:val="TextBody"/>
        <w:spacing w:lineRule="auto" w:line="288" w:before="12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As of March 31, 2023, we were under contract to purchase 1,137 homes for an aggregate purchase price of $346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pStyle w:val="TextBody"/>
        <w:spacing w:lineRule="auto" w:line="288" w:before="240" w:after="283"/>
        <w:ind w:left="0" w:right="0" w:firstLine="450"/>
        <w:rPr/>
      </w:pPr>
      <w:r>
        <w:rPr>
          <w:rFonts w:ascii="Times New Roman;sans-serif" w:hAnsi="Times New Roman;sans-serif"/>
          <w:b w:val="false"/>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Times New Roman;sans-serif" w:hAnsi="Times New Roman;sans-serif"/>
          <w:b w:val="false"/>
          <w:i/>
          <w:color w:val="000000"/>
          <w:sz w:val="20"/>
        </w:rPr>
        <w:t>Part II – Item 7. Management's Discussion and Analysis of Financial Condition and Results of Operations – Critical Accounting Policies and Estimates</w:t>
      </w:r>
      <w:r>
        <w:rPr>
          <w:color w:val="000000"/>
        </w:rPr>
        <w:t xml:space="preserve">” </w:t>
      </w:r>
      <w:r>
        <w:rPr>
          <w:rFonts w:ascii="Times New Roman;sans-serif" w:hAnsi="Times New Roman;sans-serif"/>
          <w:b w:val="false"/>
          <w:color w:val="000000"/>
          <w:sz w:val="20"/>
        </w:rPr>
        <w:t>in the Annual Report on Form 10-K for the year ended December 31, 2022. There have been no significant changes to these critical accounting estimates during the first three months of 2023. In addition, we have other key accounting policies and estimates that are described in “</w:t>
      </w:r>
      <w:r>
        <w:rPr>
          <w:rFonts w:ascii="Times New Roman;sans-serif" w:hAnsi="Times New Roman;sans-serif"/>
          <w:b w:val="false"/>
          <w:i/>
          <w:color w:val="000000"/>
          <w:sz w:val="20"/>
        </w:rPr>
        <w:t>Part I – Item 1. Financial Statements – Notes to Condensed Consolidated Financial Statements – Note 1. Description of Business and Accounting Policies</w:t>
      </w:r>
      <w:r>
        <w:rPr>
          <w:color w:val="000000"/>
        </w:rPr>
        <w:t xml:space="preserve">” </w:t>
      </w:r>
      <w:r>
        <w:rPr>
          <w:rFonts w:ascii="Times New Roman;sans-serif" w:hAnsi="Times New Roman;sans-serif"/>
          <w:b w:val="false"/>
          <w:color w:val="000000"/>
          <w:sz w:val="20"/>
        </w:rPr>
        <w:t>in this Quarterly Report on Form 10-Q.</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450"/>
        <w:rPr/>
      </w:pPr>
      <w:r>
        <w:rPr>
          <w:rFonts w:ascii="Times New Roman;sans-serif" w:hAnsi="Times New Roman;sans-serif"/>
          <w:b w:val="false"/>
          <w:color w:val="000000"/>
          <w:sz w:val="20"/>
        </w:rPr>
        <w:t>For information on recent accounting standards, see “</w:t>
      </w:r>
      <w:r>
        <w:rPr>
          <w:rFonts w:ascii="Times New Roman;sans-serif" w:hAnsi="Times New Roman;sans-serif"/>
          <w:b w:val="false"/>
          <w:i/>
          <w:color w:val="000000"/>
          <w:sz w:val="20"/>
        </w:rPr>
        <w:t>Part I – Item 1. Financial Statements – Notes to Condensed Consolidated Financial Statements – Note 1. Description of Business and Accounting Policies”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before="0" w:after="0"/>
        <w:ind w:left="0" w:right="0" w:firstLine="72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consist of fluctuations in interest rates and exposures to inflationary pressures.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by way of changes in interest rates on borrowings under our inventory financing facilities. The Company had total outstanding balances on our asset-backed debt and other secured borrowings of $3.2 billion, 89% of which was fixed rate with an average duration of 3.1 years and the remaining 11% was based on a floating rate. Total interest expense for the first three months ended March 31, 2023 was $60 million, of which $44 million was fixed and $16 million was floating. As of March 31, 2023 and December 31, 2022 we had outstanding borrowings of $355 million and $1.4 billion, respectively, which bear interest at floating benchmark reference rates (“Benchmark Rates”), based on a London Interbank Offered Rate (“LIBOR”) or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Assuming no change in the outstanding borrowings on our credit facilities, we estimate that a one percentage point increase in the applicable Benchmark Rates would increase our annual interest expense by approximately $4 million and $14 million as of March 31, 2023 and December 31, 2022, respectively.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the inflation experienced in 2022 has impacted the cost of goods and services that we consume, such as labor and materials costs for home repairs. We endeavor to offset these impacts in our business through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40" w:after="283"/>
        <w:ind w:left="0" w:right="0" w:firstLine="450"/>
        <w:rPr/>
      </w:pPr>
      <w:r>
        <w:rPr>
          <w:rFonts w:ascii="Times New Roman;sans-serif" w:hAnsi="Times New Roman;sans-serif"/>
          <w:b w:val="false"/>
          <w:color w:val="000000"/>
          <w:sz w:val="20"/>
        </w:rPr>
        <w:t>Our management, with the participation of our Chief Executive Officer and Interim Chief Financial Officer, evaluated the effectiveness of our disclosure controls and procedures (as defined in Rules 13a-15(e) and 15d-15(e) under the Exchange Act, as of the end of the period covered by this Quarterly Report on Form 10-Q. Based on the evaluation,</w:t>
      </w:r>
      <w:r>
        <w:rPr>
          <w:color w:val="000000"/>
        </w:rPr>
        <w:t xml:space="preserve"> </w:t>
      </w:r>
      <w:r>
        <w:rPr>
          <w:rFonts w:ascii="Times New Roman;sans-serif" w:hAnsi="Times New Roman;sans-serif"/>
          <w:b w:val="false"/>
          <w:color w:val="000000"/>
          <w:sz w:val="20"/>
        </w:rPr>
        <w:t>our Chief Executive Officer and Interim Chief Financial Officer concluded that the Company's disclosure controls and procedures are effective at the reasonable assurance level as of March 31,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Rules 13a-15(d) and 15d-15(d) of the Exchange Act that occurred during the quarter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before="0" w:after="0"/>
        <w:ind w:left="0" w:right="0" w:firstLine="720"/>
        <w:jc w:val="center"/>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October 7, 2022 and November 22, 2022, purported securities class action lawsuits were filed in the United States District Court for the District of Arizona, captioned Alich v. Opendoor Technologies Inc., et al. (Case No. 2:22-cv-01717-JFM) (“Alich”) and Oakland County Voluntary Employee’s Beneficiary Association, et al. v. Opendoor Technologies Inc., et al. (Case No. 2:22-cv-01987-GMS) (“Oakland County”), respectively. The lawsuits were consolidated into a single action, captioned In re Opendoor Technologies Inc. Securities Litigation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offerings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We believe that the allegations in the complaints are without merit and we intend to vigorously defend ourselves in the matter.</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1, 2023 and March 15, 2023, shareholder derivative lawsuits were filed in the United States District Court for the District of Arizona, captioned Carlson v. Rice, et al. (Case No. 2:23-cv-00367-GMS) and Van Dorn v. Wu, et al. (Case No. 2:23-cv-00455-DMF), respectively. The lawsuits were consolidated into a single action, captioned Carlson v. Rice (Case No. 2:23-CV-00367-GMS). The complaints are based on the same facts and circumstances as In re Opendoor Technologies Inc. Securities Litigation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course of conducting our business operations, we are exposed to a variety of risks. You should carefully consider the risks described below, the risks described in “Part I – Item 1A. Risk Factors,” in our Annual Report on Form 10-K, as well as the other information in this Quarterly Report on Form 10-Q, including our financial statements and related notes and “Item 2. Management’s Discussion and Analysis of Financial Condition and Result of Operations,” before deciding whether to invest in our common stock. Any of the risk factors we described in “Part I – Item 1A. Risk Factors,” in our Annual Report or in subsequent periodic reports,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risk factors since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before="0" w:after="0"/>
        <w:ind w:left="0" w:right="0" w:firstLine="720"/>
        <w:jc w:val="center"/>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446"/>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14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Quarterly Report on Form 10-Q.</w:t>
      </w:r>
    </w:p>
    <w:tbl>
      <w:tblPr>
        <w:tblW w:w="10205" w:type="dxa"/>
        <w:jc w:val="left"/>
        <w:tblInd w:w="0" w:type="dxa"/>
        <w:tblCellMar>
          <w:top w:w="28" w:type="dxa"/>
          <w:left w:w="28" w:type="dxa"/>
          <w:bottom w:w="28" w:type="dxa"/>
          <w:right w:w="28" w:type="dxa"/>
        </w:tblCellMar>
      </w:tblPr>
      <w:tblGrid>
        <w:gridCol w:w="256"/>
        <w:gridCol w:w="225"/>
        <w:gridCol w:w="227"/>
        <w:gridCol w:w="109"/>
        <w:gridCol w:w="109"/>
        <w:gridCol w:w="109"/>
        <w:gridCol w:w="109"/>
        <w:gridCol w:w="109"/>
        <w:gridCol w:w="109"/>
        <w:gridCol w:w="1737"/>
        <w:gridCol w:w="1737"/>
        <w:gridCol w:w="1749"/>
        <w:gridCol w:w="175"/>
        <w:gridCol w:w="175"/>
        <w:gridCol w:w="176"/>
        <w:gridCol w:w="340"/>
        <w:gridCol w:w="264"/>
        <w:gridCol w:w="236"/>
        <w:gridCol w:w="210"/>
        <w:gridCol w:w="210"/>
        <w:gridCol w:w="211"/>
        <w:gridCol w:w="225"/>
        <w:gridCol w:w="225"/>
        <w:gridCol w:w="226"/>
        <w:gridCol w:w="275"/>
        <w:gridCol w:w="275"/>
        <w:gridCol w:w="397"/>
      </w:tblGrid>
      <w:tr>
        <w:trPr/>
        <w:tc>
          <w:tcPr>
            <w:tcW w:w="2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33" w:after="30"/>
              <w:jc w:val="left"/>
              <w:rPr/>
            </w:pPr>
            <w:hyperlink r:id="rId2">
              <w:r>
                <w:rPr>
                  <w:rStyle w:val="InternetLink"/>
                  <w:rFonts w:ascii="Times New Roman;sans-serif" w:hAnsi="Times New Roman;sans-serif"/>
                  <w:b w:val="false"/>
                  <w:color w:val="0000FF"/>
                  <w:sz w:val="20"/>
                  <w:u w:val="single"/>
                </w:rPr>
                <w:t xml:space="preserve">Agreement and Plan of Merger, dated as of September 15, 2020, by and among Social Capital Hedosophia Corp. II, Hestia Merger Sub Inc. and Opendoor Labs Inc. </w:t>
              </w:r>
            </w:hyperlink>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09/17/2020</w:t>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hyperlink r:id="rId3">
              <w:r>
                <w:rPr>
                  <w:rStyle w:val="InternetLink"/>
                  <w:rFonts w:ascii="Times New Roman;sans-serif" w:hAnsi="Times New Roman;sans-serif"/>
                  <w:b w:val="false"/>
                  <w:color w:val="0000FF"/>
                  <w:sz w:val="20"/>
                  <w:u w:val="single"/>
                </w:rPr>
                <w:t xml:space="preserve">Certificate of Incorporation of Opendoor Technologies Inc. </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12/18/2020</w:t>
            </w:r>
          </w:p>
        </w:tc>
        <w:tc>
          <w:tcPr>
            <w:tcW w:w="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hyperlink r:id="rId4">
              <w:r>
                <w:rPr>
                  <w:rStyle w:val="InternetLink"/>
                  <w:rFonts w:ascii="Times New Roman;sans-serif" w:hAnsi="Times New Roman;sans-serif"/>
                  <w:b w:val="false"/>
                  <w:color w:val="0000FF"/>
                  <w:sz w:val="20"/>
                  <w:u w:val="single"/>
                </w:rPr>
                <w:t xml:space="preserve">Amended and Restated Bylaws of Opendoor Technologies Inc. </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01/24/2023</w:t>
            </w:r>
          </w:p>
        </w:tc>
        <w:tc>
          <w:tcPr>
            <w:tcW w:w="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hyperlink r:id="rId5">
              <w:r>
                <w:rPr>
                  <w:rStyle w:val="InternetLink"/>
                  <w:rFonts w:ascii="Times New Roman;sans-serif" w:hAnsi="Times New Roman;sans-serif"/>
                  <w:b w:val="false"/>
                  <w:color w:val="0000FF"/>
                  <w:sz w:val="20"/>
                  <w:u w:val="single"/>
                </w:rPr>
                <w:t>Specimen Common Stock Certificate of Opendoor Technologies Inc.</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333-249302</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11/06/2020</w:t>
            </w:r>
          </w:p>
        </w:tc>
        <w:tc>
          <w:tcPr>
            <w:tcW w:w="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20"/>
                  <w:u w:val="single"/>
                </w:rPr>
                <w:t>Warrant Agreement, dated July 28, 2022, between Opendoor Technologies Inc. and Zillow, Inc.</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08/05/2022</w:t>
            </w:r>
          </w:p>
        </w:tc>
        <w:tc>
          <w:tcPr>
            <w:tcW w:w="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101offerletteragreementda.htm">
              <w:r>
                <w:rPr>
                  <w:rStyle w:val="InternetLink"/>
                  <w:rFonts w:ascii="Times New Roman;sans-serif" w:hAnsi="Times New Roman;sans-serif"/>
                  <w:b w:val="false"/>
                  <w:color w:val="0000FF"/>
                  <w:sz w:val="20"/>
                  <w:u w:val="single"/>
                </w:rPr>
                <w:t>Offer Letter Agreement dated as of July 6, 2016, by and between Opendoor Labs Inc. and Christina Schwartz</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102offerletteragreementda.htm">
              <w:r>
                <w:rPr>
                  <w:rStyle w:val="InternetLink"/>
                  <w:rFonts w:ascii="Times New Roman;sans-serif" w:hAnsi="Times New Roman;sans-serif"/>
                  <w:b w:val="false"/>
                  <w:color w:val="0000FF"/>
                  <w:sz w:val="20"/>
                  <w:u w:val="single"/>
                </w:rPr>
                <w:t>Offer Letter Agreement dated as of July 10, 2022, by and between Opendoor Labs Inc. and Sydney Schaub</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q12023exhibit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q12023exhibit312.htm">
              <w:r>
                <w:rPr>
                  <w:rStyle w:val="InternetLink"/>
                </w:rPr>
                <w:t xml:space="preserve">Certification of </w:t>
              </w:r>
            </w:hyperlink>
            <w:hyperlink w:anchor="q12023exhibit312.htm">
              <w:r>
                <w:rPr>
                  <w:rStyle w:val="InternetLink"/>
                </w:rPr>
                <w:t xml:space="preserve">Interim </w:t>
              </w:r>
            </w:hyperlink>
            <w:hyperlink w:anchor="q12023exhibit312.htm">
              <w:r>
                <w:rPr>
                  <w:rStyle w:val="InternetLink"/>
                </w:rPr>
                <w:t xml:space="preserve">Chief </w:t>
              </w:r>
            </w:hyperlink>
            <w:hyperlink w:anchor="q12023exhibit312.htm">
              <w:r>
                <w:rPr>
                  <w:rStyle w:val="InternetLink"/>
                </w:rPr>
                <w:t>Financial Officer Pursuant to Section 302 of the Sarbanes-Oxley Act of 2002</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q12023exhibit321.htm">
              <w:r>
                <w:rPr>
                  <w:rStyle w:val="InternetLink"/>
                </w:rPr>
                <w:t xml:space="preserve">Certification of Chief Executive Officer and </w:t>
              </w:r>
            </w:hyperlink>
            <w:hyperlink w:anchor="q12023exhibit321.htm">
              <w:r>
                <w:rPr>
                  <w:rStyle w:val="InternetLink"/>
                </w:rPr>
                <w:t>Interim</w:t>
              </w:r>
            </w:hyperlink>
            <w:hyperlink w:anchor="q12023exhibit321.htm">
              <w:r>
                <w:rPr>
                  <w:rStyle w:val="InternetLink"/>
                </w:rPr>
                <w:t xml:space="preserve"> </w:t>
              </w:r>
            </w:hyperlink>
            <w:hyperlink w:anchor="q12023exhibit321.htm">
              <w:r>
                <w:rPr>
                  <w:rStyle w:val="InternetLink"/>
                </w:rPr>
                <w:t xml:space="preserve">Chief </w:t>
              </w:r>
            </w:hyperlink>
            <w:hyperlink w:anchor="q12023exhibit321.htm">
              <w:r>
                <w:rPr>
                  <w:rStyle w:val="InternetLink"/>
                </w:rPr>
                <w:t>Financial Officer Pursuant to Section 906 of the Sarbanes-Oxley Act of 2002</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333" w:before="0" w:after="0"/>
        <w:rPr/>
      </w:pPr>
      <w:hyperlink w:anchor="i1f7e89f2c4b8424a8500ac1f3fab4313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before="0" w:after="0"/>
        <w:ind w:left="0" w:right="0" w:firstLine="720"/>
        <w:jc w:val="center"/>
        <w:rPr/>
      </w:pPr>
      <w:r>
        <w:rPr/>
      </w:r>
    </w:p>
    <w:tbl>
      <w:tblPr>
        <w:tblW w:w="10205" w:type="dxa"/>
        <w:jc w:val="left"/>
        <w:tblInd w:w="0" w:type="dxa"/>
        <w:tblCellMar>
          <w:top w:w="28" w:type="dxa"/>
          <w:left w:w="28" w:type="dxa"/>
          <w:bottom w:w="28" w:type="dxa"/>
          <w:right w:w="28" w:type="dxa"/>
        </w:tblCellMar>
      </w:tblPr>
      <w:tblGrid>
        <w:gridCol w:w="292"/>
        <w:gridCol w:w="257"/>
        <w:gridCol w:w="259"/>
        <w:gridCol w:w="109"/>
        <w:gridCol w:w="109"/>
        <w:gridCol w:w="109"/>
        <w:gridCol w:w="109"/>
        <w:gridCol w:w="109"/>
        <w:gridCol w:w="109"/>
        <w:gridCol w:w="2352"/>
        <w:gridCol w:w="2352"/>
        <w:gridCol w:w="2357"/>
        <w:gridCol w:w="109"/>
        <w:gridCol w:w="109"/>
        <w:gridCol w:w="109"/>
        <w:gridCol w:w="109"/>
        <w:gridCol w:w="109"/>
        <w:gridCol w:w="109"/>
        <w:gridCol w:w="109"/>
        <w:gridCol w:w="109"/>
        <w:gridCol w:w="109"/>
        <w:gridCol w:w="109"/>
        <w:gridCol w:w="109"/>
        <w:gridCol w:w="109"/>
        <w:gridCol w:w="109"/>
        <w:gridCol w:w="109"/>
        <w:gridCol w:w="156"/>
      </w:tblGrid>
      <w:tr>
        <w:trPr/>
        <w:tc>
          <w:tcPr>
            <w:tcW w:w="2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2" w:type="dxa"/>
            <w:tcBorders/>
            <w:shd w:fill="auto" w:val="clear"/>
            <w:vAlign w:val="center"/>
          </w:tcPr>
          <w:p>
            <w:pPr>
              <w:pStyle w:val="TableContents"/>
              <w:spacing w:before="0" w:after="283"/>
              <w:rPr>
                <w:sz w:val="4"/>
                <w:szCs w:val="4"/>
              </w:rPr>
            </w:pPr>
            <w:r>
              <w:rPr>
                <w:sz w:val="4"/>
                <w:szCs w:val="4"/>
              </w:rPr>
            </w:r>
          </w:p>
        </w:tc>
        <w:tc>
          <w:tcPr>
            <w:tcW w:w="2352"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(as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w:t>
      </w:r>
    </w:p>
    <w:p>
      <w:pPr>
        <w:pStyle w:val="TextBody"/>
        <w:spacing w:lineRule="auto" w:line="333"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jc w:val="center"/>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33" w:before="240" w:after="20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6738" w:type="dxa"/>
        <w:jc w:val="left"/>
        <w:tblInd w:w="0" w:type="dxa"/>
        <w:tblCellMar>
          <w:top w:w="28" w:type="dxa"/>
          <w:left w:w="28" w:type="dxa"/>
          <w:bottom w:w="28" w:type="dxa"/>
          <w:right w:w="28" w:type="dxa"/>
        </w:tblCellMar>
      </w:tblPr>
      <w:tblGrid>
        <w:gridCol w:w="211"/>
        <w:gridCol w:w="186"/>
        <w:gridCol w:w="188"/>
        <w:gridCol w:w="414"/>
        <w:gridCol w:w="414"/>
        <w:gridCol w:w="417"/>
        <w:gridCol w:w="267"/>
        <w:gridCol w:w="267"/>
        <w:gridCol w:w="267"/>
        <w:gridCol w:w="267"/>
        <w:gridCol w:w="267"/>
        <w:gridCol w:w="267"/>
        <w:gridCol w:w="267"/>
        <w:gridCol w:w="267"/>
        <w:gridCol w:w="267"/>
        <w:gridCol w:w="728"/>
        <w:gridCol w:w="728"/>
        <w:gridCol w:w="1049"/>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8"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OPENDOOR TECHNOLOGIES INC.</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07"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240" w:after="283"/>
        <w:jc w:val="center"/>
        <w:rPr/>
      </w:pPr>
      <w:r>
        <w:rPr/>
      </w:r>
    </w:p>
    <w:tbl>
      <w:tblPr>
        <w:tblW w:w="7346" w:type="dxa"/>
        <w:jc w:val="left"/>
        <w:tblInd w:w="0" w:type="dxa"/>
        <w:tblCellMar>
          <w:top w:w="28" w:type="dxa"/>
          <w:left w:w="28" w:type="dxa"/>
          <w:bottom w:w="28" w:type="dxa"/>
          <w:right w:w="28" w:type="dxa"/>
        </w:tblCellMar>
      </w:tblPr>
      <w:tblGrid>
        <w:gridCol w:w="211"/>
        <w:gridCol w:w="186"/>
        <w:gridCol w:w="188"/>
        <w:gridCol w:w="414"/>
        <w:gridCol w:w="414"/>
        <w:gridCol w:w="417"/>
        <w:gridCol w:w="134"/>
        <w:gridCol w:w="134"/>
        <w:gridCol w:w="136"/>
        <w:gridCol w:w="210"/>
        <w:gridCol w:w="210"/>
        <w:gridCol w:w="210"/>
        <w:gridCol w:w="204"/>
        <w:gridCol w:w="204"/>
        <w:gridCol w:w="204"/>
        <w:gridCol w:w="1134"/>
        <w:gridCol w:w="1134"/>
        <w:gridCol w:w="1602"/>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1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spacing w:before="240" w:after="200"/>
        <w:rPr/>
      </w:pPr>
      <w:r>
        <w:rPr/>
      </w:r>
    </w:p>
    <w:p>
      <w:pPr>
        <w:pStyle w:val="TextBody"/>
        <w:spacing w:before="24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40" w:before="61" w:after="283"/>
        <w:jc w:val="center"/>
        <w:rPr>
          <w:rFonts w:ascii="Times New Roman;sans-serif" w:hAnsi="Times New Roman;sans-serif"/>
          <w:b/>
          <w:color w:val="000000"/>
          <w:sz w:val="24"/>
        </w:rPr>
      </w:pPr>
      <w:r>
        <w:rPr>
          <w:rFonts w:ascii="Times New Roman;sans-serif" w:hAnsi="Times New Roman;sans-serif"/>
          <w:b/>
          <w:color w:val="000000"/>
          <w:sz w:val="24"/>
        </w:rPr>
        <w:t>OpenDoor Labs Inc.</w:t>
      </w:r>
    </w:p>
    <w:p>
      <w:pPr>
        <w:pStyle w:val="TextBody"/>
        <w:spacing w:lineRule="auto" w:line="288" w:before="1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 New Montgomery Street San Francisco, CA 94105</w:t>
      </w:r>
    </w:p>
    <w:p>
      <w:pPr>
        <w:pStyle w:val="TextBody"/>
        <w:spacing w:before="2" w:after="283"/>
        <w:rPr/>
      </w:pPr>
      <w:r>
        <w:rPr/>
      </w:r>
    </w:p>
    <w:p>
      <w:pPr>
        <w:pStyle w:val="TextBody"/>
        <w:spacing w:lineRule="auto" w:line="240" w:before="0" w:after="0"/>
        <w:jc w:val="center"/>
        <w:rPr/>
      </w:pPr>
      <w:r>
        <w:rPr>
          <w:rFonts w:ascii="Times New Roman;sans-serif" w:hAnsi="Times New Roman;sans-serif"/>
          <w:b w:val="false"/>
          <w:color w:val="000000"/>
          <w:sz w:val="24"/>
        </w:rPr>
        <w:t>J</w:t>
      </w:r>
      <w:r>
        <w:rPr>
          <w:rFonts w:ascii="Times New Roman;sans-serif" w:hAnsi="Times New Roman;sans-serif"/>
          <w:b w:val="false"/>
          <w:color w:val="000000"/>
          <w:sz w:val="19"/>
        </w:rPr>
        <w:t xml:space="preserve">ULY </w:t>
      </w:r>
      <w:r>
        <w:rPr>
          <w:rFonts w:ascii="Times New Roman;sans-serif" w:hAnsi="Times New Roman;sans-serif"/>
          <w:b w:val="false"/>
          <w:color w:val="000000"/>
          <w:sz w:val="24"/>
        </w:rPr>
        <w:t>06, 2016</w:t>
      </w:r>
    </w:p>
    <w:p>
      <w:pPr>
        <w:pStyle w:val="TextBody"/>
        <w:spacing w:before="5"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Christy Schwartz</w:t>
      </w:r>
    </w:p>
    <w:p>
      <w:pPr>
        <w:pStyle w:val="TextBody"/>
        <w:spacing w:lineRule="auto" w:line="561" w:before="12" w:after="283"/>
        <w:rPr>
          <w:rFonts w:ascii="Times New Roman;sans-serif" w:hAnsi="Times New Roman;sans-serif"/>
          <w:b w:val="false"/>
          <w:color w:val="000000"/>
          <w:sz w:val="24"/>
        </w:rPr>
      </w:pPr>
      <w:r>
        <w:rPr>
          <w:rFonts w:ascii="Times New Roman;sans-serif" w:hAnsi="Times New Roman;sans-serif"/>
          <w:b w:val="false"/>
          <w:color w:val="000000"/>
          <w:sz w:val="24"/>
        </w:rPr>
        <w:t>Via email to: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Dear Christy: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OpenDoor Labs Inc., a Delaware corporation (the “Company”), is pleased to offer you employment with the Company on the terms described below.</w:t>
      </w:r>
    </w:p>
    <w:p>
      <w:pPr>
        <w:pStyle w:val="TextBody"/>
        <w:spacing w:before="5"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1.</w:t>
      </w:r>
      <w:r>
        <w:rPr>
          <w:rFonts w:ascii="Times New Roman;sans-serif" w:hAnsi="Times New Roman;sans-serif"/>
          <w:b/>
          <w:color w:val="000000"/>
          <w:sz w:val="24"/>
          <w:u w:val="single"/>
        </w:rPr>
        <w:t>Position</w:t>
      </w:r>
      <w:r>
        <w:rPr>
          <w:rFonts w:ascii="Times New Roman;sans-serif" w:hAnsi="Times New Roman;sans-serif"/>
          <w:b w:val="false"/>
          <w:color w:val="000000"/>
          <w:sz w:val="24"/>
        </w:rPr>
        <w:t>. You will start in a full-time position in Corporate Controller. You will initially report to Dod Fraser . By signing this letter, you confirm with the Company that you are under no contractual or other legal obligations that would prohibit you from performing your duties with the Company.</w:t>
      </w:r>
    </w:p>
    <w:p>
      <w:pPr>
        <w:pStyle w:val="TextBody"/>
        <w:spacing w:before="8"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2.</w:t>
      </w:r>
      <w:r>
        <w:rPr>
          <w:rFonts w:ascii="Times New Roman;sans-serif" w:hAnsi="Times New Roman;sans-serif"/>
          <w:b/>
          <w:color w:val="000000"/>
          <w:sz w:val="24"/>
          <w:u w:val="single"/>
        </w:rPr>
        <w:t>Compensation</w:t>
      </w:r>
      <w:r>
        <w:rPr>
          <w:rFonts w:ascii="Times New Roman;sans-serif" w:hAnsi="Times New Roman;sans-serif"/>
          <w:b w:val="false"/>
          <w:color w:val="000000"/>
          <w:sz w:val="24"/>
        </w:rPr>
        <w:t>. You will be paid a starting salary at the rate of $210,000 per year, payable on the Company’s regular payroll dates.</w:t>
      </w:r>
    </w:p>
    <w:p>
      <w:pPr>
        <w:pStyle w:val="TextBody"/>
        <w:spacing w:before="6"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3.</w:t>
      </w:r>
      <w:r>
        <w:rPr>
          <w:rFonts w:ascii="Times New Roman;sans-serif" w:hAnsi="Times New Roman;sans-serif"/>
          <w:b/>
          <w:color w:val="000000"/>
          <w:sz w:val="24"/>
          <w:u w:val="single"/>
        </w:rPr>
        <w:t>Equity Grant</w:t>
      </w:r>
      <w:r>
        <w:rPr>
          <w:rFonts w:ascii="Times New Roman;sans-serif" w:hAnsi="Times New Roman;sans-serif"/>
          <w:b w:val="false"/>
          <w:color w:val="000000"/>
          <w:sz w:val="24"/>
        </w:rPr>
        <w:t>. Subject to the approval of the Company’s Board of Directors, you will be granted a right to purchase 65,000 shares of the Company’s common stock. The purchase right will be subject to the terms and conditions applicable to restricted stock awards granted under the Company’s Employee Stock Plan, as described in that plan and the applicable restricted stock purchase agreement, which you will be required to sign. You will vest in 25% of the shares on the</w:t>
      </w:r>
    </w:p>
    <w:p>
      <w:pPr>
        <w:pStyle w:val="TextBody"/>
        <w:spacing w:lineRule="auto" w:line="288" w:before="6" w:after="283"/>
        <w:rPr>
          <w:rFonts w:ascii="Times New Roman;sans-serif" w:hAnsi="Times New Roman;sans-serif"/>
          <w:b w:val="false"/>
          <w:color w:val="000000"/>
          <w:sz w:val="24"/>
        </w:rPr>
      </w:pPr>
      <w:r>
        <w:rPr>
          <w:rFonts w:ascii="Times New Roman;sans-serif" w:hAnsi="Times New Roman;sans-serif"/>
          <w:b w:val="false"/>
          <w:color w:val="000000"/>
          <w:sz w:val="24"/>
        </w:rPr>
        <w:t>12-month anniversary of your vesting commencement date and 1/48th of the total shares will vest in monthly installments thereafter during continuous service, as described in the applicable restricted stock purchase agreement. The exercise price per share will be equal to the fair market value per share on the date the restricted stock award is granted, as determined by the Company’s Board of Directors in good faith. There is no guarantee that the Internal Revenue Service will agree with this value. You should consult with your own tax advisor concerning the tax risks associated with accepting a right to purchase the Company’s common stock.</w:t>
      </w:r>
    </w:p>
    <w:p>
      <w:pPr>
        <w:pStyle w:val="TextBody"/>
        <w:spacing w:before="2"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4.</w:t>
      </w:r>
      <w:r>
        <w:rPr>
          <w:rFonts w:ascii="Times New Roman;sans-serif" w:hAnsi="Times New Roman;sans-serif"/>
          <w:b/>
          <w:color w:val="000000"/>
          <w:sz w:val="24"/>
          <w:u w:val="single"/>
        </w:rPr>
        <w:t>Confidential Information and Invention Assignment Agreement</w:t>
      </w:r>
      <w:r>
        <w:rPr>
          <w:rFonts w:ascii="Times New Roman;sans-serif" w:hAnsi="Times New Roman;sans-serif"/>
          <w:b w:val="false"/>
          <w:color w:val="000000"/>
          <w:sz w:val="24"/>
        </w:rPr>
        <w:t>. Like all Company employees, you will be required, as a condition of your employment with the Company, to sign the Company’s enclosed standard Confidential Information and Invention Assignment Agreement.</w:t>
      </w:r>
    </w:p>
    <w:p>
      <w:pPr>
        <w:pStyle w:val="TextBody"/>
        <w:spacing w:before="8"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5.</w:t>
      </w:r>
      <w:r>
        <w:rPr>
          <w:rFonts w:ascii="Times New Roman;sans-serif" w:hAnsi="Times New Roman;sans-serif"/>
          <w:b/>
          <w:color w:val="000000"/>
          <w:sz w:val="24"/>
          <w:u w:val="single"/>
        </w:rPr>
        <w:t>Employment Relationship</w:t>
      </w:r>
      <w:r>
        <w:rPr>
          <w:rFonts w:ascii="Times New Roman;sans-serif" w:hAnsi="Times New Roman;sans-serif"/>
          <w:b w:val="false"/>
          <w:color w:val="000000"/>
          <w:sz w:val="24"/>
        </w:rPr>
        <w:t>. Employment with the Company is for no specific period of time. Your employment with the Company will be “at will,” meaning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2835" w:type="dxa"/>
        <w:jc w:val="left"/>
        <w:tblInd w:w="0" w:type="dxa"/>
        <w:tblCellMar>
          <w:top w:w="28" w:type="dxa"/>
          <w:left w:w="28" w:type="dxa"/>
          <w:bottom w:w="28" w:type="dxa"/>
          <w:right w:w="28" w:type="dxa"/>
        </w:tblCellMar>
      </w:tblPr>
      <w:tblGrid>
        <w:gridCol w:w="908"/>
        <w:gridCol w:w="797"/>
        <w:gridCol w:w="1130"/>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97" w:before="16"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Christy Schwartz July 06, 2016</w:t>
            </w:r>
          </w:p>
          <w:p>
            <w:pPr>
              <w:pStyle w:val="TableContents"/>
              <w:spacing w:lineRule="auto" w:line="240" w:before="2" w:after="283"/>
              <w:jc w:val="left"/>
              <w:rPr>
                <w:rFonts w:ascii="Times New Roman;sans-serif" w:hAnsi="Times New Roman;sans-serif"/>
                <w:b w:val="false"/>
                <w:color w:val="000000"/>
                <w:sz w:val="21"/>
              </w:rPr>
            </w:pPr>
            <w:r>
              <w:rPr>
                <w:rFonts w:ascii="Times New Roman;sans-serif" w:hAnsi="Times New Roman;sans-serif"/>
                <w:b w:val="false"/>
                <w:color w:val="000000"/>
                <w:sz w:val="21"/>
              </w:rPr>
              <w:t>Page 2</w:t>
            </w:r>
          </w:p>
        </w:tc>
      </w:tr>
    </w:tbl>
    <w:p>
      <w:pPr>
        <w:pStyle w:val="TextBody"/>
        <w:spacing w:lineRule="auto" w:line="288" w:before="80" w:after="283"/>
        <w:rPr>
          <w:rFonts w:ascii="Times New Roman;sans-serif" w:hAnsi="Times New Roman;sans-serif"/>
          <w:b w:val="false"/>
          <w:color w:val="000000"/>
          <w:sz w:val="24"/>
        </w:rPr>
      </w:pPr>
      <w:r>
        <w:rPr>
          <w:rFonts w:ascii="Times New Roman;sans-serif" w:hAnsi="Times New Roman;sans-serif"/>
          <w:b w:val="false"/>
          <w:color w:val="000000"/>
          <w:sz w:val="24"/>
        </w:rPr>
        <w:t>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pStyle w:val="TextBody"/>
        <w:spacing w:before="0" w:after="0"/>
        <w:rPr/>
      </w:pPr>
      <w:r>
        <w:rPr/>
      </w:r>
    </w:p>
    <w:p>
      <w:pPr>
        <w:pStyle w:val="TextBody"/>
        <w:spacing w:lineRule="auto" w:line="288" w:before="0" w:after="0"/>
        <w:ind w:left="0" w:right="0" w:hanging="340"/>
        <w:rPr/>
      </w:pPr>
      <w:r>
        <w:rPr>
          <w:rFonts w:ascii="Times New Roman;sans-serif" w:hAnsi="Times New Roman;sans-serif"/>
          <w:b w:val="false"/>
          <w:color w:val="000000"/>
          <w:sz w:val="24"/>
        </w:rPr>
        <w:t>6.</w:t>
      </w:r>
      <w:r>
        <w:rPr>
          <w:rFonts w:ascii="Times New Roman;sans-serif" w:hAnsi="Times New Roman;sans-serif"/>
          <w:b/>
          <w:color w:val="000000"/>
          <w:sz w:val="24"/>
          <w:u w:val="single"/>
        </w:rPr>
        <w:t>Outside Activities</w:t>
      </w:r>
      <w:r>
        <w:rPr>
          <w:rFonts w:ascii="Times New Roman;sans-serif" w:hAnsi="Times New Roman;sans-serif"/>
          <w:b w:val="false"/>
          <w:color w:val="000000"/>
          <w:sz w:val="24"/>
        </w:rPr>
        <w:t>. While you render services to the Company, you agree that you will not engage in any other employment, consulting or other business activity without the written consent of the Company.</w:t>
      </w:r>
    </w:p>
    <w:p>
      <w:pPr>
        <w:pStyle w:val="TextBody"/>
        <w:spacing w:before="7"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7.</w:t>
      </w:r>
      <w:r>
        <w:rPr>
          <w:rFonts w:ascii="Times New Roman;sans-serif" w:hAnsi="Times New Roman;sans-serif"/>
          <w:b/>
          <w:color w:val="000000"/>
          <w:sz w:val="24"/>
          <w:u w:val="single"/>
        </w:rPr>
        <w:t>Withholding Taxes</w:t>
      </w:r>
      <w:r>
        <w:rPr>
          <w:rFonts w:ascii="Times New Roman;sans-serif" w:hAnsi="Times New Roman;sans-serif"/>
          <w:b w:val="false"/>
          <w:color w:val="000000"/>
          <w:sz w:val="24"/>
        </w:rPr>
        <w:t>. All forms of compensation referred to in this letter are subject to applicable withholding and payroll taxes.</w:t>
      </w:r>
    </w:p>
    <w:p>
      <w:pPr>
        <w:pStyle w:val="TextBody"/>
        <w:spacing w:before="7" w:after="283"/>
        <w:rPr/>
      </w:pPr>
      <w:r>
        <w:rPr/>
      </w:r>
    </w:p>
    <w:p>
      <w:pPr>
        <w:pStyle w:val="TextBody"/>
        <w:spacing w:lineRule="auto" w:line="240" w:before="0" w:after="0"/>
        <w:ind w:left="0" w:right="0" w:hanging="340"/>
        <w:rPr/>
      </w:pPr>
      <w:r>
        <w:rPr>
          <w:rFonts w:ascii="Times New Roman;sans-serif" w:hAnsi="Times New Roman;sans-serif"/>
          <w:b w:val="false"/>
          <w:color w:val="000000"/>
          <w:sz w:val="24"/>
        </w:rPr>
        <w:t>8.</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w:t>
      </w:r>
    </w:p>
    <w:p>
      <w:pPr>
        <w:pStyle w:val="TextBody"/>
        <w:spacing w:before="4" w:after="283"/>
        <w:rPr/>
      </w:pPr>
      <w:r>
        <w:rPr/>
      </w:r>
    </w:p>
    <w:p>
      <w:pPr>
        <w:pStyle w:val="TextBody"/>
        <w:spacing w:lineRule="auto" w:line="288" w:before="1" w:after="283"/>
        <w:ind w:left="0" w:right="0" w:hanging="327"/>
        <w:rPr/>
      </w:pPr>
      <w:r>
        <w:rPr>
          <w:rFonts w:ascii="Times New Roman;sans-serif" w:hAnsi="Times New Roman;sans-serif"/>
          <w:b w:val="false"/>
          <w:color w:val="000000"/>
          <w:sz w:val="24"/>
        </w:rPr>
        <w:t>a.</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The validity, interpretation, construction and performance of this letter, and all acts and transactions pursuant hereto and the rights and obligations of the parties hereto shall be governed, construed and interpreted in accordance with the laws of state of California, without giving effect to principles of conflicts of law.</w:t>
      </w:r>
    </w:p>
    <w:p>
      <w:pPr>
        <w:pStyle w:val="TextBody"/>
        <w:spacing w:before="9"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b.</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pStyle w:val="TextBody"/>
        <w:spacing w:before="9" w:after="283"/>
        <w:rPr/>
      </w:pPr>
      <w:r>
        <w:rPr/>
      </w:r>
    </w:p>
    <w:p>
      <w:pPr>
        <w:pStyle w:val="TextBody"/>
        <w:spacing w:lineRule="auto" w:line="288" w:before="0" w:after="0"/>
        <w:ind w:left="0" w:right="0" w:hanging="327"/>
        <w:rPr/>
      </w:pPr>
      <w:r>
        <w:rPr>
          <w:rFonts w:ascii="Times New Roman;sans-serif" w:hAnsi="Times New Roman;sans-serif"/>
          <w:b w:val="false"/>
          <w:color w:val="000000"/>
          <w:sz w:val="24"/>
        </w:rPr>
        <w:t>c.</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letter may be executed in any number of counterparts, each of which when so executed and delivered shall be deemed an original, and all of which together shall constitute one and the same agreement. Execution of a facsimile copy will have the same force and effect as execution of an original, and a facsimile signature will be deemed an original and valid signature.</w:t>
      </w:r>
    </w:p>
    <w:p>
      <w:pPr>
        <w:pStyle w:val="TextBody"/>
        <w:spacing w:before="10" w:after="283"/>
        <w:rPr/>
      </w:pPr>
      <w:r>
        <w:rPr/>
      </w:r>
    </w:p>
    <w:p>
      <w:pPr>
        <w:pStyle w:val="TextBody"/>
        <w:spacing w:lineRule="auto" w:line="288" w:before="0" w:after="0"/>
        <w:ind w:left="0" w:right="0" w:hanging="340"/>
        <w:rPr/>
      </w:pPr>
      <w:r>
        <w:rPr>
          <w:rFonts w:ascii="Times New Roman;sans-serif" w:hAnsi="Times New Roman;sans-serif"/>
          <w:b w:val="false"/>
          <w:color w:val="000000"/>
          <w:sz w:val="24"/>
        </w:rPr>
        <w:t>d.</w:t>
      </w:r>
      <w:r>
        <w:rPr>
          <w:rFonts w:ascii="Times New Roman;sans-serif" w:hAnsi="Times New Roman;sans-serif"/>
          <w:b/>
          <w:color w:val="000000"/>
          <w:sz w:val="24"/>
          <w:u w:val="single"/>
        </w:rPr>
        <w:t>Electronic Delivery</w:t>
      </w:r>
      <w:r>
        <w:rPr>
          <w:rFonts w:ascii="Times New Roman;sans-serif" w:hAnsi="Times New Roman;sans-serif"/>
          <w:b w:val="false"/>
          <w:color w:val="000000"/>
          <w:sz w:val="24"/>
        </w:rPr>
        <w:t>. 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2835" w:type="dxa"/>
        <w:jc w:val="left"/>
        <w:tblInd w:w="0" w:type="dxa"/>
        <w:tblCellMar>
          <w:top w:w="28" w:type="dxa"/>
          <w:left w:w="28" w:type="dxa"/>
          <w:bottom w:w="28" w:type="dxa"/>
          <w:right w:w="28" w:type="dxa"/>
        </w:tblCellMar>
      </w:tblPr>
      <w:tblGrid>
        <w:gridCol w:w="908"/>
        <w:gridCol w:w="797"/>
        <w:gridCol w:w="1130"/>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97" w:before="16"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Christy Schwartz July 06, 2016</w:t>
            </w:r>
          </w:p>
          <w:p>
            <w:pPr>
              <w:pStyle w:val="TableContents"/>
              <w:spacing w:lineRule="auto" w:line="240" w:before="2" w:after="283"/>
              <w:jc w:val="left"/>
              <w:rPr>
                <w:rFonts w:ascii="Times New Roman;sans-serif" w:hAnsi="Times New Roman;sans-serif"/>
                <w:b w:val="false"/>
                <w:color w:val="000000"/>
                <w:sz w:val="21"/>
              </w:rPr>
            </w:pPr>
            <w:r>
              <w:rPr>
                <w:rFonts w:ascii="Times New Roman;sans-serif" w:hAnsi="Times New Roman;sans-serif"/>
                <w:b w:val="false"/>
                <w:color w:val="000000"/>
                <w:sz w:val="21"/>
              </w:rPr>
              <w:t>Page 3</w:t>
            </w:r>
          </w:p>
        </w:tc>
      </w:tr>
    </w:tbl>
    <w:p>
      <w:pPr>
        <w:pStyle w:val="TextBody"/>
        <w:spacing w:lineRule="auto" w:line="288" w:before="80" w:after="283"/>
        <w:rPr>
          <w:rFonts w:ascii="Times New Roman;sans-serif" w:hAnsi="Times New Roman;sans-serif"/>
          <w:b w:val="false"/>
          <w:color w:val="000000"/>
          <w:sz w:val="24"/>
        </w:rPr>
      </w:pPr>
      <w:r>
        <w:rPr>
          <w:rFonts w:ascii="Times New Roman;sans-serif" w:hAnsi="Times New Roman;sans-serif"/>
          <w:b w:val="false"/>
          <w:color w:val="000000"/>
          <w:sz w:val="24"/>
        </w:rPr>
        <w:t>documents electronically and agree to participate through an on-line or electronic system established and maintained by the Company or a third party designated by the Company.</w:t>
      </w:r>
    </w:p>
    <w:p>
      <w:pPr>
        <w:pStyle w:val="TextBody"/>
        <w:spacing w:before="7"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your employment is also subject to the following terms:</w:t>
      </w:r>
    </w:p>
    <w:p>
      <w:pPr>
        <w:pStyle w:val="TextBody"/>
        <w:spacing w:before="4" w:after="283"/>
        <w:rPr/>
      </w:pPr>
      <w:r>
        <w:rPr/>
      </w:r>
    </w:p>
    <w:p>
      <w:pPr>
        <w:pStyle w:val="TextBody"/>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Opendoor will pay the candidate a sign on bonus of $25,000 within the first 90 days of employment. If the candidate leaves Opendoor within a year they will repay an amount of: [(365-days worked)/365]*$25,000.</w:t>
      </w:r>
    </w:p>
    <w:p>
      <w:pPr>
        <w:pStyle w:val="TextBody"/>
        <w:spacing w:before="7" w:after="283"/>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If you wish to accept this offer, please sign and date both the enclosed duplicate original of this letter and the enclosed Confidential Information and Invention Assignment Agreement and return them to me. As required, by law, your employment with the Company is also contingent upon your providing legal proof of your identity and authorization to work in the United States. This offer, if not accepted, will expire at the close of business on July 08, 2016.</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We look forward to having you join us no later than August 23, 2016.</w:t>
      </w:r>
    </w:p>
    <w:p>
      <w:pPr>
        <w:pStyle w:val="TextBody"/>
        <w:spacing w:before="0" w:after="0"/>
        <w:rPr/>
      </w:pPr>
      <w:r>
        <w:rPr/>
      </w:r>
    </w:p>
    <w:p>
      <w:pPr>
        <w:pStyle w:val="TextBody"/>
        <w:spacing w:before="5" w:after="283"/>
        <w:rPr/>
      </w:pPr>
      <w:r>
        <w:rPr/>
      </w:r>
    </w:p>
    <w:p>
      <w:pPr>
        <w:pStyle w:val="TextBody"/>
        <w:spacing w:lineRule="auto" w:line="561" w:before="0" w:after="0"/>
        <w:rPr>
          <w:rFonts w:ascii="Times New Roman;sans-serif" w:hAnsi="Times New Roman;sans-serif"/>
          <w:b w:val="false"/>
          <w:color w:val="000000"/>
          <w:sz w:val="24"/>
        </w:rPr>
      </w:pPr>
      <w:r>
        <w:rPr>
          <w:rFonts w:ascii="Times New Roman;sans-serif" w:hAnsi="Times New Roman;sans-serif"/>
          <w:b w:val="false"/>
          <w:color w:val="000000"/>
          <w:sz w:val="24"/>
        </w:rPr>
        <w:t>Very truly yours, OpenDoor Labs Inc. By:</w:t>
      </w:r>
    </w:p>
    <w:p>
      <w:pPr>
        <w:pStyle w:val="TextBody"/>
        <w:spacing w:lineRule="auto" w:line="240" w:before="0" w:after="0"/>
        <w:ind w:left="0" w:right="0" w:hanging="180"/>
        <w:rPr>
          <w:rFonts w:ascii="Times New Roman;sans-serif" w:hAnsi="Times New Roman;sans-serif"/>
          <w:b w:val="false"/>
          <w:color w:val="000000"/>
          <w:sz w:val="26"/>
        </w:rPr>
      </w:pPr>
      <w:r>
        <w:rPr>
          <w:rFonts w:ascii="Times New Roman;sans-serif" w:hAnsi="Times New Roman;sans-serif"/>
          <w:b w:val="false"/>
          <w:color w:val="000000"/>
          <w:sz w:val="26"/>
        </w:rPr>
        <w:t>/s/ Eric Wu</w:t>
      </w:r>
    </w:p>
    <w:p>
      <w:pPr>
        <w:pStyle w:val="TextBody"/>
        <w:spacing w:lineRule="auto" w:line="288" w:before="177" w:after="283"/>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Eric Wu</w:t>
      </w:r>
      <w:r>
        <w:rPr>
          <w:color w:val="000000"/>
        </w:rPr>
        <w:t xml:space="preserve">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CEO</w:t>
      </w:r>
    </w:p>
    <w:p>
      <w:pPr>
        <w:pStyle w:val="TextBody"/>
        <w:spacing w:before="0" w:after="0"/>
        <w:rPr/>
      </w:pPr>
      <w:r>
        <w:rPr/>
      </w:r>
    </w:p>
    <w:p>
      <w:pPr>
        <w:pStyle w:val="TextBody"/>
        <w:spacing w:before="8"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spacing w:before="0" w:after="0"/>
        <w:rPr/>
      </w:pPr>
      <w:r>
        <w:rPr/>
      </w:r>
    </w:p>
    <w:p>
      <w:pPr>
        <w:pStyle w:val="TextBody"/>
        <w:spacing w:lineRule="auto" w:line="240" w:before="6" w:after="283"/>
        <w:rPr>
          <w:rFonts w:ascii="Times New Roman;sans-serif" w:hAnsi="Times New Roman;sans-serif"/>
          <w:b w:val="false"/>
          <w:color w:val="000000"/>
          <w:sz w:val="24"/>
        </w:rPr>
      </w:pPr>
      <w:r>
        <w:rPr>
          <w:rFonts w:ascii="Times New Roman;sans-serif" w:hAnsi="Times New Roman;sans-serif"/>
          <w:b w:val="false"/>
          <w:color w:val="000000"/>
          <w:sz w:val="24"/>
        </w:rPr>
        <w:t>/s/ Christy Schwartz</w:t>
      </w:r>
    </w:p>
    <w:p>
      <w:pPr>
        <w:pStyle w:val="TextBody"/>
        <w:spacing w:before="1" w:after="283"/>
        <w:rPr/>
      </w:pPr>
      <w:r>
        <w:rPr/>
      </w:r>
    </w:p>
    <w:p>
      <w:pPr>
        <w:pStyle w:val="TextBody"/>
        <w:spacing w:lineRule="auto" w:line="561" w:before="90" w:after="283"/>
        <w:rPr>
          <w:rFonts w:ascii="Times New Roman;sans-serif" w:hAnsi="Times New Roman;sans-serif"/>
          <w:b w:val="false"/>
          <w:color w:val="000000"/>
          <w:sz w:val="24"/>
        </w:rPr>
      </w:pPr>
      <w:r>
        <w:rPr>
          <w:rFonts w:ascii="Times New Roman;sans-serif" w:hAnsi="Times New Roman;sans-serif"/>
          <w:b w:val="false"/>
          <w:color w:val="000000"/>
          <w:sz w:val="24"/>
        </w:rPr>
        <w:t>Signature of Employee Dated: 07/06/2016</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Anticipated Start Date: August 23, 2016</w:t>
      </w:r>
    </w:p>
    <w:p>
      <w:pPr>
        <w:pStyle w:val="TextBody"/>
        <w:spacing w:before="1"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2"/>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0"/>
        <w:jc w:val="center"/>
        <w:rPr/>
      </w:pPr>
      <w:r>
        <w:rPr>
          <w:rFonts w:ascii="Times New Roman;sans-serif" w:hAnsi="Times New Roman;sans-serif"/>
          <w:b/>
          <w:color w:val="000000"/>
          <w:sz w:val="22"/>
        </w:rPr>
        <w:t>OPENDOOR</w:t>
      </w:r>
      <w:r>
        <w:rPr>
          <w:color w:val="000000"/>
        </w:rPr>
        <w:t xml:space="preserve"> </w:t>
      </w:r>
      <w:r>
        <w:rPr>
          <w:rFonts w:ascii="Times New Roman;sans-serif" w:hAnsi="Times New Roman;sans-serif"/>
          <w:b/>
          <w:color w:val="000000"/>
          <w:sz w:val="22"/>
        </w:rPr>
        <w:t>LABS</w:t>
      </w:r>
      <w:r>
        <w:rPr>
          <w:color w:val="000000"/>
        </w:rPr>
        <w:t xml:space="preserve"> </w:t>
      </w:r>
      <w:r>
        <w:rPr>
          <w:rFonts w:ascii="Times New Roman;sans-serif" w:hAnsi="Times New Roman;sans-serif"/>
          <w:b/>
          <w:color w:val="000000"/>
          <w:sz w:val="22"/>
        </w:rPr>
        <w:t>INC.</w:t>
      </w:r>
    </w:p>
    <w:p>
      <w:pPr>
        <w:pStyle w:val="TextBody"/>
        <w:spacing w:lineRule="auto" w:line="285"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410 N Scottsdale Rd Ste 1600</w:t>
      </w:r>
    </w:p>
    <w:p>
      <w:pPr>
        <w:pStyle w:val="TextBody"/>
        <w:spacing w:lineRule="auto" w:line="285"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Tempe, AZ, 85281</w:t>
      </w:r>
    </w:p>
    <w:p>
      <w:pPr>
        <w:pStyle w:val="TextBody"/>
        <w:spacing w:lineRule="auto" w:line="288" w:before="0" w:after="238"/>
        <w:jc w:val="both"/>
        <w:rPr>
          <w:rFonts w:ascii="Times New Roman;sans-serif" w:hAnsi="Times New Roman;sans-serif"/>
          <w:b w:val="false"/>
          <w:color w:val="000000"/>
          <w:sz w:val="22"/>
        </w:rPr>
      </w:pPr>
      <w:r>
        <w:rPr>
          <w:rFonts w:ascii="Times New Roman;sans-serif" w:hAnsi="Times New Roman;sans-serif"/>
          <w:b w:val="false"/>
          <w:color w:val="000000"/>
          <w:sz w:val="22"/>
        </w:rPr>
        <w:t>July 10, 2022</w:t>
      </w:r>
    </w:p>
    <w:p>
      <w:pPr>
        <w:pStyle w:val="TextBody"/>
        <w:spacing w:lineRule="auto" w:line="288" w:before="0" w:after="10"/>
        <w:jc w:val="both"/>
        <w:rPr>
          <w:rFonts w:ascii="Times New Roman;sans-serif" w:hAnsi="Times New Roman;sans-serif"/>
          <w:b w:val="false"/>
          <w:color w:val="000000"/>
          <w:sz w:val="22"/>
        </w:rPr>
      </w:pPr>
      <w:r>
        <w:rPr>
          <w:rFonts w:ascii="Times New Roman;sans-serif" w:hAnsi="Times New Roman;sans-serif"/>
          <w:b w:val="false"/>
          <w:color w:val="000000"/>
          <w:sz w:val="22"/>
        </w:rPr>
        <w:t>Sydney Schaub</w:t>
      </w:r>
    </w:p>
    <w:p>
      <w:pPr>
        <w:pStyle w:val="TextBody"/>
        <w:spacing w:before="0" w:after="10"/>
        <w:jc w:val="both"/>
        <w:rPr/>
      </w:pPr>
      <w:r>
        <w:rPr/>
      </w:r>
    </w:p>
    <w:p>
      <w:pPr>
        <w:pStyle w:val="TextBody"/>
        <w:spacing w:before="0" w:after="10"/>
        <w:jc w:val="both"/>
        <w:rPr/>
      </w:pPr>
      <w:r>
        <w:rPr/>
      </w:r>
    </w:p>
    <w:p>
      <w:pPr>
        <w:pStyle w:val="TextBody"/>
        <w:spacing w:lineRule="auto" w:line="288" w:before="0" w:after="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VIA EMAIL </w:t>
      </w:r>
    </w:p>
    <w:p>
      <w:pPr>
        <w:pStyle w:val="TextBody"/>
        <w:spacing w:lineRule="auto" w:line="288" w:before="0" w:after="23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Sydney: </w:t>
      </w:r>
    </w:p>
    <w:p>
      <w:pPr>
        <w:pStyle w:val="TextBody"/>
        <w:spacing w:lineRule="auto" w:line="288" w:before="0" w:after="238"/>
        <w:ind w:left="0" w:right="0" w:firstLine="720"/>
        <w:jc w:val="both"/>
        <w:rPr/>
      </w:pPr>
      <w:r>
        <w:rPr>
          <w:rFonts w:ascii="Times New Roman;sans-serif" w:hAnsi="Times New Roman;sans-serif"/>
          <w:b w:val="false"/>
          <w:color w:val="000000"/>
          <w:sz w:val="22"/>
        </w:rPr>
        <w:t>Opendoor Labs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is pleased to offer you employment as the Company’s Chief Legal Officer, on the terms described in this letter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Your employment shall commence no later than Tuesday, September 6, 2022 (such actual date of your commencement of employment shall be referred to herein as the “</w:t>
      </w:r>
      <w:r>
        <w:rPr>
          <w:rFonts w:ascii="Times New Roman;sans-serif" w:hAnsi="Times New Roman;sans-serif"/>
          <w:b w:val="false"/>
          <w:color w:val="000000"/>
          <w:sz w:val="22"/>
          <w:u w:val="single"/>
        </w:rPr>
        <w:t>Start Date</w:t>
      </w:r>
      <w:r>
        <w:rPr>
          <w:color w:val="000000"/>
        </w:rPr>
        <w:t>”</w:t>
      </w:r>
      <w:r>
        <w:rPr>
          <w:rFonts w:ascii="Times New Roman;sans-serif" w:hAnsi="Times New Roman;sans-serif"/>
          <w:b w:val="false"/>
          <w:color w:val="000000"/>
          <w:sz w:val="22"/>
        </w:rPr>
        <w:t xml:space="preserve">). </w:t>
      </w:r>
    </w:p>
    <w:p>
      <w:pPr>
        <w:pStyle w:val="TextBody"/>
        <w:spacing w:lineRule="auto" w:line="288" w:before="0" w:after="238"/>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Employment</w:t>
      </w:r>
      <w:r>
        <w:rPr>
          <w:rFonts w:ascii="Times New Roman;sans-serif" w:hAnsi="Times New Roman;sans-serif"/>
          <w:b w:val="false"/>
          <w:color w:val="000000"/>
          <w:sz w:val="22"/>
        </w:rPr>
        <w:t>. As Chief Legal Officer, you will be responsible for managing the entire Legal Team, and other responsibilities consistent with your title as may be directed by the Company’s Chief Executive Officer (“</w:t>
      </w:r>
      <w:r>
        <w:rPr>
          <w:rFonts w:ascii="Times New Roman;sans-serif" w:hAnsi="Times New Roman;sans-serif"/>
          <w:b w:val="false"/>
          <w:color w:val="000000"/>
          <w:sz w:val="22"/>
          <w:u w:val="single"/>
        </w:rPr>
        <w:t>CEO</w:t>
      </w:r>
      <w:r>
        <w:rPr>
          <w:color w:val="000000"/>
        </w:rPr>
        <w:t>”</w:t>
      </w:r>
      <w:r>
        <w:rPr>
          <w:rFonts w:ascii="Times New Roman;sans-serif" w:hAnsi="Times New Roman;sans-serif"/>
          <w:b w:val="false"/>
          <w:color w:val="000000"/>
          <w:sz w:val="22"/>
        </w:rPr>
        <w:t xml:space="preserve">), to whom you will report solely and directly. During the term of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will work remotely, and your primary work location will be in New York City. The Company reserves the right to require reasonable business travel, at Company expense in accordance with its expense reimbursement policy. </w:t>
      </w:r>
    </w:p>
    <w:p>
      <w:pPr>
        <w:pStyle w:val="TextBody"/>
        <w:spacing w:lineRule="auto" w:line="288" w:before="0" w:after="238"/>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u w:val="single"/>
        </w:rPr>
        <w:t>Salary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You will be paid a base salary at the annual rate of $350,000, to be paid (net of applicable taxes, withholding and any other deductions) in accordance with the Company’s regular payroll practices.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reasonable advance notice, subject to the terms and conditions set forth herein. </w:t>
      </w:r>
    </w:p>
    <w:p>
      <w:pPr>
        <w:pStyle w:val="TextBody"/>
        <w:spacing w:lineRule="auto" w:line="288" w:before="0" w:after="238"/>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u w:val="single"/>
        </w:rPr>
        <w:t>Sign-on Payments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Company will make two payments to you totaling $525,000, net of applicable taxes, withholding and any other legally authorized deductions, as advances prior to their being earned (the “</w:t>
      </w:r>
      <w:r>
        <w:rPr>
          <w:rFonts w:ascii="Times New Roman;sans-serif" w:hAnsi="Times New Roman;sans-serif"/>
          <w:b w:val="false"/>
          <w:color w:val="000000"/>
          <w:sz w:val="22"/>
          <w:u w:val="single"/>
        </w:rPr>
        <w:t>Sign-on Payments</w:t>
      </w:r>
      <w:r>
        <w:rPr>
          <w:color w:val="000000"/>
        </w:rPr>
        <w:t>”</w:t>
      </w:r>
      <w:r>
        <w:rPr>
          <w:rFonts w:ascii="Times New Roman;sans-serif" w:hAnsi="Times New Roman;sans-serif"/>
          <w:b w:val="false"/>
          <w:color w:val="000000"/>
          <w:sz w:val="22"/>
        </w:rPr>
        <w:t xml:space="preserve">). The first payment, in the amount of $350,000 (less taxes, deductions and withholdings), will be paid on the Company’s first regularly scheduled payroll date after your Start Date, and the second payment, in the amount of $175,000 (less taxes, deductions and withholdings), will be paid within 30 days after the first anniversary of the Start Date. You will earn the Sign-on Payments if you remain continuously employed with the Company through the two-year anniversary of your Start Date; provided, that to the extent your employment is terminated without Cause (as defined below) or you resign your employment with Good Reason (as defined below) prior to the payment of the first installment the Sign-on Payment, such unpaid Sign-on Payment shall be paid on the date set forth herein. If you resign your employment with the Company without Good Reason, or the Company terminates your employment for Cause, at any time prior to the second anniversary of your Start Date, you shall repay, within 60 days of your last day of employment with the Company, a pro-rata portion of the after-tax portion of any amount of the Sign-on Payments paid to you prior to the termination of your employment. However, such amount of any previously paid Sign-on Payments shall not be subject to repayment if your employment is terminated without Cause or you resign with Good Reason at any time. </w:t>
      </w:r>
      <w:r>
        <w:br w:type="page"/>
      </w:r>
    </w:p>
    <w:p>
      <w:pPr>
        <w:pStyle w:val="TextBody"/>
        <w:spacing w:before="0" w:after="16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41045"/>
                <wp:effectExtent l="0" t="0" r="0" b="0"/>
                <wp:wrapNone/>
                <wp:docPr id="52" name="Frame52"/>
                <a:graphic xmlns:a="http://schemas.openxmlformats.org/drawingml/2006/main">
                  <a:graphicData uri="http://schemas.microsoft.com/office/word/2010/wordprocessingShape">
                    <wps:wsp>
                      <wps:cNvSpPr txBox="1"/>
                      <wps:spPr>
                        <a:xfrm>
                          <a:off x="0" y="0"/>
                          <a:ext cx="6480175" cy="741045"/>
                        </a:xfrm>
                        <a:prstGeom prst="rect"/>
                      </wps:spPr>
                      <wps:txb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481.35pt;mso-position-horizontal:left;mso-position-horizontal-relative:text">
                <v:textbo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88" w:before="0" w:after="238"/>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u w:val="single"/>
        </w:rPr>
        <w:t>Benefits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You will be eligible to participate in the Company’s standard benefit programs, subject to the terms and conditions of such plans, to the same extent as other executive officers of the Company, generally. The Company may, from time to time, change these benefits in its discretion, provided, that you shall be treated no less favorably than other executive officers generally. Additional information regarding these benefits is available for your review upon request. Following the Start Date, if the Company adopts a severance benefit plan for executive officers of the Company (the “</w:t>
      </w:r>
      <w:r>
        <w:rPr>
          <w:rFonts w:ascii="Times New Roman;sans-serif" w:hAnsi="Times New Roman;sans-serif"/>
          <w:b w:val="false"/>
          <w:color w:val="000000"/>
          <w:sz w:val="22"/>
          <w:u w:val="single"/>
        </w:rPr>
        <w:t>Severance Plan</w:t>
      </w:r>
      <w:r>
        <w:rPr>
          <w:color w:val="000000"/>
        </w:rPr>
        <w:t>”</w:t>
      </w:r>
      <w:r>
        <w:rPr>
          <w:rFonts w:ascii="Times New Roman;sans-serif" w:hAnsi="Times New Roman;sans-serif"/>
          <w:b w:val="false"/>
          <w:color w:val="000000"/>
          <w:sz w:val="22"/>
        </w:rPr>
        <w:t xml:space="preserve">), you will participate in such Severance Plan commensurate with your position and no less favorably than other similarly situated executive officers, generally. </w:t>
      </w:r>
      <w:r>
        <w:rPr>
          <w:rFonts w:ascii="Times New Roman;sans-serif" w:hAnsi="Times New Roman;sans-serif"/>
          <w:b w:val="false"/>
          <w:color w:val="000000"/>
          <w:sz w:val="24"/>
        </w:rPr>
        <w:t xml:space="preserve">The Company shall pay directly or reimburse you within thirty (30) days following receipt from your legal counsel of an invoice for </w:t>
      </w:r>
      <w:r>
        <w:rPr>
          <w:rFonts w:ascii="Times New Roman;sans-serif" w:hAnsi="Times New Roman;sans-serif"/>
          <w:b w:val="false"/>
          <w:color w:val="000000"/>
          <w:sz w:val="22"/>
        </w:rPr>
        <w:t xml:space="preserve">fifty percent (50%) of </w:t>
      </w:r>
      <w:r>
        <w:rPr>
          <w:rFonts w:ascii="Times New Roman;sans-serif" w:hAnsi="Times New Roman;sans-serif"/>
          <w:b w:val="false"/>
          <w:color w:val="000000"/>
          <w:sz w:val="24"/>
        </w:rPr>
        <w:t>all reasonable legal fees incurred by you in connection with the review, negotiation and execution of this Agreement, and any ancillary agreement.</w:t>
      </w:r>
      <w:r>
        <w:rPr>
          <w:color w:val="000000"/>
        </w:rPr>
        <w:t xml:space="preserve"> </w:t>
      </w:r>
    </w:p>
    <w:p>
      <w:pPr>
        <w:pStyle w:val="TextBody"/>
        <w:spacing w:lineRule="auto" w:line="288" w:before="0" w:after="238"/>
        <w:ind w:left="0" w:right="0" w:firstLine="720"/>
        <w:jc w:val="both"/>
        <w:rPr/>
      </w:pPr>
      <w:r>
        <w:rPr>
          <w:rFonts w:ascii="Times New Roman;sans-serif" w:hAnsi="Times New Roman;sans-serif"/>
          <w:b/>
          <w:color w:val="000000"/>
          <w:sz w:val="22"/>
        </w:rPr>
        <w:t>5.</w:t>
      </w:r>
      <w:r>
        <w:rPr>
          <w:rFonts w:ascii="Times New Roman;sans-serif" w:hAnsi="Times New Roman;sans-serif"/>
          <w:b/>
          <w:color w:val="000000"/>
          <w:sz w:val="22"/>
          <w:u w:val="single"/>
        </w:rPr>
        <w:t>Equity</w:t>
      </w:r>
      <w:r>
        <w:rPr>
          <w:rFonts w:ascii="Times New Roman;sans-serif" w:hAnsi="Times New Roman;sans-serif"/>
          <w:b w:val="false"/>
          <w:color w:val="000000"/>
          <w:sz w:val="22"/>
        </w:rPr>
        <w:t>. You will be granted a restricted stock unit (“</w:t>
      </w:r>
      <w:r>
        <w:rPr>
          <w:rFonts w:ascii="Times New Roman;sans-serif" w:hAnsi="Times New Roman;sans-serif"/>
          <w:b w:val="false"/>
          <w:color w:val="000000"/>
          <w:sz w:val="22"/>
          <w:u w:val="single"/>
        </w:rPr>
        <w:t>RSU</w:t>
      </w:r>
      <w:r>
        <w:rPr>
          <w:color w:val="000000"/>
        </w:rPr>
        <w:t>”</w:t>
      </w:r>
      <w:r>
        <w:rPr>
          <w:rFonts w:ascii="Times New Roman;sans-serif" w:hAnsi="Times New Roman;sans-serif"/>
          <w:b w:val="false"/>
          <w:color w:val="000000"/>
          <w:sz w:val="22"/>
        </w:rPr>
        <w:t>) award for shares of the common stock of Opendoor Technologies, Inc. (the “</w:t>
      </w:r>
      <w:r>
        <w:rPr>
          <w:rFonts w:ascii="Times New Roman;sans-serif" w:hAnsi="Times New Roman;sans-serif"/>
          <w:b w:val="false"/>
          <w:color w:val="000000"/>
          <w:sz w:val="22"/>
          <w:u w:val="single"/>
        </w:rPr>
        <w:t>RSU Grant</w:t>
      </w:r>
      <w:r>
        <w:rPr>
          <w:color w:val="000000"/>
        </w:rPr>
        <w:t>”</w:t>
      </w:r>
      <w:r>
        <w:rPr>
          <w:rFonts w:ascii="Times New Roman;sans-serif" w:hAnsi="Times New Roman;sans-serif"/>
          <w:b w:val="false"/>
          <w:color w:val="000000"/>
          <w:sz w:val="22"/>
        </w:rPr>
        <w:t xml:space="preserve">) as soon as practicable (but no more than 45 days following) the Start Date.  The RSU Grant will be for that number of shares equal to </w:t>
      </w:r>
      <w:r>
        <w:rPr>
          <w:rFonts w:ascii="Times New Roman;sans-serif" w:hAnsi="Times New Roman;sans-serif"/>
          <w:b w:val="false"/>
          <w:color w:val="000000"/>
          <w:sz w:val="22"/>
          <w:highlight w:val="white"/>
        </w:rPr>
        <w:t xml:space="preserve">$6,000,000 </w:t>
      </w:r>
      <w:r>
        <w:rPr>
          <w:rFonts w:ascii="Times New Roman;sans-serif" w:hAnsi="Times New Roman;sans-serif"/>
          <w:b w:val="false"/>
          <w:color w:val="000000"/>
          <w:sz w:val="22"/>
        </w:rPr>
        <w:t>divided by the average fair market value (as defined in the Plan) over the 20 business (trading) days ending on the last business (trading) day of the month preceding the month in which the RSU Grant is made.  The RSU Grant will vest on the following schedule, subject to your continuous service on each such date, except as set forth herein: 1/3rd of the total RSUs on the first anniversary of your vesting start date (which will be the 15th of the month in which you start employment at the Company), and thereafter 1/12th of the total number of RSUs on a quarterly basis following the first anniversary of your vesting start date.  The RSU Grant will be subject to the provisions of Opendoor Technologies, Inc.’s current equity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and our standard form of RSU award agreement, which will govern and control in all respects, except as otherwise set forth herein.  You shall be eligible to receive refresh grant(s) at the discretion of the Board of Directors or Compensation Committee of Opendoor Technologies, Inc. </w:t>
      </w:r>
    </w:p>
    <w:p>
      <w:pPr>
        <w:pStyle w:val="TextBody"/>
        <w:spacing w:lineRule="auto" w:line="288" w:before="0" w:after="238"/>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u w:val="single"/>
        </w:rPr>
        <w:t>Compliance with Confidentiality Information Agreement and Company Policies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In connection with your employment with the Company, you will receive and have access to Company confidential information and trade secrets.  Accordingly, attached hereto as Attachment 1 is an Employee Confidential Information and Inventions Assignment Agreement (“</w:t>
      </w:r>
      <w:r>
        <w:rPr>
          <w:rFonts w:ascii="Times New Roman;sans-serif" w:hAnsi="Times New Roman;sans-serif"/>
          <w:b w:val="false"/>
          <w:color w:val="000000"/>
          <w:sz w:val="22"/>
          <w:u w:val="single"/>
        </w:rPr>
        <w:t>Confidentiality Agreement</w:t>
      </w:r>
      <w:r>
        <w:rPr>
          <w:color w:val="000000"/>
        </w:rPr>
        <w:t>”</w:t>
      </w:r>
      <w:r>
        <w:rPr>
          <w:rFonts w:ascii="Times New Roman;sans-serif" w:hAnsi="Times New Roman;sans-serif"/>
          <w:b w:val="false"/>
          <w:color w:val="000000"/>
          <w:sz w:val="22"/>
        </w:rPr>
        <w:t>) which contains restrictive covenants and prohibits unauthorized use or disclosure of the Company’s confidential information and trade secrets, among other obligations.  Please review the Confidentiality Agreement</w:t>
      </w:r>
      <w:r>
        <w:rPr>
          <w:color w:val="000000"/>
          <w:u w:val="single"/>
        </w:rPr>
        <w:t xml:space="preserve"> </w:t>
      </w:r>
      <w:r>
        <w:rPr>
          <w:rFonts w:ascii="Times New Roman;sans-serif" w:hAnsi="Times New Roman;sans-serif"/>
          <w:b w:val="false"/>
          <w:color w:val="000000"/>
          <w:sz w:val="22"/>
        </w:rPr>
        <w:t xml:space="preserve">and only sign it after careful consideration. In addition, you are required to abide by the Company’s written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provided, however, that in the event the terms of this Agreement differ from or are in conflict with the Company’s general employment policies or practices, this Agreement shall control. </w:t>
      </w:r>
    </w:p>
    <w:p>
      <w:pPr>
        <w:pStyle w:val="TextBody"/>
        <w:spacing w:lineRule="auto" w:line="288" w:before="0" w:after="238"/>
        <w:ind w:left="0" w:right="0" w:firstLine="720"/>
        <w:jc w:val="both"/>
        <w:rPr/>
      </w:pPr>
      <w:r>
        <w:rPr>
          <w:rFonts w:ascii="Times New Roman;sans-serif" w:hAnsi="Times New Roman;sans-serif"/>
          <w:b/>
          <w:color w:val="000000"/>
          <w:sz w:val="22"/>
        </w:rPr>
        <w:t>7.</w:t>
      </w:r>
      <w:r>
        <w:rPr>
          <w:rFonts w:ascii="Times New Roman;sans-serif" w:hAnsi="Times New Roman;sans-serif"/>
          <w:b/>
          <w:color w:val="000000"/>
          <w:sz w:val="22"/>
          <w:u w:val="single"/>
        </w:rPr>
        <w:t>Protection of Third-Party Information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on and after the Start Date.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 </w:t>
      </w:r>
    </w:p>
    <w:p>
      <w:pPr>
        <w:pStyle w:val="TextBody"/>
        <w:spacing w:lineRule="auto" w:line="288" w:before="0" w:after="238"/>
        <w:ind w:left="0" w:right="0" w:firstLine="720"/>
        <w:jc w:val="both"/>
        <w:rPr/>
      </w:pPr>
      <w:r>
        <w:rPr>
          <w:rFonts w:ascii="Times New Roman;sans-serif" w:hAnsi="Times New Roman;sans-serif"/>
          <w:b/>
          <w:color w:val="000000"/>
          <w:sz w:val="22"/>
        </w:rPr>
        <w:t>8.</w:t>
      </w:r>
      <w:r>
        <w:rPr>
          <w:rFonts w:ascii="Times New Roman;sans-serif" w:hAnsi="Times New Roman;sans-serif"/>
          <w:b/>
          <w:color w:val="000000"/>
          <w:sz w:val="22"/>
          <w:u w:val="single"/>
        </w:rPr>
        <w:t>Employment Relationship</w:t>
      </w:r>
      <w:r>
        <w:rPr>
          <w:rFonts w:ascii="Times New Roman;sans-serif" w:hAnsi="Times New Roman;sans-serif"/>
          <w:b w:val="false"/>
          <w:color w:val="000000"/>
          <w:sz w:val="22"/>
        </w:rPr>
        <w:t xml:space="preserve">. </w:t>
      </w:r>
    </w:p>
    <w:p>
      <w:pPr>
        <w:pStyle w:val="TextBody"/>
        <w:spacing w:lineRule="auto" w:line="288"/>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(a)Employment with the Company is for no specific period of time. Your employment with the Company is “at will,” meaning that either you or the Company may terminate your employment at any time and for </w:t>
      </w:r>
      <w:r>
        <w:br w:type="page"/>
      </w:r>
    </w:p>
    <w:p>
      <w:pPr>
        <w:pStyle w:val="TextBody"/>
        <w:spacing w:before="0" w:after="16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6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reason, with or without Cause and with or without advance notice.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CEO. </w:t>
      </w:r>
    </w:p>
    <w:p>
      <w:pPr>
        <w:pStyle w:val="TextBody"/>
        <w:spacing w:before="0" w:after="0"/>
        <w:jc w:val="both"/>
        <w:rPr/>
      </w:pPr>
      <w:r>
        <w:rPr/>
      </w:r>
    </w:p>
    <w:p>
      <w:pPr>
        <w:pStyle w:val="TextBody"/>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 an additional benefit to you, if : (1) Opendoor Technologies, Inc. consummates a Change in Control (as defined in the Plan); and (2) your employment is terminated without Cause or if you resign from the Company for Good Reason, in either case in connection with or within 12 months after such Change in Control, then effective as of your employment termination date, 100% of your then remaining unvested RSU Grant and other equity awards granted to you in the future that are subject to service-based vesting conditions shall become fully vested as to service. </w:t>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(c)In the event your employment is terminated without Cause or you resign for Good Reason prior to the first anniversary of the Start Date, then, effective as of your employment termination date, 1/3 of the RSUs subject to the RSU Grant shall vest.</w:t>
      </w:r>
    </w:p>
    <w:p>
      <w:pPr>
        <w:pStyle w:val="TextBody"/>
        <w:spacing w:before="0" w:after="0"/>
        <w:ind w:left="0" w:right="0" w:firstLine="144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(d)The acceleration of vesting provided in subsections (b) and (c) above is conditioned upon: (1) you continuing to comply with your obligations under this Agreement and your Confidentiality Agreement; and (2) you signing, delivering to the Company, and allowing to become effective a general release of claims in favor of the Company in a form provided by the Company within the applicable time period set forth therein. </w:t>
      </w:r>
    </w:p>
    <w:p>
      <w:pPr>
        <w:pStyle w:val="TextBody"/>
        <w:spacing w:before="0" w:after="0"/>
        <w:jc w:val="both"/>
        <w:rPr/>
      </w:pPr>
      <w:r>
        <w:rPr/>
      </w:r>
    </w:p>
    <w:p>
      <w:pPr>
        <w:pStyle w:val="TextBody"/>
        <w:spacing w:lineRule="auto" w:line="288" w:before="0" w:after="240"/>
        <w:ind w:left="0" w:right="0" w:firstLine="1440"/>
        <w:jc w:val="both"/>
        <w:rPr/>
      </w:pPr>
      <w:r>
        <w:rPr>
          <w:rFonts w:ascii="Times New Roman;sans-serif" w:hAnsi="Times New Roman;sans-serif"/>
          <w:b w:val="false"/>
          <w:color w:val="000000"/>
          <w:sz w:val="22"/>
        </w:rPr>
        <w:t>(e)For purposes of this Agreement, “</w:t>
      </w:r>
      <w:r>
        <w:rPr>
          <w:rFonts w:ascii="Times New Roman;sans-serif" w:hAnsi="Times New Roman;sans-serif"/>
          <w:b w:val="false"/>
          <w:color w:val="000000"/>
          <w:sz w:val="22"/>
          <w:u w:val="single"/>
        </w:rPr>
        <w:t>Cause</w:t>
      </w:r>
      <w:r>
        <w:rPr>
          <w:color w:val="000000"/>
        </w:rPr>
        <w:t xml:space="preserve">” </w:t>
      </w:r>
      <w:r>
        <w:rPr>
          <w:rFonts w:ascii="Times New Roman;sans-serif" w:hAnsi="Times New Roman;sans-serif"/>
          <w:b w:val="false"/>
          <w:color w:val="000000"/>
          <w:sz w:val="22"/>
        </w:rPr>
        <w:t xml:space="preserve">means any of the following: (1) any material breach by you of this Agreement, the Confidentiality Agreement or any material written policy of the Company and, if curable, your failure to cure such breach within 30 days after receiving written notice thereof; (2) intentional repeated willful misconduct or gross neglect of your duties and your failure to cure, if curable, such condition within 30 days after receiving written notice thereof; (3) your willful repeated failure to follow reasonable and lawful instructions from the Board of Directors of the Company or the CEO, and your failure to cure, if curable, such condition within 30 days after receiving written notice thereof; (4) your conviction of, or plea of guilty or nolo contendere to, any crime that results in, or is reasonably expected to result in, material harm to the business or reputation of the Company; (5) your commission of or participation in an act of fraud against the Company; or (6) your intentional material damage to the Company’s business, property or reputation. </w:t>
      </w:r>
    </w:p>
    <w:p>
      <w:pPr>
        <w:pStyle w:val="TextBody"/>
        <w:spacing w:lineRule="auto" w:line="288" w:before="0" w:after="0"/>
        <w:ind w:left="0" w:right="0" w:firstLine="1440"/>
        <w:jc w:val="both"/>
        <w:rPr/>
      </w:pPr>
      <w:r>
        <w:rPr>
          <w:rFonts w:ascii="Times New Roman;sans-serif" w:hAnsi="Times New Roman;sans-serif"/>
          <w:b w:val="false"/>
          <w:color w:val="000000"/>
          <w:sz w:val="22"/>
        </w:rPr>
        <w:t>(f)For purposes of this Agreement, “</w:t>
      </w:r>
      <w:r>
        <w:rPr>
          <w:rFonts w:ascii="Times New Roman;sans-serif" w:hAnsi="Times New Roman;sans-serif"/>
          <w:b w:val="false"/>
          <w:color w:val="000000"/>
          <w:sz w:val="22"/>
          <w:u w:val="single"/>
        </w:rPr>
        <w:t>Good Reason</w:t>
      </w:r>
      <w:r>
        <w:rPr>
          <w:color w:val="000000"/>
        </w:rPr>
        <w:t xml:space="preserve">” </w:t>
      </w:r>
      <w:r>
        <w:rPr>
          <w:rFonts w:ascii="Times New Roman;sans-serif" w:hAnsi="Times New Roman;sans-serif"/>
          <w:b w:val="false"/>
          <w:color w:val="000000"/>
          <w:sz w:val="22"/>
        </w:rPr>
        <w:t xml:space="preserve">means the occurrence of any of the following without your prior written consent: (1) a material reduction in your job responsibilities, duties or authority (provided that a mere change in title to a position that is substantially similar to the prior position held shall not constitute a material reduction in job responsibilities, duties or authority); (2) a change in your reporting requirements so that you no longer report solely to the person serving as the chief executive officer of the Company and/or the Company's Board of Directors (provided that a change in reporting structure such that you report primarily to such chief executive officer and/or Board of Directors of the Company following a Change in Control shall not constitute a change in your reporting requirements under this clause); (3) a material reduction in your base salary unless such reduction is in connection with and proportional to the base salary reductions of the other members of the management team and such reduction does not exceed 15% of your base salary; (4) the material breach of this Agreement or the Confidentiality Agreement by the Company; or (5) the requirement by the Company that you transfer your place of employment to a location that is outside of the greater New York City Area. In order to resign for Good Reason, you must provide written notice to the CEO within 30 days after the initial existence of the condition allegedly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 </w:t>
      </w:r>
    </w:p>
    <w:p>
      <w:pPr>
        <w:pStyle w:val="TextBody"/>
        <w:spacing w:before="0" w:after="0"/>
        <w:jc w:val="both"/>
        <w:rPr/>
      </w:pPr>
      <w:r>
        <w:rPr/>
      </w:r>
      <w:r>
        <w:br w:type="page"/>
      </w:r>
    </w:p>
    <w:p>
      <w:pPr>
        <w:pStyle w:val="TextBody"/>
        <w:spacing w:before="0" w:after="16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41045"/>
                <wp:effectExtent l="0" t="0" r="0" b="0"/>
                <wp:wrapNone/>
                <wp:docPr id="54" name="Frame54"/>
                <a:graphic xmlns:a="http://schemas.openxmlformats.org/drawingml/2006/main">
                  <a:graphicData uri="http://schemas.microsoft.com/office/word/2010/wordprocessingShape">
                    <wps:wsp>
                      <wps:cNvSpPr txBox="1"/>
                      <wps:spPr>
                        <a:xfrm>
                          <a:off x="0" y="0"/>
                          <a:ext cx="6480175" cy="741045"/>
                        </a:xfrm>
                        <a:prstGeom prst="rect"/>
                      </wps:spPr>
                      <wps:txb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481.35pt;mso-position-horizontal:left;mso-position-horizontal-relative:text">
                <v:textbo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88" w:before="0" w:after="238"/>
        <w:ind w:left="0" w:right="0" w:firstLine="720"/>
        <w:jc w:val="both"/>
        <w:rPr/>
      </w:pPr>
      <w:r>
        <w:rPr>
          <w:rFonts w:ascii="Times New Roman;sans-serif" w:hAnsi="Times New Roman;sans-serif"/>
          <w:b/>
          <w:color w:val="000000"/>
          <w:sz w:val="22"/>
        </w:rPr>
        <w:t>9.</w:t>
      </w:r>
      <w:r>
        <w:rPr>
          <w:rFonts w:ascii="Times New Roman;sans-serif" w:hAnsi="Times New Roman;sans-serif"/>
          <w:b/>
          <w:color w:val="000000"/>
          <w:sz w:val="22"/>
          <w:u w:val="single"/>
        </w:rPr>
        <w:t>Outside Activities</w:t>
      </w:r>
      <w:r>
        <w:rPr>
          <w:rFonts w:ascii="Times New Roman;sans-serif" w:hAnsi="Times New Roman;sans-serif"/>
          <w:b/>
          <w:color w:val="000000"/>
          <w:sz w:val="22"/>
        </w:rPr>
        <w:t xml:space="preserve">. </w:t>
      </w:r>
      <w:r>
        <w:rPr>
          <w:rFonts w:ascii="Times New Roman;sans-serif" w:hAnsi="Times New Roman;sans-serif"/>
          <w:b w:val="false"/>
          <w:color w:val="000000"/>
          <w:sz w:val="22"/>
        </w:rPr>
        <w:t>Throughout your employment with the Company, you may engage in civic and not-for-profit activities so long as such activities do not materially interfere with the performance of your duties hereunder.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and you may passively invest in hedge funds, mutual funds, private equity funds and similar funds. Nothing in this Agreement shall prohibit or restrict you from managing your personal investments in companies that are not competitive with the Company or engaging in civic, charitable, religious or political activities, sitting on a non-profit, professional, or industry boards, or conducting personal speaking or educational engagements, in each case provided such endeavors do not materially interfere with your obligations under this Agreement. Additionally, you may serve on the board of directors of one other for-profit entity that does not compete with the Company, subject to the prior written approval of the Board of Directors, which approval shall not be unreasonably withheld.</w:t>
      </w:r>
    </w:p>
    <w:p>
      <w:pPr>
        <w:pStyle w:val="TextBody"/>
        <w:spacing w:lineRule="auto" w:line="288" w:before="0" w:after="261"/>
        <w:ind w:left="0" w:right="0" w:firstLine="720"/>
        <w:jc w:val="both"/>
        <w:rPr/>
      </w:pPr>
      <w:r>
        <w:rPr>
          <w:rFonts w:ascii="Times New Roman;sans-serif" w:hAnsi="Times New Roman;sans-serif"/>
          <w:b/>
          <w:color w:val="000000"/>
          <w:sz w:val="22"/>
        </w:rPr>
        <w:t>10.</w:t>
      </w:r>
      <w:r>
        <w:rPr>
          <w:rFonts w:ascii="Times New Roman;sans-serif" w:hAnsi="Times New Roman;sans-serif"/>
          <w:b/>
          <w:color w:val="000000"/>
          <w:sz w:val="22"/>
          <w:u w:val="single"/>
        </w:rPr>
        <w:t>Return of Company Property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Within five days following the termination of your employment for any reason (or earlier if requested by the Company), you must return to the Company all Company documents (and all copies thereof) and other Company property in your possession, custody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or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You also must provide the Company all passwords, log-ins, administrative access, and any other information or access for and relating to any Company computer or other device that you have used to access or use the Company’s network, as well as any Company database or Company accounts with third parties which you established, administered, or to which you had access, and must terminate your access to such network and accounts and otherwise comply with any Company requests regarding all such access and accounts. In addition, if you have used any personal computer, server, or email system to receive, store, review, prepare or transmit any confidential or proprietary data, materials or information of the Company, then within five days after your termination of employment (or earlier if requested by the Company) you must provide the Company with a computer-useable copy of such information and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If requested, you shall deliver to the Company a signed statement certifying compliance with this section. You may however keep documents evidencing your terms of employment, equity holdings and grants, and compensation, and any list of contact information that you may have personally brought to the Company consistent with your obligations to comply with the Confidentiality restrictions of your previous employer, without violation of this section. </w:t>
      </w:r>
    </w:p>
    <w:p>
      <w:pPr>
        <w:pStyle w:val="TextBody"/>
        <w:spacing w:lineRule="auto" w:line="288" w:before="0" w:after="253"/>
        <w:ind w:left="0" w:right="0" w:firstLine="720"/>
        <w:jc w:val="both"/>
        <w:rPr/>
      </w:pPr>
      <w:r>
        <w:rPr>
          <w:rFonts w:ascii="Times New Roman;sans-serif" w:hAnsi="Times New Roman;sans-serif"/>
          <w:b/>
          <w:color w:val="000000"/>
          <w:sz w:val="22"/>
        </w:rPr>
        <w:t>11.</w:t>
      </w:r>
      <w:r>
        <w:rPr>
          <w:rFonts w:ascii="Times New Roman;sans-serif" w:hAnsi="Times New Roman;sans-serif"/>
          <w:b/>
          <w:color w:val="000000"/>
          <w:sz w:val="22"/>
          <w:u w:val="single"/>
        </w:rPr>
        <w:t>Miscellaneous</w:t>
      </w:r>
      <w:r>
        <w:rPr>
          <w:rFonts w:ascii="Times New Roman;sans-serif" w:hAnsi="Times New Roman;sans-serif"/>
          <w:b w:val="false"/>
          <w:color w:val="000000"/>
          <w:sz w:val="22"/>
        </w:rPr>
        <w:t xml:space="preserve">. </w:t>
      </w:r>
    </w:p>
    <w:p>
      <w:pPr>
        <w:pStyle w:val="TextBody"/>
        <w:spacing w:lineRule="auto" w:line="288"/>
        <w:ind w:left="0" w:right="0" w:firstLine="144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Background Check and Proof of Right to Work</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This offer is contingent upon a satisfactory reference check and satisfactory proof of your right to work in the United States. If the Company informs you that you are required to complete a background check or drug test, this offer is contingent upon satisfactory </w:t>
      </w:r>
      <w:r>
        <w:br w:type="page"/>
      </w:r>
    </w:p>
    <w:p>
      <w:pPr>
        <w:pStyle w:val="TextBody"/>
        <w:spacing w:before="0" w:after="16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6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clearance of such background check and/or drug test. You agree to assist as needed and to complete any documentation at the Company’s request to meet these conditions. </w:t>
      </w:r>
    </w:p>
    <w:p>
      <w:pPr>
        <w:pStyle w:val="TextBody"/>
        <w:spacing w:before="0" w:after="0"/>
        <w:jc w:val="both"/>
        <w:rPr/>
      </w:pPr>
      <w:r>
        <w:rPr/>
      </w:r>
    </w:p>
    <w:p>
      <w:pPr>
        <w:pStyle w:val="TextBody"/>
        <w:spacing w:lineRule="auto" w:line="288" w:before="0" w:after="238"/>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Governing Law</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validity, interpretation, construction and performance of this Agreement, and all acts and transactions pursuant hereto and the rights and obligations of the parties hereto shall be governed, construed and interpreted in accordance with the laws of state of New York, without giving effect to principles of conflicts of law. </w:t>
      </w:r>
    </w:p>
    <w:p>
      <w:pPr>
        <w:pStyle w:val="TextBody"/>
        <w:spacing w:lineRule="auto" w:line="288" w:before="0" w:after="238"/>
        <w:ind w:left="0" w:right="0" w:firstLine="144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Entire Agreement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You acknowledge and agree that as of your execution of this Agreement, your sole entitlement to any compensation or benefits from the Company will be as set forth in this Agreement. This Agreement, together with the Confidentiality Agreement, the Indemnification Agreement (as defined below) and your governing equity documents,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representative of the Company and by you. </w:t>
      </w:r>
    </w:p>
    <w:p>
      <w:pPr>
        <w:pStyle w:val="TextBody"/>
        <w:spacing w:lineRule="auto" w:line="288" w:before="24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Counterparts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 </w:t>
      </w:r>
    </w:p>
    <w:p>
      <w:pPr>
        <w:pStyle w:val="TextBody"/>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Successors and Assigns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This Agreement will bind the heirs, personal representatives, successors and assigns of both you and the Company, and inure to the benefit of both you and the Company, their heirs, successors and assigns. </w:t>
      </w:r>
    </w:p>
    <w:p>
      <w:pPr>
        <w:pStyle w:val="TextBody"/>
        <w:spacing w:lineRule="auto" w:line="30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Severability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w:t>
      </w:r>
    </w:p>
    <w:p>
      <w:pPr>
        <w:pStyle w:val="TextBody"/>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color w:val="000000"/>
          <w:sz w:val="22"/>
          <w:u w:val="single"/>
        </w:rPr>
        <w:t>Waiver</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Any waiver of a breach of this Agreement, or rights hereunder, shall be in writing and shall not be deemed to be a waiver of any successive breach or rights hereunder. </w:t>
      </w:r>
    </w:p>
    <w:p>
      <w:pPr>
        <w:pStyle w:val="TextBody"/>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color w:val="000000"/>
          <w:sz w:val="22"/>
          <w:u w:val="single"/>
        </w:rPr>
        <w:t>Electronic Delivery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 </w:t>
      </w:r>
    </w:p>
    <w:p>
      <w:pPr>
        <w:pStyle w:val="TextBody"/>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color w:val="000000"/>
          <w:sz w:val="22"/>
          <w:u w:val="single"/>
        </w:rPr>
        <w:t>Arbitration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You agree that any and all disputes relating to or regarding your employment, including disputes regarding compensation and any and all other conflicts, shall be resolved pursuant to the Federal Arbitration Act, 9 U.S.C. § 1-16 (“</w:t>
      </w:r>
      <w:r>
        <w:rPr>
          <w:rFonts w:ascii="Times New Roman;sans-serif" w:hAnsi="Times New Roman;sans-serif"/>
          <w:b w:val="false"/>
          <w:color w:val="000000"/>
          <w:sz w:val="22"/>
          <w:u w:val="single"/>
        </w:rPr>
        <w:t>FAA</w:t>
      </w:r>
      <w:r>
        <w:rPr>
          <w:color w:val="000000"/>
        </w:rPr>
        <w:t>”</w:t>
      </w:r>
      <w:r>
        <w:rPr>
          <w:rFonts w:ascii="Times New Roman;sans-serif" w:hAnsi="Times New Roman;sans-serif"/>
          <w:b w:val="false"/>
          <w:color w:val="000000"/>
          <w:sz w:val="22"/>
        </w:rPr>
        <w:t>), to the fullest extent permitted by law, by final and binding arbitration. You further agree that such disputes shall be resolved on an individual basis only, and not on a class, collective or representative basis on behalf of other employees (“</w:t>
      </w:r>
      <w:r>
        <w:rPr>
          <w:rFonts w:ascii="Times New Roman;sans-serif" w:hAnsi="Times New Roman;sans-serif"/>
          <w:b w:val="false"/>
          <w:color w:val="000000"/>
          <w:sz w:val="22"/>
          <w:u w:val="single"/>
        </w:rPr>
        <w:t>Class Waiver</w:t>
      </w:r>
      <w:r>
        <w:rPr>
          <w:color w:val="000000"/>
        </w:rPr>
        <w:t>”</w:t>
      </w:r>
      <w:r>
        <w:rPr>
          <w:rFonts w:ascii="Times New Roman;sans-serif" w:hAnsi="Times New Roman;sans-serif"/>
          <w:b w:val="false"/>
          <w:color w:val="000000"/>
          <w:sz w:val="22"/>
        </w:rPr>
        <w:t xml:space="preserve">),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Arbitration section shall not apply to an action or claim brought in court that </w:t>
      </w:r>
      <w:r>
        <w:br w:type="page"/>
      </w:r>
    </w:p>
    <w:p>
      <w:pPr>
        <w:pStyle w:val="TextBody"/>
        <w:spacing w:before="0" w:after="16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1045"/>
                <wp:effectExtent l="0" t="0" r="0" b="0"/>
                <wp:wrapNone/>
                <wp:docPr id="56" name="Frame56"/>
                <a:graphic xmlns:a="http://schemas.openxmlformats.org/drawingml/2006/main">
                  <a:graphicData uri="http://schemas.microsoft.com/office/word/2010/wordprocessingShape">
                    <wps:wsp>
                      <wps:cNvSpPr txBox="1"/>
                      <wps:spPr>
                        <a:xfrm>
                          <a:off x="0" y="0"/>
                          <a:ext cx="6480175" cy="741045"/>
                        </a:xfrm>
                        <a:prstGeom prst="rect"/>
                      </wps:spPr>
                      <wps:txb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481.35pt;mso-position-horizontal:left;mso-position-horizontal-relative:text">
                <v:textbox>
                  <w:txbxContent>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343" w:before="0" w:after="0"/>
                              <w:jc w:val="left"/>
                              <w:rPr>
                                <w:rFonts w:ascii="Arial;sans-serif" w:hAnsi="Arial;sans-serif"/>
                                <w:b w:val="false"/>
                                <w:color w:val="000000"/>
                                <w:sz w:val="14"/>
                              </w:rPr>
                            </w:pPr>
                            <w:r>
                              <w:rPr>
                                <w:rFonts w:ascii="Arial;sans-serif" w:hAnsi="Arial;sans-serif"/>
                                <w:b w:val="false"/>
                                <w:color w:val="000000"/>
                                <w:sz w:val="14"/>
                              </w:rPr>
                              <w:t>271220342 v7</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cannot be subject to mandatory arbitration as a matter of law, including without limitation, claims alleging sexual harassment or a nonconsensual sexual action or sexual contact, to the extent any such claims are not permitted by applicable law to be submitted to mandatory arbitration and such applicable law is not preempted by the FAA or otherwise invalid (the “</w:t>
      </w:r>
      <w:r>
        <w:rPr>
          <w:rFonts w:ascii="Times New Roman;sans-serif" w:hAnsi="Times New Roman;sans-serif"/>
          <w:b w:val="false"/>
          <w:color w:val="000000"/>
          <w:sz w:val="22"/>
          <w:u w:val="single"/>
        </w:rPr>
        <w:t>Excluded Claims</w:t>
      </w:r>
      <w:r>
        <w:rPr>
          <w:color w:val="000000"/>
        </w:rPr>
        <w:t>”</w:t>
      </w:r>
      <w:r>
        <w:rPr>
          <w:rFonts w:ascii="Times New Roman;sans-serif" w:hAnsi="Times New Roman;sans-serif"/>
          <w:b w:val="false"/>
          <w:color w:val="000000"/>
          <w:sz w:val="22"/>
        </w:rPr>
        <w:t>). In the event you intend to bring multiple claims, including one of the Excluded Claims listed above, the Excluded Claims may be filed with a court, while any other claims will remain subject to mandatory arbitration. You and the Company agree to bring any dispute in arbitration before a single neutral arbitrator with JAMS, Inc. or its successor (“</w:t>
      </w:r>
      <w:r>
        <w:rPr>
          <w:rFonts w:ascii="Times New Roman;sans-serif" w:hAnsi="Times New Roman;sans-serif"/>
          <w:b w:val="false"/>
          <w:color w:val="000000"/>
          <w:sz w:val="22"/>
          <w:u w:val="single"/>
        </w:rPr>
        <w:t>JAMS</w:t>
      </w:r>
      <w:r>
        <w:rPr>
          <w:color w:val="000000"/>
        </w:rPr>
        <w:t>”</w:t>
      </w:r>
      <w:r>
        <w:rPr>
          <w:rFonts w:ascii="Times New Roman;sans-serif" w:hAnsi="Times New Roman;sans-serif"/>
          <w:b w:val="false"/>
          <w:color w:val="000000"/>
          <w:sz w:val="22"/>
        </w:rPr>
        <w:t xml:space="preserve">), in San Francisco, California or in the county of your residence if it is not in San Francisco at the time of the commencement of an arbitration proceeding, pursuant to the JAMS Employment Rules &amp; Procedures (which can currently be reviewed at </w:t>
      </w:r>
      <w:r>
        <w:rPr>
          <w:rFonts w:ascii="Times New Roman;sans-serif" w:hAnsi="Times New Roman;sans-serif"/>
          <w:b w:val="false"/>
          <w:color w:val="0000FF"/>
          <w:sz w:val="22"/>
          <w:u w:val="single"/>
        </w:rPr>
        <w:t>http://www.jamsadr.com/rules-employment-arbitration/</w:t>
      </w:r>
      <w:r>
        <w:rPr>
          <w:rFonts w:ascii="Times New Roman;sans-serif" w:hAnsi="Times New Roman;sans-serif"/>
          <w:b w:val="false"/>
          <w:color w:val="000000"/>
          <w:sz w:val="22"/>
        </w:rPr>
        <w:t xml:space="preserve">). You on the one hand, and the Company on the other, waive any rights to a jury trial or a bench trial in connection with the resolution of any dispute under this Agreement or your employment (although both parties may seek interim emergency relief from a court to prevent irreparable harm pending the conclusion of any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You and the Company shall equally share all JAMS’ arbitration fees, or such fees shall be paid in such other manner to the extent required by, and in accordance with, applicable law to effectuate your and the Company’s agreement to arbitrate.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Confidentiality Agreement.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Arbitration is not a mandatory condition of your employment. If you wish to opt out of this arbitration agreement, you must notify the Company in writing by sending an email to </w:t>
      </w:r>
      <w:r>
        <w:rPr>
          <w:rFonts w:ascii="Times New Roman;sans-serif" w:hAnsi="Times New Roman;sans-serif"/>
          <w:b w:val="false"/>
          <w:color w:val="0000FF"/>
          <w:sz w:val="22"/>
          <w:u w:val="single"/>
        </w:rPr>
        <w:t>hr@opendoor.com</w:t>
      </w:r>
      <w:r>
        <w:rPr>
          <w:color w:val="000000"/>
        </w:rPr>
        <w:t xml:space="preserve"> </w:t>
      </w:r>
      <w:r>
        <w:rPr>
          <w:rFonts w:ascii="Times New Roman;sans-serif" w:hAnsi="Times New Roman;sans-serif"/>
          <w:b w:val="false"/>
          <w:color w:val="000000"/>
          <w:sz w:val="22"/>
        </w:rPr>
        <w:t xml:space="preserve">stating your intent to opt out within 30 days of signing this Agreement. </w:t>
      </w:r>
    </w:p>
    <w:p>
      <w:pPr>
        <w:pStyle w:val="TextBody"/>
        <w:spacing w:lineRule="auto" w:line="288" w:before="0" w:after="10"/>
        <w:ind w:left="0" w:right="0" w:firstLine="1440"/>
        <w:jc w:val="both"/>
        <w:rPr/>
      </w:pPr>
      <w:r>
        <w:rPr>
          <w:rFonts w:ascii="Times New Roman;sans-serif" w:hAnsi="Times New Roman;sans-serif"/>
          <w:b w:val="false"/>
          <w:color w:val="000000"/>
          <w:sz w:val="22"/>
        </w:rPr>
        <w:t>(j)</w:t>
      </w:r>
      <w:r>
        <w:rPr>
          <w:rFonts w:ascii="Times New Roman;sans-serif" w:hAnsi="Times New Roman;sans-serif"/>
          <w:b/>
          <w:color w:val="000000"/>
          <w:sz w:val="22"/>
          <w:u w:val="single"/>
        </w:rPr>
        <w:t>Indemnification</w:t>
      </w:r>
      <w:r>
        <w:rPr>
          <w:rFonts w:ascii="Times New Roman;sans-serif" w:hAnsi="Times New Roman;sans-serif"/>
          <w:b w:val="false"/>
          <w:color w:val="000000"/>
          <w:sz w:val="22"/>
        </w:rPr>
        <w:t>. During your employment you shall be subject to and covered by a written indemnification agreement between you and the Company in the form provided by the Company (the “</w:t>
      </w:r>
      <w:r>
        <w:rPr>
          <w:rFonts w:ascii="Times New Roman;sans-serif" w:hAnsi="Times New Roman;sans-serif"/>
          <w:b w:val="false"/>
          <w:color w:val="000000"/>
          <w:sz w:val="22"/>
          <w:u w:val="single"/>
        </w:rPr>
        <w:t>Indemnification Agreement</w:t>
      </w:r>
      <w:r>
        <w:rPr>
          <w:color w:val="000000"/>
        </w:rPr>
        <w:t>”</w:t>
      </w:r>
      <w:r>
        <w:rPr>
          <w:rFonts w:ascii="Times New Roman;sans-serif" w:hAnsi="Times New Roman;sans-serif"/>
          <w:b w:val="false"/>
          <w:color w:val="000000"/>
          <w:sz w:val="22"/>
        </w:rPr>
        <w:t xml:space="preserve">). </w:t>
      </w:r>
    </w:p>
    <w:p>
      <w:pPr>
        <w:pStyle w:val="TextBody"/>
        <w:spacing w:before="0" w:after="10"/>
        <w:jc w:val="both"/>
        <w:rPr/>
      </w:pPr>
      <w:r>
        <w:rPr/>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indicate your acceptance of the Company’s offer of employment, please sign and date this Agreement and the enclosed Confidentiality Agreement in the space provided below and return them to me within five business days of the date of this letter. </w:t>
      </w:r>
    </w:p>
    <w:p>
      <w:pPr>
        <w:pStyle w:val="TextBody"/>
        <w:spacing w:before="0" w:after="2"/>
        <w:jc w:val="both"/>
        <w:rPr/>
      </w:pPr>
      <w:r>
        <w:rPr/>
      </w:r>
    </w:p>
    <w:tbl>
      <w:tblPr>
        <w:tblW w:w="3890" w:type="dxa"/>
        <w:jc w:val="left"/>
        <w:tblInd w:w="0" w:type="dxa"/>
        <w:tblCellMar>
          <w:top w:w="28" w:type="dxa"/>
          <w:left w:w="28" w:type="dxa"/>
          <w:bottom w:w="28" w:type="dxa"/>
          <w:right w:w="28" w:type="dxa"/>
        </w:tblCellMar>
      </w:tblPr>
      <w:tblGrid>
        <w:gridCol w:w="124"/>
        <w:gridCol w:w="109"/>
        <w:gridCol w:w="109"/>
        <w:gridCol w:w="393"/>
        <w:gridCol w:w="393"/>
        <w:gridCol w:w="393"/>
        <w:gridCol w:w="694"/>
        <w:gridCol w:w="694"/>
        <w:gridCol w:w="9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OPENDOOR LABS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Eric Wu</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Eric Wu</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tbl>
      <w:tblPr>
        <w:tblW w:w="3729" w:type="dxa"/>
        <w:jc w:val="left"/>
        <w:tblInd w:w="0" w:type="dxa"/>
        <w:tblCellMar>
          <w:top w:w="28" w:type="dxa"/>
          <w:left w:w="28" w:type="dxa"/>
          <w:bottom w:w="28" w:type="dxa"/>
          <w:right w:w="28" w:type="dxa"/>
        </w:tblCellMar>
      </w:tblPr>
      <w:tblGrid>
        <w:gridCol w:w="1098"/>
        <w:gridCol w:w="965"/>
        <w:gridCol w:w="967"/>
        <w:gridCol w:w="109"/>
        <w:gridCol w:w="109"/>
        <w:gridCol w:w="109"/>
        <w:gridCol w:w="109"/>
        <w:gridCol w:w="109"/>
        <w:gridCol w:w="154"/>
      </w:tblGrid>
      <w:tr>
        <w:trPr/>
        <w:tc>
          <w:tcPr>
            <w:tcW w:w="109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ACCEPTED AND AGREED: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Sydney Schaub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Sydney Schaub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rPr/>
                      </w:pPr>
                      <w:r>
                        <w:rPr/>
                      </w:r>
                    </w:p>
                  </w:txbxContent>
                </v:textbox>
              </v:rect>
            </w:pict>
          </mc:Fallback>
        </mc:AlternateContent>
      </w:r>
    </w:p>
    <w:p>
      <w:pPr>
        <w:pStyle w:val="TextBody"/>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Carrie Wheeler,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Opendoor Technologies,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08" w:type="dxa"/>
        <w:jc w:val="left"/>
        <w:tblInd w:w="0" w:type="dxa"/>
        <w:tblCellMar>
          <w:top w:w="28" w:type="dxa"/>
          <w:left w:w="28" w:type="dxa"/>
          <w:bottom w:w="28" w:type="dxa"/>
          <w:right w:w="28" w:type="dxa"/>
        </w:tblCellMar>
      </w:tblPr>
      <w:tblGrid>
        <w:gridCol w:w="200"/>
        <w:gridCol w:w="177"/>
        <w:gridCol w:w="178"/>
        <w:gridCol w:w="414"/>
        <w:gridCol w:w="414"/>
        <w:gridCol w:w="417"/>
        <w:gridCol w:w="134"/>
        <w:gridCol w:w="134"/>
        <w:gridCol w:w="136"/>
        <w:gridCol w:w="733"/>
        <w:gridCol w:w="733"/>
        <w:gridCol w:w="103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0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INTERIM CHIEF FINANCIAL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Christina Schwartz,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Opendoor Technologies,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73" w:type="dxa"/>
        <w:jc w:val="left"/>
        <w:tblInd w:w="0" w:type="dxa"/>
        <w:tblCellMar>
          <w:top w:w="28" w:type="dxa"/>
          <w:left w:w="28" w:type="dxa"/>
          <w:bottom w:w="28" w:type="dxa"/>
          <w:right w:w="28" w:type="dxa"/>
        </w:tblCellMar>
      </w:tblPr>
      <w:tblGrid>
        <w:gridCol w:w="200"/>
        <w:gridCol w:w="177"/>
        <w:gridCol w:w="178"/>
        <w:gridCol w:w="414"/>
        <w:gridCol w:w="414"/>
        <w:gridCol w:w="417"/>
        <w:gridCol w:w="134"/>
        <w:gridCol w:w="134"/>
        <w:gridCol w:w="136"/>
        <w:gridCol w:w="1131"/>
        <w:gridCol w:w="1131"/>
        <w:gridCol w:w="160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86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INTERIM CHIEF FINANCIAL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Opendoor Technologies Inc. (the “Company”) for the period ended March 31, 2023 as filed with the Securities and Exchange Commission on the date hereof (the “Report”), the undersigned, Carrie Wheeler, Chief Executive Officer of the Company, and Christina Schwartz, Interim Chief Financial Officer of the Company, each certifies, pursuant to 18 U.S.C. Section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6013" w:type="dxa"/>
        <w:jc w:val="left"/>
        <w:tblInd w:w="0" w:type="dxa"/>
        <w:tblCellMar>
          <w:top w:w="28" w:type="dxa"/>
          <w:left w:w="28" w:type="dxa"/>
          <w:bottom w:w="28" w:type="dxa"/>
          <w:right w:w="28" w:type="dxa"/>
        </w:tblCellMar>
      </w:tblPr>
      <w:tblGrid>
        <w:gridCol w:w="200"/>
        <w:gridCol w:w="177"/>
        <w:gridCol w:w="178"/>
        <w:gridCol w:w="414"/>
        <w:gridCol w:w="414"/>
        <w:gridCol w:w="417"/>
        <w:gridCol w:w="134"/>
        <w:gridCol w:w="134"/>
        <w:gridCol w:w="136"/>
        <w:gridCol w:w="1115"/>
        <w:gridCol w:w="1115"/>
        <w:gridCol w:w="157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04,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1169/000110465920105791/tm2030935d1_ex2-1.htm" TargetMode="External"/><Relationship Id="rId3" Type="http://schemas.openxmlformats.org/officeDocument/2006/relationships/hyperlink" Target="http://www.sec.gov/Archives/edgar/data/1801169/000110465920137517/tm2038661d2_ex3-1.htm" TargetMode="External"/><Relationship Id="rId4" Type="http://schemas.openxmlformats.org/officeDocument/2006/relationships/hyperlink" Target="https://www.sec.gov/Archives/edgar/data/1801169/000119312523013575/d386352dex31.htm" TargetMode="External"/><Relationship Id="rId5" Type="http://schemas.openxmlformats.org/officeDocument/2006/relationships/hyperlink" Target="http://www.sec.gov/Archives/edgar/data/1801169/000110465920122215/tm2030455d5_ex4-5.htm" TargetMode="External"/><Relationship Id="rId6" Type="http://schemas.openxmlformats.org/officeDocument/2006/relationships/hyperlink" Target="https://www.sec.gov/Archives/edgar/data/1801169/000180116922000079/exhibit992opendoor-warra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28704</Words>
  <CharactersWithSpaces>185544</CharactersWithSpaces>
  <Paragraphs>3213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