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795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79527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1">
              <w:r>
                <w:rPr>
                  <w:rFonts w:ascii="Times New Roman" w:cs="Times New Roman" w:eastAsia="Times New Roman" w:hAnsi="Times New Roman"/>
                  <w:sz w:val="17"/>
                  <w:szCs w:val="17"/>
                  <w:color w:val="0000EE"/>
                  <w:w w:val="96"/>
                </w:rPr>
                <w:t>ALFRED MICHAEL</w:t>
              </w:r>
            </w:hyperlink>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bottom w:val="single" w:sz="8" w:color="0000EE"/>
            </w:tcBorders>
            <w:gridSpan w:val="2"/>
            <w:vMerge w:val="continue"/>
          </w:tcPr>
          <w:p>
            <w:pPr>
              <w:spacing w:after="0"/>
              <w:rPr>
                <w:sz w:val="9"/>
                <w:szCs w:val="9"/>
                <w:color w:val="auto"/>
              </w:rPr>
            </w:pPr>
          </w:p>
        </w:tc>
        <w:tc>
          <w:tcPr>
            <w:tcW w:w="600" w:type="dxa"/>
            <w:vAlign w:val="bottom"/>
            <w:vMerge w:val="restart"/>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10/29/2026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6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0"/>
                <w:szCs w:val="10"/>
                <w:color w:val="auto"/>
              </w:rPr>
              <w:t>(Last)</w:t>
            </w:r>
          </w:p>
        </w:tc>
        <w:tc>
          <w:tcPr>
            <w:tcW w:w="138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Opendoor Technologies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OPEN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Foreign Trading Symbol</w:t>
      </w:r>
    </w:p>
    <w:p>
      <w:pPr>
        <w:spacing w:after="0" w:line="330"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3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1295 WEST WASHINGTON STREET, SUITE 115</w:t>
      </w:r>
    </w:p>
    <w:p>
      <w:pPr>
        <w:spacing w:after="0" w:line="274"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31" w:lineRule="exact"/>
        <w:rPr>
          <w:sz w:val="24"/>
          <w:szCs w:val="24"/>
          <w:color w:val="auto"/>
        </w:rPr>
      </w:pPr>
    </w:p>
    <w:p>
      <w:pPr>
        <w:ind w:left="100"/>
        <w:spacing w:after="0"/>
        <w:tabs>
          <w:tab w:leader="none" w:pos="1140" w:val="left"/>
          <w:tab w:leader="none" w:pos="2180" w:val="left"/>
        </w:tabs>
        <w:rPr>
          <w:sz w:val="20"/>
          <w:szCs w:val="20"/>
          <w:color w:val="auto"/>
        </w:rPr>
      </w:pPr>
      <w:r>
        <w:rPr>
          <w:rFonts w:ascii="Times New Roman" w:cs="Times New Roman" w:eastAsia="Times New Roman" w:hAnsi="Times New Roman"/>
          <w:sz w:val="13"/>
          <w:szCs w:val="13"/>
          <w:color w:val="0000FF"/>
        </w:rPr>
        <w:t>TEMPE</w:t>
      </w:r>
      <w:r>
        <w:rPr>
          <w:sz w:val="20"/>
          <w:szCs w:val="20"/>
          <w:color w:val="auto"/>
        </w:rPr>
        <w:tab/>
      </w:r>
      <w:r>
        <w:rPr>
          <w:rFonts w:ascii="Times New Roman" w:cs="Times New Roman" w:eastAsia="Times New Roman" w:hAnsi="Times New Roman"/>
          <w:sz w:val="13"/>
          <w:szCs w:val="13"/>
          <w:color w:val="0000FF"/>
        </w:rPr>
        <w:t>AZ</w:t>
      </w:r>
      <w:r>
        <w:rPr>
          <w:sz w:val="20"/>
          <w:szCs w:val="20"/>
          <w:color w:val="auto"/>
        </w:rPr>
        <w:tab/>
      </w:r>
      <w:r>
        <w:rPr>
          <w:rFonts w:ascii="Times New Roman" w:cs="Times New Roman" w:eastAsia="Times New Roman" w:hAnsi="Times New Roman"/>
          <w:sz w:val="13"/>
          <w:szCs w:val="13"/>
          <w:color w:val="0000FF"/>
        </w:rPr>
        <w:t>85288</w:t>
      </w:r>
    </w:p>
    <w:p>
      <w:pPr>
        <w:spacing w:after="0" w:line="20" w:lineRule="exact"/>
        <w:rPr>
          <w:sz w:val="24"/>
          <w:szCs w:val="24"/>
          <w:color w:val="auto"/>
        </w:rPr>
      </w:pPr>
      <w:r>
        <w:rPr>
          <w:sz w:val="24"/>
          <w:szCs w:val="24"/>
          <w:color w:val="auto"/>
        </w:rPr>
        <w:br w:type="column"/>
      </w:r>
    </w:p>
    <w:p>
      <w:pPr>
        <w:ind w:left="-7" w:right="880" w:firstLine="7"/>
        <w:spacing w:after="0" w:line="281"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4"/>
          <w:szCs w:val="24"/>
          <w:color w:val="auto"/>
        </w:rPr>
      </w:pP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16"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200"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27"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20" w:type="dxa"/>
            <w:vAlign w:val="bottom"/>
            <w:tcBorders>
              <w:bottom w:val="single" w:sz="8" w:color="2C2C2C"/>
            </w:tcBorders>
          </w:tcPr>
          <w:p>
            <w:pPr>
              <w:jc w:val="right"/>
              <w:ind w:right="904"/>
              <w:spacing w:after="0"/>
              <w:rPr>
                <w:sz w:val="20"/>
                <w:szCs w:val="20"/>
                <w:color w:val="auto"/>
              </w:rPr>
            </w:pPr>
            <w:r>
              <w:rPr>
                <w:rFonts w:ascii="Times New Roman" w:cs="Times New Roman" w:eastAsia="Times New Roman" w:hAnsi="Times New Roman"/>
                <w:sz w:val="13"/>
                <w:szCs w:val="13"/>
                <w:color w:val="0000FF"/>
              </w:rPr>
              <w:t>7,000,000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164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3"/>
                <w:szCs w:val="13"/>
                <w:color w:val="0000FF"/>
              </w:rPr>
              <w:t>By: Alpine Fox LP</w:t>
            </w:r>
            <w:r>
              <w:rPr>
                <w:rFonts w:ascii="Times New Roman" w:cs="Times New Roman" w:eastAsia="Times New Roman" w:hAnsi="Times New Roman"/>
                <w:sz w:val="17"/>
                <w:szCs w:val="17"/>
                <w:color w:val="008000"/>
                <w:vertAlign w:val="superscript"/>
              </w:rPr>
              <w:t>(1)</w:t>
            </w:r>
          </w:p>
        </w:tc>
        <w:tc>
          <w:tcPr>
            <w:tcW w:w="16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160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20" w:type="dxa"/>
            <w:vAlign w:val="bottom"/>
            <w:gridSpan w:val="2"/>
          </w:tcPr>
          <w:p>
            <w:pPr>
              <w:ind w:left="6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92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92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92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the basis of the Reporting Person's relationship with Alpine Fox LP, the Reporting Person may be deemed a beneficial owner of the Issuer's common stock held by Alpine Fox LP. The Reporting Person disclaims beneficial ownership of the shares of the Issuer's common stock held by Alpine Fox LP, except to the extent of his pecuniary interest therein.</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Rishi Kotiya, Attorney-in-fact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w w:val="97"/>
              </w:rPr>
              <w:t>11/02/2026</w:t>
            </w:r>
          </w:p>
        </w:tc>
      </w:tr>
      <w:tr>
        <w:trPr>
          <w:trHeight w:val="178"/>
        </w:trPr>
        <w:tc>
          <w:tcPr>
            <w:tcW w:w="6580" w:type="dxa"/>
            <w:vAlign w:val="bottom"/>
          </w:tcPr>
          <w:p>
            <w:pPr>
              <w:spacing w:after="0"/>
              <w:rPr>
                <w:sz w:val="15"/>
                <w:szCs w:val="15"/>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5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85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9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816739" TargetMode="External"/><Relationship Id="rId12"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2026-11-02T15:33:51Z</dcterms:created>
  <dcterms:modified xsi:type="dcterms:W3CDTF">2026-11-02T15:33:51Z</dcterms:modified>
</cp:coreProperties>
</file>