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2026</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Opendoor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001-39253</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30-1318214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60" w:space="720"/>
            <w:col w:w="2840" w:space="720"/>
            <w:col w:w="2500"/>
          </w:cols>
          <w:pgMar w:left="320" w:top="516" w:right="339" w:bottom="1440" w:gutter="0" w:footer="0" w:header="0"/>
          <w:type w:val="continuous"/>
        </w:sectPr>
      </w:pPr>
    </w:p>
    <w:p>
      <w:pPr>
        <w:spacing w:after="0" w:line="3"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1295 West Washington Street, Suite 115</w:t>
      </w:r>
    </w:p>
    <w:p>
      <w:pPr>
        <w:spacing w:after="0" w:line="43"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Tempe, AZ</w:t>
      </w:r>
    </w:p>
    <w:p>
      <w:pPr>
        <w:spacing w:after="0" w:line="9"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85288</w:t>
      </w:r>
    </w:p>
    <w:p>
      <w:pPr>
        <w:spacing w:after="0" w:line="31" w:lineRule="exact"/>
        <w:rPr>
          <w:sz w:val="24"/>
          <w:szCs w:val="24"/>
          <w:color w:val="auto"/>
        </w:rPr>
      </w:pPr>
    </w:p>
    <w:p>
      <w:pPr>
        <w:jc w:val="center"/>
        <w:ind w:right="314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6600" w:space="720"/>
            <w:col w:w="39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618-6760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10"/>
        </w:trPr>
        <w:tc>
          <w:tcPr>
            <w:tcW w:w="5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59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OPEN</w:t>
            </w:r>
          </w:p>
        </w:tc>
        <w:tc>
          <w:tcPr>
            <w:tcW w:w="60" w:type="dxa"/>
            <w:vAlign w:val="bottom"/>
          </w:tcPr>
          <w:p>
            <w:pPr>
              <w:spacing w:after="0"/>
              <w:rPr>
                <w:sz w:val="17"/>
                <w:szCs w:val="17"/>
                <w:color w:val="auto"/>
              </w:rPr>
            </w:pPr>
          </w:p>
        </w:tc>
        <w:tc>
          <w:tcPr>
            <w:tcW w:w="3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Series K Warrants, each whole warrant exercisable to purchase one share of</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common stock at an exercise price of $9.00 per warrant</w:t>
            </w: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OPENW</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Series A Warrants, each whole warrant exercisable to purchase one share of</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at an exercise price of $13.00 per warrant</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OPENL</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Series Z Warrants, each whole warrant exercisable to purchase one share of</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34"/>
        </w:trPr>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at an exercise price of $17.00 per warrant</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OPENZ</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212529"/>
        </w:rPr>
        <w:t>Departure of Directors or Certain Officers; Election of Directors; Appointment of Certain Officers; Compensatory Arrangements of Certain Officers.</w:t>
      </w:r>
    </w:p>
    <w:p>
      <w:pPr>
        <w:spacing w:after="0" w:line="157" w:lineRule="exact"/>
        <w:rPr>
          <w:sz w:val="20"/>
          <w:szCs w:val="20"/>
          <w:color w:val="auto"/>
        </w:rPr>
      </w:pPr>
    </w:p>
    <w:p>
      <w:pPr>
        <w:sectPr>
          <w:pgSz w:w="11900" w:h="16838" w:orient="portrait"/>
          <w:cols w:equalWidth="0" w:num="2">
            <w:col w:w="760" w:space="700"/>
            <w:col w:w="978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28, 2026, the Board of Directors (the “Board”) of Opendoor Technologies Inc. (the “Company”) approved the appointment of Michael Alfred to the Board, effective as of October 29, 2026. Mr. Alfred was appointed as a Class I director for a term expiring at the Company’s 2027 annual meeting of stockholders. Mr. Alfred was also appointed to the Nominating and Corporate Governance Committee of the Board, effective as of October 29, 2026. The Board has determined that Mr. Alfred is independent under the listing standards of the Nasdaq Stock Market. Mr. Alfred will be compensated for his service as a director on the same basis as other non-employee directors of the Company, as described in the Company’s definitive proxy statement for its 2026 annual meeting of stockholders, filed with the Securities and Exchange Commission on April 28, 2026. Mr. Alfred was granted 45,268 restricted stock units under the Company’s 2020 Incentive Award Plan in connection with his appointment, representing a prorated annual equity award, which will vest in full on the date of the Company’s 2027 annual meeting of stockholders, subject to his continued service. In connection with his appointment, Mr. Alfred has entered into the Company’s standard form of indemnification agreement for directors and officers.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Alfred is the Founder and Managing Partner of Alpine Fox LP, a private investment partnership focused on value equities and Bitcoin, which he founded in January 2023. He has served on the board of directors of IREN Limited (Nasdaq: IREN), an AI data center developer and Bitcoin miner, since October 2021, and of Bakkt Holdings, Inc. (NYSE: BKKT), a digital payments and financial infrastructure company, since September 2025. From January 2018 until its sale to New York Digital Investment Group LLC in November 2020, Mr. Alfred served as co-founder and Chief Executive Officer of Digital Assets Data, Inc., a financial technology and data company building enterprise-grade software and data feeds for the digital asset ecosystem. From October 2016 to January 2018, Mr. Alfred was a Managing Director and member of the executive committee of Strategic Insight, Inc., a provider of data and software to the global asset management industry. Before that, he co-founded and served as Chief Executive Officer of BrightScope, Inc., a financial information company, from February 2008 until its acquisition by Strategic Insight in October 2016. Mr. Alfred has served as an advisor to the Chief Executive Officer of Amenify Corporation, a real estate technology company, since July 2020. He also serves on the boards of directors of Eaglebrook Advisors, Inc., a digital asset management platform for financial advisors, and Wealthie Inc., a home equity management platform, both privately held. Mr. Alfred holds a B.A. in History from Stanford University.</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Alfred and any other person pursuant to which he was selected as a director, and there are no transactions in which Mr. Alfred has an interest that would require disclosure under Item 404(a) of Regulation S-K.</w:t>
      </w:r>
    </w:p>
    <w:p>
      <w:pPr>
        <w:spacing w:after="0" w:line="15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October 29, 2026, the Company issued a press release announcing the director appointment. A copy of the press release is attached hereto as Exhibit 99.1.</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10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dated October 29,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(Cover page XBRL tags are embedded within the Inline XBRL document)</w:t>
            </w:r>
          </w:p>
        </w:tc>
      </w:tr>
      <w:tr>
        <w:trPr>
          <w:trHeight w:val="557"/>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gridSpan w:val="2"/>
          </w:tcPr>
          <w:p>
            <w:pPr>
              <w:ind w:left="434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Kaz Nejatian</w:t>
            </w:r>
          </w:p>
        </w:tc>
      </w:tr>
      <w:tr>
        <w:trPr>
          <w:trHeight w:val="198"/>
        </w:trPr>
        <w:tc>
          <w:tcPr>
            <w:tcW w:w="3640" w:type="dxa"/>
            <w:vAlign w:val="bottom"/>
          </w:tcPr>
          <w:p>
            <w:pPr>
              <w:spacing w:after="0"/>
              <w:rPr>
                <w:sz w:val="17"/>
                <w:szCs w:val="17"/>
                <w:color w:val="auto"/>
              </w:rPr>
            </w:pPr>
          </w:p>
        </w:tc>
        <w:tc>
          <w:tcPr>
            <w:tcW w:w="2560" w:type="dxa"/>
            <w:vAlign w:val="bottom"/>
          </w:tcPr>
          <w:p>
            <w:pPr>
              <w:ind w:left="20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Kaz Nejatian</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98"/>
        </w:trPr>
        <w:tc>
          <w:tcPr>
            <w:tcW w:w="3640" w:type="dxa"/>
            <w:vAlign w:val="bottom"/>
          </w:tcPr>
          <w:p>
            <w:pPr>
              <w:spacing w:after="0"/>
              <w:rPr>
                <w:sz w:val="24"/>
                <w:szCs w:val="24"/>
                <w:color w:val="auto"/>
              </w:rPr>
            </w:pPr>
          </w:p>
        </w:tc>
        <w:tc>
          <w:tcPr>
            <w:tcW w:w="256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3</w:t>
            </w:r>
          </w:p>
        </w:tc>
        <w:tc>
          <w:tcPr>
            <w:tcW w:w="5040" w:type="dxa"/>
            <w:vAlign w:val="bottom"/>
          </w:tcPr>
          <w:p>
            <w:pPr>
              <w:spacing w:after="0"/>
              <w:rPr>
                <w:sz w:val="24"/>
                <w:szCs w:val="24"/>
                <w:color w:val="auto"/>
              </w:rPr>
            </w:pPr>
          </w:p>
        </w:tc>
      </w:tr>
      <w:tr>
        <w:trPr>
          <w:trHeight w:val="84"/>
        </w:trPr>
        <w:tc>
          <w:tcPr>
            <w:tcW w:w="364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Mike Alfred joins Opendoor Board of Directors</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FRANCISCO, OCTOBER 29, 2026 – </w:t>
      </w:r>
      <w:r>
        <w:rPr>
          <w:rFonts w:ascii="Times New Roman" w:cs="Times New Roman" w:eastAsia="Times New Roman" w:hAnsi="Times New Roman"/>
          <w:sz w:val="18"/>
          <w:szCs w:val="18"/>
          <w:color w:val="auto"/>
        </w:rPr>
        <w:t>Opendoor Technologies Inc. (“Opendoor”) (Nasdaq: OPEN), the e-commerce platform for residential 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today announced that Mike Alfred, Founder and Managing Partner of Alpine Fox LP, has been appointed to its Board of Directors (“Board”), effective immediately. Mr. Alfred will also serve on the Nominating and Corporate Governance Committee of the Board.</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“I’m excited to welcome Mike to our Board,” said Kaz Nejatian, Opendoor CEO, President and Board Director. “Mike is a builder who has founded and scaled technology companies, and he’s spent years as an investor thinking about how companies create long-term value. His perspective as an operator, investor and public company director will be incredibly valuable as we continue to make buying and selling a home simple and certain.”</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 honored to join Opendoor’s Board,” said Mr. Alfred. “Opendoor is tackling one of the largest and most important markets in the world. I look forward to working with Kaz, the Board and the management team to help build on the company’s momentum.”</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Alfred is the Founder and Managing Partner of Alpine Fox LP, a private investment partnership and a shareholder of Opendoor. He has served on the board of directors of IREN Limited (Nasdaq: IREN), an AI data center developer and Bitcoin miner, since 2021, and of Bakkt Holdings, Inc. (NYSE: BKKT) since 2025. Previously, Mr. Alfred co-founded and served as Chief Executive Officer of Digital Assets Data, Inc., a financial technology and data company serving the digital asset ecosystem, until its sale to New York Digital Investment Group in 2020. Before that, he co-founded and served as Chief Executive Officer of BrightScope, Inc., a financial information company, from 2008 until its acquisition by Strategic Insight, Inc. in 2016. He then served as a Managing Director and member of Strategic Insight’s executive committee. Mr. Alfred also advises the Chief Executive Officer of Amenify Corporation, a real estate technology company, and serves on the boards of the privately held companies Eaglebrook Advisors and Wealthie Inc. He holds a B.A. in History from Stanford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Opendoor</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Opendoor exists to tilt the world in favor of homeowners by making homeownership simpler, faster, and fairer for everyone. Since 2014, Opendoor has given people a more convenient, more certain way to buy and sell a home, whether they already own or are working hard to become homeowners. Opendoor currently operates in markets across the U.S. For more information, please visit www.opendoor.com.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investors@opendoor.com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Kaz on X @Nejatian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2026-10-29T06:08:41Z</dcterms:created>
  <dcterms:modified xsi:type="dcterms:W3CDTF">2026-10-29T06:08:41Z</dcterms:modified>
</cp:coreProperties>
</file>