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418465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385445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0" w:lineRule="exact"/>
        <w:rPr>
          <w:sz w:val="24"/>
          <w:szCs w:val="24"/>
          <w:color w:val="auto"/>
        </w:rPr>
      </w:pPr>
    </w:p>
    <w:p>
      <w:pPr>
        <w:ind w:left="320" w:right="2180" w:hanging="240"/>
        <w:spacing w:after="0" w:line="337" w:lineRule="auto"/>
        <w:tabs>
          <w:tab w:leader="none" w:pos="33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2" w:lineRule="exact"/>
        <w:rPr>
          <w:sz w:val="24"/>
          <w:szCs w:val="24"/>
          <w:color w:val="auto"/>
        </w:rPr>
      </w:pPr>
    </w:p>
    <w:p>
      <w:pPr>
        <w:ind w:left="320" w:right="2200" w:hanging="252"/>
        <w:spacing w:after="0" w:line="427" w:lineRule="auto"/>
        <w:tabs>
          <w:tab w:leader="none" w:pos="31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001-39253</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Opendoor Technologies Inc.</w:t>
      </w:r>
    </w:p>
    <w:p>
      <w:pPr>
        <w:sectPr>
          <w:pgSz w:w="11900" w:h="16838" w:orient="portrait"/>
          <w:cols w:equalWidth="0" w:num="1">
            <w:col w:w="11240"/>
          </w:cols>
          <w:pgMar w:left="320" w:top="239" w:right="339" w:bottom="1440" w:gutter="0" w:footer="0" w:header="0"/>
        </w:sectPr>
      </w:pPr>
    </w:p>
    <w:p>
      <w:pPr>
        <w:spacing w:after="0" w:line="287" w:lineRule="exact"/>
        <w:rPr>
          <w:sz w:val="24"/>
          <w:szCs w:val="24"/>
          <w:color w:val="auto"/>
        </w:rPr>
      </w:pPr>
    </w:p>
    <w:p>
      <w:pPr>
        <w:jc w:val="center"/>
        <w:ind w:left="12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118" w:lineRule="exact"/>
        <w:rPr>
          <w:sz w:val="24"/>
          <w:szCs w:val="24"/>
          <w:color w:val="auto"/>
        </w:rPr>
      </w:pPr>
    </w:p>
    <w:p>
      <w:pPr>
        <w:jc w:val="both"/>
        <w:ind w:left="1220" w:firstLine="36"/>
        <w:spacing w:after="0" w:line="318"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40" w:lineRule="exact"/>
        <w:rPr>
          <w:sz w:val="24"/>
          <w:szCs w:val="24"/>
          <w:color w:val="auto"/>
        </w:rPr>
      </w:pPr>
    </w:p>
    <w:p>
      <w:pPr>
        <w:jc w:val="center"/>
        <w:ind w:left="-2999"/>
        <w:spacing w:after="0"/>
        <w:rPr>
          <w:sz w:val="20"/>
          <w:szCs w:val="20"/>
          <w:color w:val="auto"/>
        </w:rPr>
      </w:pPr>
      <w:r>
        <w:rPr>
          <w:rFonts w:ascii="Times New Roman" w:cs="Times New Roman" w:eastAsia="Times New Roman" w:hAnsi="Times New Roman"/>
          <w:sz w:val="17"/>
          <w:szCs w:val="17"/>
          <w:b w:val="1"/>
          <w:bCs w:val="1"/>
          <w:color w:val="auto"/>
        </w:rPr>
        <w:t>30-1318214</w:t>
      </w:r>
    </w:p>
    <w:p>
      <w:pPr>
        <w:spacing w:after="0" w:line="66" w:lineRule="exact"/>
        <w:rPr>
          <w:sz w:val="24"/>
          <w:szCs w:val="24"/>
          <w:color w:val="auto"/>
        </w:rPr>
      </w:pPr>
    </w:p>
    <w:p>
      <w:pPr>
        <w:jc w:val="center"/>
        <w:ind w:left="-2999"/>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93" w:lineRule="exact"/>
        <w:rPr>
          <w:sz w:val="24"/>
          <w:szCs w:val="24"/>
          <w:color w:val="auto"/>
        </w:rPr>
      </w:pPr>
    </w:p>
    <w:p>
      <w:pPr>
        <w:sectPr>
          <w:pgSz w:w="11900" w:h="16838" w:orient="portrait"/>
          <w:cols w:equalWidth="0" w:num="2">
            <w:col w:w="3280" w:space="560"/>
            <w:col w:w="7400"/>
          </w:cols>
          <w:pgMar w:left="320" w:top="239" w:right="339" w:bottom="1440" w:gutter="0" w:footer="0" w:header="0"/>
          <w:type w:val="continuous"/>
        </w:sectPr>
      </w:pPr>
    </w:p>
    <w:p>
      <w:pPr>
        <w:ind w:left="580"/>
        <w:spacing w:after="0"/>
        <w:tabs>
          <w:tab w:leader="none" w:pos="2880" w:val="left"/>
        </w:tabs>
        <w:rPr>
          <w:sz w:val="20"/>
          <w:szCs w:val="20"/>
          <w:color w:val="auto"/>
        </w:rPr>
      </w:pPr>
      <w:r>
        <w:rPr>
          <w:rFonts w:ascii="Times New Roman" w:cs="Times New Roman" w:eastAsia="Times New Roman" w:hAnsi="Times New Roman"/>
          <w:sz w:val="17"/>
          <w:szCs w:val="17"/>
          <w:b w:val="1"/>
          <w:bCs w:val="1"/>
          <w:color w:val="auto"/>
        </w:rPr>
        <w:t>410 N. Scottsdale Road,</w:t>
      </w:r>
      <w:r>
        <w:rPr>
          <w:sz w:val="20"/>
          <w:szCs w:val="20"/>
          <w:color w:val="auto"/>
        </w:rPr>
        <w:tab/>
      </w:r>
      <w:r>
        <w:rPr>
          <w:rFonts w:ascii="Times New Roman" w:cs="Times New Roman" w:eastAsia="Times New Roman" w:hAnsi="Times New Roman"/>
          <w:sz w:val="17"/>
          <w:szCs w:val="17"/>
          <w:b w:val="1"/>
          <w:bCs w:val="1"/>
          <w:color w:val="auto"/>
        </w:rPr>
        <w:t>Suite 1600</w:t>
      </w:r>
    </w:p>
    <w:p>
      <w:pPr>
        <w:spacing w:after="0" w:line="62" w:lineRule="exact"/>
        <w:rPr>
          <w:sz w:val="24"/>
          <w:szCs w:val="24"/>
          <w:color w:val="auto"/>
        </w:rPr>
      </w:pPr>
    </w:p>
    <w:p>
      <w:pPr>
        <w:ind w:left="1700"/>
        <w:spacing w:after="0"/>
        <w:tabs>
          <w:tab w:leader="none" w:pos="8980" w:val="left"/>
        </w:tabs>
        <w:rPr>
          <w:sz w:val="20"/>
          <w:szCs w:val="20"/>
          <w:color w:val="auto"/>
        </w:rPr>
      </w:pPr>
      <w:r>
        <w:rPr>
          <w:rFonts w:ascii="Times New Roman" w:cs="Times New Roman" w:eastAsia="Times New Roman" w:hAnsi="Times New Roman"/>
          <w:sz w:val="17"/>
          <w:szCs w:val="17"/>
          <w:b w:val="1"/>
          <w:bCs w:val="1"/>
          <w:color w:val="auto"/>
        </w:rPr>
        <w:t>Tempe, AZ</w:t>
      </w:r>
      <w:r>
        <w:rPr>
          <w:sz w:val="20"/>
          <w:szCs w:val="20"/>
          <w:color w:val="auto"/>
        </w:rPr>
        <w:tab/>
      </w:r>
      <w:r>
        <w:rPr>
          <w:rFonts w:ascii="Times New Roman" w:cs="Times New Roman" w:eastAsia="Times New Roman" w:hAnsi="Times New Roman"/>
          <w:sz w:val="16"/>
          <w:szCs w:val="16"/>
          <w:b w:val="1"/>
          <w:bCs w:val="1"/>
          <w:color w:val="auto"/>
        </w:rPr>
        <w:t>85281</w:t>
      </w:r>
    </w:p>
    <w:p>
      <w:pPr>
        <w:spacing w:after="0" w:line="66" w:lineRule="exact"/>
        <w:rPr>
          <w:sz w:val="24"/>
          <w:szCs w:val="24"/>
          <w:color w:val="auto"/>
        </w:rPr>
      </w:pPr>
    </w:p>
    <w:p>
      <w:pPr>
        <w:ind w:left="840"/>
        <w:spacing w:after="0"/>
        <w:tabs>
          <w:tab w:leader="none" w:pos="8800" w:val="left"/>
        </w:tabs>
        <w:rPr>
          <w:sz w:val="20"/>
          <w:szCs w:val="20"/>
          <w:color w:val="auto"/>
        </w:rPr>
      </w:pPr>
      <w:r>
        <w:rPr>
          <w:rFonts w:ascii="Times New Roman" w:cs="Times New Roman" w:eastAsia="Times New Roman" w:hAnsi="Times New Roman"/>
          <w:sz w:val="17"/>
          <w:szCs w:val="17"/>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(480) 618-6760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8" w:lineRule="exact"/>
        <w:rPr>
          <w:sz w:val="24"/>
          <w:szCs w:val="24"/>
          <w:color w:val="auto"/>
        </w:rPr>
      </w:pPr>
    </w:p>
    <w:p>
      <w:pPr>
        <w:ind w:left="1620"/>
        <w:spacing w:after="0"/>
        <w:tabs>
          <w:tab w:leader="none" w:pos="4900" w:val="left"/>
          <w:tab w:leader="none" w:pos="736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66" w:lineRule="exact"/>
        <w:rPr>
          <w:sz w:val="24"/>
          <w:szCs w:val="24"/>
          <w:color w:val="auto"/>
        </w:rPr>
      </w:pPr>
    </w:p>
    <w:p>
      <w:pPr>
        <w:ind w:left="740"/>
        <w:spacing w:after="0"/>
        <w:tabs>
          <w:tab w:leader="none" w:pos="5360" w:val="left"/>
          <w:tab w:leader="none" w:pos="7860" w:val="left"/>
        </w:tabs>
        <w:rPr>
          <w:sz w:val="20"/>
          <w:szCs w:val="20"/>
          <w:color w:val="auto"/>
        </w:rPr>
      </w:pPr>
      <w:r>
        <w:rPr>
          <w:rFonts w:ascii="Times New Roman" w:cs="Times New Roman" w:eastAsia="Times New Roman" w:hAnsi="Times New Roman"/>
          <w:sz w:val="17"/>
          <w:szCs w:val="17"/>
          <w:color w:val="auto"/>
        </w:rPr>
        <w:t>Common stock, $0.0001 par value per share</w:t>
      </w:r>
      <w:r>
        <w:rPr>
          <w:sz w:val="20"/>
          <w:szCs w:val="20"/>
          <w:color w:val="auto"/>
        </w:rPr>
        <w:tab/>
      </w:r>
      <w:r>
        <w:rPr>
          <w:rFonts w:ascii="Times New Roman" w:cs="Times New Roman" w:eastAsia="Times New Roman" w:hAnsi="Times New Roman"/>
          <w:sz w:val="17"/>
          <w:szCs w:val="17"/>
          <w:color w:val="auto"/>
        </w:rPr>
        <w:t>OPEN</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230"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ind w:right="6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9"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Accelerated filer</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8"/>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30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1" w:lineRule="exact"/>
        <w:rPr>
          <w:sz w:val="24"/>
          <w:szCs w:val="24"/>
          <w:color w:val="auto"/>
        </w:rPr>
      </w:pPr>
    </w:p>
    <w:p>
      <w:pPr>
        <w:ind w:right="48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right="250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registrant’s common stock outstanding as of October 27, 2022 was approximately 634,202,431.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723900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114935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5"/>
        </w:trPr>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0" w:type="dxa"/>
            <w:vAlign w:val="bottom"/>
            <w:shd w:val="clear" w:color="auto" w:fill="CCEEFF"/>
          </w:tcPr>
          <w:p>
            <w:pPr>
              <w:spacing w:after="0"/>
              <w:rPr>
                <w:sz w:val="20"/>
                <w:szCs w:val="20"/>
                <w:color w:val="auto"/>
              </w:rPr>
            </w:pPr>
          </w:p>
        </w:tc>
        <w:tc>
          <w:tcPr>
            <w:tcW w:w="105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00" w:type="dxa"/>
            <w:vAlign w:val="bottom"/>
            <w:shd w:val="clear" w:color="auto" w:fill="CCEEFF"/>
          </w:tcPr>
          <w:p>
            <w:pPr>
              <w:spacing w:after="0"/>
              <w:rPr>
                <w:sz w:val="20"/>
                <w:szCs w:val="20"/>
                <w:color w:val="auto"/>
              </w:rPr>
            </w:pPr>
          </w:p>
        </w:tc>
      </w:tr>
      <w:tr>
        <w:trPr>
          <w:trHeight w:val="310"/>
        </w:trPr>
        <w:tc>
          <w:tcPr>
            <w:tcW w:w="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1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color w:val="auto"/>
              </w:rPr>
              <w:t>Financial Statements</w:t>
            </w:r>
          </w:p>
        </w:tc>
        <w:tc>
          <w:tcPr>
            <w:tcW w:w="75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Condensed Consolidated Statements of Comprehensive Loss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2"/>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Condensed Consolidated Statements of Changes in Shareholders’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2"/>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2"/>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3.</w:t>
            </w: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Item 4.</w:t>
            </w: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Controls and Procedures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45"/>
        </w:trPr>
        <w:tc>
          <w:tcPr>
            <w:tcW w:w="20" w:type="dxa"/>
            <w:vAlign w:val="bottom"/>
          </w:tcPr>
          <w:p>
            <w:pPr>
              <w:spacing w:after="0"/>
              <w:rPr>
                <w:sz w:val="21"/>
                <w:szCs w:val="21"/>
                <w:color w:val="auto"/>
              </w:rPr>
            </w:pPr>
          </w:p>
        </w:tc>
        <w:tc>
          <w:tcPr>
            <w:tcW w:w="27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9"/>
              </w:rPr>
              <w:t>PART II - OTHER INFORMATION</w:t>
            </w:r>
          </w:p>
        </w:tc>
        <w:tc>
          <w:tcPr>
            <w:tcW w:w="782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Item 1A.</w:t>
            </w: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Risk Factors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2"/>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Item 3.</w:t>
            </w: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2"/>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4.</w:t>
            </w: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Item 5.</w:t>
            </w: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Information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2"/>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6.</w:t>
            </w:r>
          </w:p>
        </w:tc>
        <w:tc>
          <w:tcPr>
            <w:tcW w:w="94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Signatures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1411"/>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-2545080</wp:posOffset>
            </wp:positionV>
            <wp:extent cx="6688455" cy="16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845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-4403725</wp:posOffset>
            </wp:positionV>
            <wp:extent cx="6688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8455" cy="825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firstLine="387"/>
        <w:spacing w:after="0" w:line="270" w:lineRule="auto"/>
        <w:rPr>
          <w:sz w:val="20"/>
          <w:szCs w:val="20"/>
          <w:color w:val="auto"/>
        </w:rPr>
      </w:pPr>
      <w:r>
        <w:rPr>
          <w:rFonts w:ascii="Times New Roman" w:cs="Times New Roman" w:eastAsia="Times New Roman" w:hAnsi="Times New Roman"/>
          <w:sz w:val="17"/>
          <w:szCs w:val="17"/>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1" w:lineRule="exact"/>
        <w:rPr>
          <w:sz w:val="20"/>
          <w:szCs w:val="20"/>
          <w:color w:val="auto"/>
        </w:rPr>
      </w:pPr>
    </w:p>
    <w:p>
      <w:pPr>
        <w:ind w:right="20" w:firstLine="387"/>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market opportunity and expansion and objectives of management for future operations, including our statements regarding the benefits and timing of the roll out of new markets, products, or technology; expected diversification of funding sources, are forward-looking statements. When used in this Quarterly Report on Form 10-Q,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175"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100" w:lineRule="exact"/>
        <w:rPr>
          <w:sz w:val="20"/>
          <w:szCs w:val="20"/>
          <w:color w:val="auto"/>
        </w:rPr>
      </w:pPr>
    </w:p>
    <w:p>
      <w:pPr>
        <w:ind w:left="620" w:hanging="23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public securities’ potential liquidity and trading;</w:t>
      </w:r>
    </w:p>
    <w:p>
      <w:pPr>
        <w:spacing w:after="0" w:line="27"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financing in the future;</w:t>
      </w:r>
    </w:p>
    <w:p>
      <w:pPr>
        <w:spacing w:after="0" w:line="10"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our officers, key employees or directors;</w:t>
      </w:r>
    </w:p>
    <w:p>
      <w:pPr>
        <w:spacing w:after="0" w:line="10"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and complexities with compliance related to such environment;</w:t>
      </w:r>
    </w:p>
    <w:p>
      <w:pPr>
        <w:spacing w:after="0" w:line="10"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relating to our business, operations and financial performance, including:</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general economic conditions;</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of the U.S. residential real estate industry;</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real estate assets and increased competition in the U.S. residential real estate industry;</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profitability;</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market share in our existing markets or any new markets we may enter;</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our growth effectively;</w:t>
      </w:r>
    </w:p>
    <w:p>
      <w:pPr>
        <w:spacing w:after="0" w:line="10" w:lineRule="exact"/>
        <w:rPr>
          <w:rFonts w:ascii="Times New Roman" w:cs="Times New Roman" w:eastAsia="Times New Roman" w:hAnsi="Times New Roman"/>
          <w:sz w:val="17"/>
          <w:szCs w:val="17"/>
          <w:color w:val="auto"/>
        </w:rPr>
      </w:pPr>
    </w:p>
    <w:p>
      <w:pPr>
        <w:ind w:left="860" w:right="200" w:hanging="238"/>
        <w:spacing w:after="0" w:line="253" w:lineRule="auto"/>
        <w:tabs>
          <w:tab w:leader="none" w:pos="85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sources of capital, including debt financing and securitization funding to finance our real estate inventories and other sources of capital to finance operations and growth;</w:t>
      </w: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enhance our products and brand, and to attract customers;</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develop and refine our technology platform, including our automated pricing and valuation technology;</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 effective system of internal controls over financial reporting; and</w:t>
      </w:r>
    </w:p>
    <w:p>
      <w:pPr>
        <w:spacing w:after="0" w:line="1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strategic relationships with third parties.</w:t>
      </w:r>
    </w:p>
    <w:p>
      <w:pPr>
        <w:spacing w:after="0" w:line="200" w:lineRule="exact"/>
        <w:rPr>
          <w:sz w:val="20"/>
          <w:szCs w:val="20"/>
          <w:color w:val="auto"/>
        </w:rPr>
      </w:pPr>
    </w:p>
    <w:p>
      <w:pPr>
        <w:ind w:right="280" w:firstLine="387"/>
        <w:spacing w:after="0" w:line="270" w:lineRule="auto"/>
        <w:rPr>
          <w:sz w:val="20"/>
          <w:szCs w:val="20"/>
          <w:color w:val="auto"/>
        </w:rPr>
      </w:pPr>
      <w:r>
        <w:rPr>
          <w:rFonts w:ascii="Times New Roman" w:cs="Times New Roman" w:eastAsia="Times New Roman" w:hAnsi="Times New Roman"/>
          <w:sz w:val="17"/>
          <w:szCs w:val="17"/>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5" w:lineRule="exact"/>
        <w:rPr>
          <w:sz w:val="20"/>
          <w:szCs w:val="20"/>
          <w:color w:val="auto"/>
        </w:rPr>
      </w:pPr>
    </w:p>
    <w:p>
      <w:pPr>
        <w:ind w:right="140" w:firstLine="387"/>
        <w:spacing w:after="0" w:line="264" w:lineRule="auto"/>
        <w:rPr>
          <w:sz w:val="20"/>
          <w:szCs w:val="20"/>
          <w:color w:val="auto"/>
        </w:rPr>
      </w:pPr>
      <w:r>
        <w:rPr>
          <w:rFonts w:ascii="Times New Roman" w:cs="Times New Roman" w:eastAsia="Times New Roman" w:hAnsi="Times New Roman"/>
          <w:sz w:val="17"/>
          <w:szCs w:val="17"/>
          <w:color w:val="auto"/>
        </w:rPr>
        <w:t>As a result of a number of known and unknown risks and uncertainties, including without limitation the important factors described in the “Risk Factors” section of this Quarterly Report on Form 10-Q and on Part I. Item 1A “ Risk Factors” in our Annual Report on Form 10-K for the year ended December 31, 2021 (the “Annual Report”),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(In millions, except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5"/>
        </w:trPr>
        <w:tc>
          <w:tcPr>
            <w:tcW w:w="82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Escrow receivable</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loans held for sale pledged under agreements to repurchase</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inventory, net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6,096</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 ($1 and $4 carried at fair value)</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7"/>
        </w:trPr>
        <w:tc>
          <w:tcPr>
            <w:tcW w:w="8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5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 Net</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 Net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09"/>
        </w:trPr>
        <w:tc>
          <w:tcPr>
            <w:tcW w:w="82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TOTAL ASSETS</w:t>
            </w:r>
          </w:p>
        </w:tc>
        <w:tc>
          <w:tcPr>
            <w:tcW w:w="500" w:type="dxa"/>
            <w:vAlign w:val="bottom"/>
            <w:vMerge w:val="restart"/>
          </w:tcPr>
          <w:p>
            <w:pPr>
              <w:jc w:val="right"/>
              <w:ind w:right="215"/>
              <w:spacing w:after="0"/>
              <w:rPr>
                <w:sz w:val="20"/>
                <w:szCs w:val="20"/>
                <w:color w:val="auto"/>
              </w:rPr>
            </w:pPr>
            <w:r>
              <w:rPr>
                <w:rFonts w:ascii="Times New Roman" w:cs="Times New Roman" w:eastAsia="Times New Roman" w:hAnsi="Times New Roman"/>
                <w:sz w:val="9"/>
                <w:szCs w:val="9"/>
                <w:color w:val="auto"/>
              </w:rPr>
              <w:t>(1)</w:t>
            </w:r>
          </w:p>
        </w:tc>
        <w:tc>
          <w:tcPr>
            <w:tcW w:w="1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9,784</w:t>
            </w:r>
          </w:p>
        </w:tc>
        <w:tc>
          <w:tcPr>
            <w:tcW w:w="80" w:type="dxa"/>
            <w:vAlign w:val="bottom"/>
          </w:tcPr>
          <w:p>
            <w:pPr>
              <w:spacing w:after="0"/>
              <w:rPr>
                <w:sz w:val="9"/>
                <w:szCs w:val="9"/>
                <w:color w:val="auto"/>
              </w:rPr>
            </w:pPr>
          </w:p>
        </w:tc>
        <w:tc>
          <w:tcPr>
            <w:tcW w:w="1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9,506</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8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6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5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Non-recourse asset-backed debt - current portion</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secured borrowings</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payable</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liabilities - current portion</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7"/>
        </w:trPr>
        <w:tc>
          <w:tcPr>
            <w:tcW w:w="8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 – Net of current portion</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SENIOR NOTES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 Net of current portion</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09"/>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rPr>
              <w:t>(2)</w:t>
            </w: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7,258</w:t>
            </w:r>
          </w:p>
        </w:tc>
        <w:tc>
          <w:tcPr>
            <w:tcW w:w="0" w:type="dxa"/>
            <w:vAlign w:val="bottom"/>
          </w:tcPr>
          <w:p>
            <w:pPr>
              <w:spacing w:after="0"/>
              <w:rPr>
                <w:sz w:val="1"/>
                <w:szCs w:val="1"/>
                <w:color w:val="auto"/>
              </w:rPr>
            </w:pPr>
          </w:p>
        </w:tc>
      </w:tr>
      <w:tr>
        <w:trPr>
          <w:trHeight w:val="68"/>
        </w:trPr>
        <w:tc>
          <w:tcPr>
            <w:tcW w:w="82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2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16)</w:t>
            </w: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Common stock, $0.0001 par value; 3,000,000,000 shares authorized; 632,513,135 and 616,026,565 shares issued, respectively; 632,513,135 and</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616,026,565 shares outstanding, respectively</w:t>
            </w: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35"/>
        </w:trPr>
        <w:tc>
          <w:tcPr>
            <w:tcW w:w="8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0" w:type="dxa"/>
            <w:vAlign w:val="bottom"/>
          </w:tcPr>
          <w:p>
            <w:pPr>
              <w:spacing w:after="0"/>
              <w:rPr>
                <w:sz w:val="1"/>
                <w:szCs w:val="1"/>
                <w:color w:val="auto"/>
              </w:rPr>
            </w:pPr>
          </w:p>
        </w:tc>
      </w:tr>
      <w:tr>
        <w:trPr>
          <w:trHeight w:val="184"/>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5"/>
        </w:trPr>
        <w:tc>
          <w:tcPr>
            <w:tcW w:w="82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205"/>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9,506</w:t>
            </w:r>
          </w:p>
        </w:tc>
        <w:tc>
          <w:tcPr>
            <w:tcW w:w="0" w:type="dxa"/>
            <w:vAlign w:val="bottom"/>
          </w:tcPr>
          <w:p>
            <w:pPr>
              <w:spacing w:after="0"/>
              <w:rPr>
                <w:sz w:val="1"/>
                <w:szCs w:val="1"/>
                <w:color w:val="auto"/>
              </w:rPr>
            </w:pPr>
          </w:p>
        </w:tc>
      </w:tr>
      <w:tr>
        <w:trPr>
          <w:trHeight w:val="26"/>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2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0" w:right="340" w:hanging="317"/>
        <w:spacing w:after="0" w:line="227" w:lineRule="auto"/>
        <w:tabs>
          <w:tab w:leader="none" w:pos="308"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consolidated assets at September 30, 2022 and December 31, 2021 include the following assets of certain variable interest entities (“VIEs”) that can only be used to settle the liabilities of those VIEs: Cash and cash equivalents, $2 and $9; Restricted cash, $1,744 and $838; Real estate inventory, net, $5,817 and $6,046; Escrow receivable, $114 and $78; Other current assets, $33 and $35; and Total assets of $7,710 and $7,006, respectively.</w:t>
      </w:r>
    </w:p>
    <w:p>
      <w:pPr>
        <w:spacing w:after="0" w:line="41" w:lineRule="exact"/>
        <w:rPr>
          <w:rFonts w:ascii="Times New Roman" w:cs="Times New Roman" w:eastAsia="Times New Roman" w:hAnsi="Times New Roman"/>
          <w:sz w:val="18"/>
          <w:szCs w:val="18"/>
          <w:color w:val="auto"/>
          <w:vertAlign w:val="superscript"/>
        </w:rPr>
      </w:pPr>
    </w:p>
    <w:p>
      <w:pPr>
        <w:jc w:val="both"/>
        <w:ind w:left="320" w:right="380" w:hanging="317"/>
        <w:spacing w:after="0" w:line="262" w:lineRule="auto"/>
        <w:tabs>
          <w:tab w:leader="none" w:pos="308"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Company’s consolidated liabilities at September 30, 2022 and December 31, 2021 include the following liabilities for which the VIE creditors do not have recourse to Opendoor: Accounts payable and other accrued liabilities, $71 and $59; Interest payable, $14 and $11; Current portion of non-recourse asset-backed debt, $3,372 and $4,240; Non-recourse asset-backed debt, net of current portion, $3,699 and $1,862; and Total liabilities, $7,156 and $6,172,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millions, except share amounts which are presented in thousands, and per share amounts)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9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5"/>
        </w:trPr>
        <w:tc>
          <w:tcPr>
            <w:tcW w:w="5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3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(LOSS)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1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3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25"/>
        </w:trPr>
        <w:tc>
          <w:tcPr>
            <w:tcW w:w="5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23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FAIR VALUE ADJUSTMENT</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3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(LOSS) INCOME –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3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shareholders: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0" w:type="dxa"/>
            <w:vAlign w:val="bottom"/>
          </w:tcPr>
          <w:p>
            <w:pPr>
              <w:spacing w:after="0"/>
              <w:rPr>
                <w:sz w:val="1"/>
                <w:szCs w:val="1"/>
                <w:color w:val="auto"/>
              </w:rPr>
            </w:pPr>
          </w:p>
        </w:tc>
      </w:tr>
      <w:tr>
        <w:trPr>
          <w:trHeight w:val="232"/>
        </w:trPr>
        <w:tc>
          <w:tcPr>
            <w:tcW w:w="5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629,535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603,389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624,581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585,854</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629,535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603,389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624,581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585,854</w:t>
            </w:r>
          </w:p>
        </w:tc>
        <w:tc>
          <w:tcPr>
            <w:tcW w:w="0" w:type="dxa"/>
            <w:vAlign w:val="bottom"/>
          </w:tcPr>
          <w:p>
            <w:pPr>
              <w:spacing w:after="0"/>
              <w:rPr>
                <w:sz w:val="1"/>
                <w:szCs w:val="1"/>
                <w:color w:val="auto"/>
              </w:rPr>
            </w:pPr>
          </w:p>
        </w:tc>
      </w:tr>
      <w:tr>
        <w:trPr>
          <w:trHeight w:val="25"/>
        </w:trPr>
        <w:tc>
          <w:tcPr>
            <w:tcW w:w="5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(In millions)</w:t>
      </w:r>
    </w:p>
    <w:p>
      <w:pPr>
        <w:spacing w:after="0" w:line="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Pr>
          <w:p>
            <w:pPr>
              <w:spacing w:after="0"/>
              <w:rPr>
                <w:sz w:val="14"/>
                <w:szCs w:val="14"/>
                <w:color w:val="auto"/>
              </w:rPr>
            </w:pPr>
          </w:p>
        </w:tc>
        <w:tc>
          <w:tcPr>
            <w:tcW w:w="22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2"/>
        </w:trPr>
        <w:tc>
          <w:tcPr>
            <w:tcW w:w="5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r>
      <w:tr>
        <w:trPr>
          <w:trHeight w:val="35"/>
        </w:trPr>
        <w:tc>
          <w:tcPr>
            <w:tcW w:w="58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7"/>
        </w:trPr>
        <w:tc>
          <w:tcPr>
            <w:tcW w:w="58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58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1"/>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860" w:type="dxa"/>
            <w:vAlign w:val="bottom"/>
            <w:tcBorders>
              <w:bottom w:val="single" w:sz="8" w:color="CCEEFF"/>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32"/>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
        </w:trPr>
        <w:tc>
          <w:tcPr>
            <w:tcW w:w="5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on marketable securities</w:t>
            </w:r>
          </w:p>
        </w:tc>
        <w:tc>
          <w:tcPr>
            <w:tcW w:w="8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86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0"/>
        </w:trPr>
        <w:tc>
          <w:tcPr>
            <w:tcW w:w="5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millions, except number of shares)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900" w:type="dxa"/>
            <w:vAlign w:val="bottom"/>
            <w:gridSpan w:val="3"/>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52"/>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21"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BALANCE-June 30,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627,033,133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4,414,922</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570,974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493,790</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35"/>
        </w:trPr>
        <w:tc>
          <w:tcPr>
            <w:tcW w:w="35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BALANCE–September 30,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632,513,135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0"/>
                <w:szCs w:val="10"/>
                <w:color w:val="auto"/>
              </w:rPr>
              <w:t>BALANCE–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5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9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900" w:type="dxa"/>
            <w:vAlign w:val="bottom"/>
            <w:gridSpan w:val="3"/>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52"/>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21"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616,026,565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142,445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12,957,946</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2,892,389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493,790</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35"/>
        </w:trPr>
        <w:tc>
          <w:tcPr>
            <w:tcW w:w="35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BALANCE–September 30,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632,513,135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millions, except number of shares)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21"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BALANCE-June 30,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593,838,919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0" w:type="dxa"/>
            <w:vAlign w:val="bottom"/>
          </w:tcPr>
          <w:p>
            <w:pPr>
              <w:spacing w:after="0"/>
              <w:rPr>
                <w:sz w:val="1"/>
                <w:szCs w:val="1"/>
                <w:color w:val="auto"/>
              </w:rPr>
            </w:pPr>
          </w:p>
        </w:tc>
      </w:tr>
      <w:tr>
        <w:trPr>
          <w:trHeight w:val="17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the February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2021 Offering</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318,929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2,812,297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upon exercise of warrants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7,695,674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2,549,414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Capped Calls related to the 2026 Notes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607,215,233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3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21"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540,714,692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7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the February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2021 Offering</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32,817,421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979,198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17,712,282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upon exercise of warrants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8,200,151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6,791,489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Capped Calls related to the 2026 Notes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35"/>
        </w:trPr>
        <w:tc>
          <w:tcPr>
            <w:tcW w:w="3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0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607,215,233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7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(In millions)</w:t>
      </w:r>
    </w:p>
    <w:p>
      <w:pPr>
        <w:spacing w:after="0" w:line="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(Unaudited)</w:t>
      </w:r>
    </w:p>
    <w:p>
      <w:pPr>
        <w:spacing w:after="0" w:line="200" w:lineRule="exact"/>
        <w:rPr>
          <w:sz w:val="20"/>
          <w:szCs w:val="20"/>
          <w:color w:val="auto"/>
        </w:rPr>
      </w:pPr>
    </w:p>
    <w:p>
      <w:pPr>
        <w:spacing w:after="0" w:line="373"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84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Adjustments to reconcile net loss to cash, cash equivalents, and restricted cash used in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 </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right of use asset</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Warrant fair value adjustment</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Gain on settlement of lease liabilities</w:t>
            </w:r>
          </w:p>
        </w:tc>
        <w:tc>
          <w:tcPr>
            <w:tcW w:w="8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Inventory valuation adjustment</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fair value of equity securities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fair value adjustments and loss on sale of mortgage loans held for sale</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Origination of mortgage loans held for sale</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sale and principal collections of mortgage loans held for sale</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Escrow receivable</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Real estate inventory</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(5,806)</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Interest payable</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4"/>
        </w:trPr>
        <w:tc>
          <w:tcPr>
            <w:tcW w:w="84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Lease liabilities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5"/>
        </w:trPr>
        <w:tc>
          <w:tcPr>
            <w:tcW w:w="84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2"/>
        </w:trPr>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(5,904)</w:t>
            </w:r>
          </w:p>
        </w:tc>
      </w:tr>
      <w:tr>
        <w:trPr>
          <w:trHeight w:val="16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8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sales, maturities, redemptions and paydowns of marketable securities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 of non-marketable equity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 of non-marketable equity securities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Capital returns from non-marketable equity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35"/>
        </w:trPr>
        <w:tc>
          <w:tcPr>
            <w:tcW w:w="84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2"/>
        </w:trPr>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64"/>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issuance of convertible senior notes, net of issuance costs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 of capped calls related to the convertible senior notes</w:t>
            </w:r>
          </w:p>
        </w:tc>
        <w:tc>
          <w:tcPr>
            <w:tcW w:w="8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issuance of common stock for ESPP</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warrant exercise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the February 2021 Offering</w:t>
            </w:r>
          </w:p>
        </w:tc>
        <w:tc>
          <w:tcPr>
            <w:tcW w:w="8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Issuance cost of common stock</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non-recourse asset-backed debt</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7,782</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Principal payments on non-recourse asset-backed debt</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other secured borrowings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Principal payments on other secured borrowings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of loan origination fees and debt issuance costs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5"/>
        </w:trPr>
        <w:tc>
          <w:tcPr>
            <w:tcW w:w="84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2"/>
        </w:trPr>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r>
      <w:tr>
        <w:trPr>
          <w:trHeight w:val="177"/>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207"/>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8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SUPPLEMENTAL DISCLOSURE OF CASH FLOW INFORMATION – Cash paid during the period for interest</w:t>
            </w: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4"/>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DISCLOSURES OF NONCASH ACTIVITIES: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8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4"/>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 expense capitalized for internally developed software</w:t>
            </w: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5"/>
        </w:trPr>
        <w:tc>
          <w:tcPr>
            <w:tcW w:w="84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7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(In millions)</w:t>
      </w:r>
    </w:p>
    <w:p>
      <w:pPr>
        <w:spacing w:after="0" w:line="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Issuance of common stock in extinguishment of warrant liabilities</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35"/>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9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RECONCILIATION TO CONDENSED CONSOLIDATED BALANCE SHEETS:</w:t>
            </w:r>
          </w:p>
        </w:tc>
        <w:tc>
          <w:tcPr>
            <w:tcW w:w="5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84"/>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35"/>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9"/>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Restricted cash</w:t>
            </w: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207"/>
        </w:trPr>
        <w:tc>
          <w:tcPr>
            <w:tcW w:w="8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5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23"/>
        </w:trPr>
        <w:tc>
          <w:tcPr>
            <w:tcW w:w="8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3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hanging="377"/>
        <w:spacing w:after="0"/>
        <w:tabs>
          <w:tab w:leader="none" w:pos="3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223" w:lineRule="exact"/>
        <w:rPr>
          <w:sz w:val="20"/>
          <w:szCs w:val="20"/>
          <w:color w:val="auto"/>
        </w:rPr>
      </w:pPr>
    </w:p>
    <w:p>
      <w:pPr>
        <w:ind w:right="60" w:firstLine="387"/>
        <w:spacing w:after="0" w:line="270" w:lineRule="auto"/>
        <w:rPr>
          <w:sz w:val="20"/>
          <w:szCs w:val="20"/>
          <w:color w:val="auto"/>
        </w:rPr>
      </w:pPr>
      <w:r>
        <w:rPr>
          <w:rFonts w:ascii="Times New Roman" w:cs="Times New Roman" w:eastAsia="Times New Roman" w:hAnsi="Times New Roman"/>
          <w:sz w:val="17"/>
          <w:szCs w:val="17"/>
          <w:color w:val="auto"/>
        </w:rPr>
        <w:t>Opendoor Technologies Inc. (the “Company” and “Opendoor”) including its consolidated subsidiaries and certain variable interest entities (“VIEs”), is a leading digital platform for residential real estate. By leveraging software, data science, product design and operations, Opendoor has rebuilt the service model for real estate and has made buying and selling possible on a mobile device. The Company was incorporated in Delaware on December 30, 2013.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23" w:lineRule="exact"/>
        <w:rPr>
          <w:sz w:val="20"/>
          <w:szCs w:val="20"/>
          <w:color w:val="auto"/>
        </w:rPr>
      </w:pPr>
    </w:p>
    <w:p>
      <w:pPr>
        <w:ind w:right="200" w:firstLine="387"/>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pursuant to generally accepted accounting principles in the United States of America (“GAAP”). The condensed consolidated financial statements as of September 30, 2022 and December 31, 2021 and for the three and nine month periods ended September 30, 2022 and 2021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intercompany accounts and transactions have been eliminated in the condensed consolidated financial statements herein. Certain prior period amounts in the condensed consolidated financial statements and accompanying notes have been reclassified to conform to the current period’s presentation.</w:t>
      </w:r>
    </w:p>
    <w:p>
      <w:pPr>
        <w:spacing w:after="0" w:line="179"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spacing w:after="0" w:line="175" w:lineRule="exact"/>
        <w:rPr>
          <w:sz w:val="20"/>
          <w:szCs w:val="20"/>
          <w:color w:val="auto"/>
        </w:rPr>
      </w:pPr>
    </w:p>
    <w:p>
      <w:pPr>
        <w:ind w:right="60" w:firstLine="387"/>
        <w:spacing w:after="0" w:line="270"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2021 (“Annual Report”) filed on February 24,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ind w:right="20" w:firstLine="387"/>
        <w:spacing w:after="0" w:line="25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the determination of the fair value of common stock, share-based awards, warrants,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Risks and Uncertainties</w:t>
      </w:r>
    </w:p>
    <w:p>
      <w:pPr>
        <w:spacing w:after="0" w:line="223" w:lineRule="exact"/>
        <w:rPr>
          <w:sz w:val="20"/>
          <w:szCs w:val="20"/>
          <w:color w:val="auto"/>
        </w:rPr>
      </w:pPr>
    </w:p>
    <w:p>
      <w:pPr>
        <w:ind w:right="180" w:firstLine="387"/>
        <w:spacing w:after="0" w:line="260" w:lineRule="auto"/>
        <w:rPr>
          <w:sz w:val="20"/>
          <w:szCs w:val="20"/>
          <w:color w:val="auto"/>
        </w:rPr>
      </w:pPr>
      <w:r>
        <w:rPr>
          <w:rFonts w:ascii="Times New Roman" w:cs="Times New Roman" w:eastAsia="Times New Roman" w:hAnsi="Times New Roman"/>
          <w:sz w:val="17"/>
          <w:szCs w:val="17"/>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changes in technology, products, markets or services by the Company or its competitors; its ability to maintain or establish relationships with listings and data providers; its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3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23" w:lineRule="exact"/>
        <w:rPr>
          <w:sz w:val="20"/>
          <w:szCs w:val="20"/>
          <w:color w:val="auto"/>
        </w:rPr>
      </w:pPr>
    </w:p>
    <w:p>
      <w:pPr>
        <w:ind w:right="40" w:firstLine="387"/>
        <w:spacing w:after="0" w:line="270"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consist primarily of cash and cash equivalents, restricted cash, and investments in marketable securities. The Company places cash and cash equivalents and investments with major financial institutions, which management assesses to be of high credit quality, in order to limit exposure of the Company’s investments.</w:t>
      </w:r>
    </w:p>
    <w:p>
      <w:pPr>
        <w:spacing w:after="0" w:line="161" w:lineRule="exact"/>
        <w:rPr>
          <w:sz w:val="20"/>
          <w:szCs w:val="20"/>
          <w:color w:val="auto"/>
        </w:rPr>
      </w:pPr>
    </w:p>
    <w:p>
      <w:pPr>
        <w:ind w:right="140" w:firstLine="387"/>
        <w:spacing w:after="0" w:line="272" w:lineRule="auto"/>
        <w:rPr>
          <w:sz w:val="20"/>
          <w:szCs w:val="20"/>
          <w:color w:val="auto"/>
        </w:rPr>
      </w:pPr>
      <w:r>
        <w:rPr>
          <w:rFonts w:ascii="Times New Roman" w:cs="Times New Roman" w:eastAsia="Times New Roman" w:hAnsi="Times New Roman"/>
          <w:sz w:val="17"/>
          <w:szCs w:val="17"/>
          <w:color w:val="auto"/>
        </w:rPr>
        <w:t xml:space="preserve">The Company’s significant accounting policies are discussed in </w:t>
      </w:r>
      <w:r>
        <w:rPr>
          <w:rFonts w:ascii="Times New Roman" w:cs="Times New Roman" w:eastAsia="Times New Roman" w:hAnsi="Times New Roman"/>
          <w:sz w:val="17"/>
          <w:szCs w:val="17"/>
          <w:i w:val="1"/>
          <w:iCs w:val="1"/>
          <w:color w:val="auto"/>
        </w:rPr>
        <w:t>“Part II – Item 8 – Financial Statements and Supplementary Data – Note 1. Description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Business and Accounting Policies” </w:t>
      </w:r>
      <w:r>
        <w:rPr>
          <w:rFonts w:ascii="Times New Roman" w:cs="Times New Roman" w:eastAsia="Times New Roman" w:hAnsi="Times New Roman"/>
          <w:sz w:val="17"/>
          <w:szCs w:val="17"/>
          <w:color w:val="auto"/>
        </w:rPr>
        <w:t>in the Annual Report. There have been no changes to these significant accounting policies for the nine month period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except as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223" w:lineRule="exact"/>
        <w:rPr>
          <w:sz w:val="20"/>
          <w:szCs w:val="20"/>
          <w:color w:val="auto"/>
        </w:rPr>
      </w:pPr>
    </w:p>
    <w:p>
      <w:pPr>
        <w:jc w:val="both"/>
        <w:ind w:right="280" w:firstLine="387"/>
        <w:spacing w:after="0" w:line="270" w:lineRule="auto"/>
        <w:rPr>
          <w:sz w:val="20"/>
          <w:szCs w:val="20"/>
          <w:color w:val="auto"/>
        </w:rPr>
      </w:pPr>
      <w:r>
        <w:rPr>
          <w:rFonts w:ascii="Times New Roman" w:cs="Times New Roman" w:eastAsia="Times New Roman" w:hAnsi="Times New Roman"/>
          <w:sz w:val="17"/>
          <w:szCs w:val="17"/>
          <w:color w:val="auto"/>
        </w:rPr>
        <w:t>The Company’s investments in marketable securities consist of debt securities classified as available-for-sale as well as marketable equity securities. The Company's available-for-sale debt securities are measured at fair value with unrealized gains and losses included in Accumulated other comprehensive loss in shareholders' equity and realized gains and losses included in Other (loss) income-net.</w:t>
      </w:r>
    </w:p>
    <w:p>
      <w:pPr>
        <w:spacing w:after="0" w:line="152" w:lineRule="exact"/>
        <w:rPr>
          <w:sz w:val="20"/>
          <w:szCs w:val="20"/>
          <w:color w:val="auto"/>
        </w:rPr>
      </w:pPr>
    </w:p>
    <w:p>
      <w:pPr>
        <w:ind w:right="300" w:firstLine="387"/>
        <w:spacing w:after="0" w:line="238" w:lineRule="auto"/>
        <w:rPr>
          <w:sz w:val="20"/>
          <w:szCs w:val="20"/>
          <w:color w:val="auto"/>
        </w:rPr>
      </w:pPr>
      <w:r>
        <w:rPr>
          <w:rFonts w:ascii="Times New Roman" w:cs="Times New Roman" w:eastAsia="Times New Roman" w:hAnsi="Times New Roman"/>
          <w:sz w:val="17"/>
          <w:szCs w:val="17"/>
          <w:color w:val="auto"/>
        </w:rPr>
        <w:t>The Company’s strategic investments consist of a marketable equity security, which is publicly traded, and non-marketable equity securities, which are investments in privately held companies. Marketable equity securities have readily determinable fair values with changes in fair value recorded in Other (loss) income-net. Non-marketable equity securities and equity method investments do not have readily determinable fair values. These securities are accounted for under one of the following accounting methods:</w:t>
      </w:r>
    </w:p>
    <w:p>
      <w:pPr>
        <w:spacing w:after="0" w:line="166" w:lineRule="exact"/>
        <w:rPr>
          <w:sz w:val="20"/>
          <w:szCs w:val="20"/>
          <w:color w:val="auto"/>
        </w:rPr>
      </w:pPr>
    </w:p>
    <w:p>
      <w:pPr>
        <w:ind w:left="620" w:right="200" w:hanging="307"/>
        <w:spacing w:after="0" w:line="255"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method: This method is applied when the Company has the ability to exert significant influence over the investee. The securities are recorded at cost and adjusted for the Company’s share of the investee’s earnings or losses, less any dividends received and/or impairments.</w:t>
      </w:r>
    </w:p>
    <w:p>
      <w:pPr>
        <w:spacing w:after="0" w:line="164" w:lineRule="exact"/>
        <w:rPr>
          <w:rFonts w:ascii="Times New Roman" w:cs="Times New Roman" w:eastAsia="Times New Roman" w:hAnsi="Times New Roman"/>
          <w:sz w:val="17"/>
          <w:szCs w:val="17"/>
          <w:color w:val="auto"/>
        </w:rPr>
      </w:pPr>
    </w:p>
    <w:p>
      <w:pPr>
        <w:ind w:left="620" w:right="40" w:hanging="307"/>
        <w:spacing w:after="0" w:line="239"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Measurement alternative: This method is followed for all remaining non-marketable equity securities. These securities are recorded at cost minus impairment, if any, adjusted for changes resulting from observable price changes in orderly transactions for an identical or similar investment in the same issuer.</w:t>
      </w:r>
    </w:p>
    <w:p>
      <w:pPr>
        <w:spacing w:after="0" w:line="164" w:lineRule="exact"/>
        <w:rPr>
          <w:sz w:val="20"/>
          <w:szCs w:val="20"/>
          <w:color w:val="auto"/>
        </w:rPr>
      </w:pPr>
    </w:p>
    <w:p>
      <w:pPr>
        <w:jc w:val="both"/>
        <w:ind w:right="20" w:firstLine="387"/>
        <w:spacing w:after="0" w:line="246" w:lineRule="auto"/>
        <w:rPr>
          <w:sz w:val="20"/>
          <w:szCs w:val="20"/>
          <w:color w:val="auto"/>
        </w:rPr>
      </w:pPr>
      <w:r>
        <w:rPr>
          <w:rFonts w:ascii="Times New Roman" w:cs="Times New Roman" w:eastAsia="Times New Roman" w:hAnsi="Times New Roman"/>
          <w:sz w:val="17"/>
          <w:szCs w:val="17"/>
          <w:color w:val="auto"/>
        </w:rPr>
        <w:t>All realized and unrealized gains and losses or the Company's share of the investee's earnings or losses, including impairment losses, are recognized in Other (loss) income-net. Any dividends on equity method investments are recognized as a reduction of the investment's carrying value. Non-marketable equity securities are reported in Other assets.</w:t>
      </w:r>
    </w:p>
    <w:p>
      <w:pPr>
        <w:spacing w:after="0" w:line="160" w:lineRule="exact"/>
        <w:rPr>
          <w:sz w:val="20"/>
          <w:szCs w:val="20"/>
          <w:color w:val="auto"/>
        </w:rPr>
      </w:pPr>
    </w:p>
    <w:p>
      <w:pPr>
        <w:ind w:right="300" w:firstLine="387"/>
        <w:spacing w:after="0" w:line="235" w:lineRule="auto"/>
        <w:rPr>
          <w:sz w:val="20"/>
          <w:szCs w:val="20"/>
          <w:color w:val="auto"/>
        </w:rPr>
      </w:pPr>
      <w:r>
        <w:rPr>
          <w:rFonts w:ascii="Times New Roman" w:cs="Times New Roman" w:eastAsia="Times New Roman" w:hAnsi="Times New Roman"/>
          <w:sz w:val="17"/>
          <w:szCs w:val="17"/>
          <w:color w:val="auto"/>
        </w:rPr>
        <w:t>The Company assesses whether an impairment loss on its non-marketable equity securities has occurred due to declines in fair value or other market conditions. When the fair value of an equity method investment is less than its carrying value, the Company writes down the investment to fair value when the decline in value is considered to be other than temporary. When the fair value of an investment accounted for using the measurement alternative is less than its carrying value, the Company writes down the investment to its fair value, without the consideration of recovery. See “Note 4 — Cash, Cash Equivalents, and Investments” for further discussion.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Inventory</w:t>
      </w:r>
    </w:p>
    <w:p>
      <w:pPr>
        <w:spacing w:after="0" w:line="223"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Real estate inventory is carried at the lower of cost or net realizable value and the Company applies the specific identification method whereby each property constitutes the unit of account. Real estate inventory cost includes but is not limited to the property purchase price, acquisition costs and direct costs to renovate or repair the home, less inventory valuation adjustments, if any. Work in progress inventory includes homes undergoing repairs and finished goods inventory includes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homes that are listed for sale, including homes ready for listing, and homes under contract for sale. Real estate inventory is reviewed for valuation adjustments at least quarterly. If the carrying amount or cost basis is not expected to be recovered, an inventory valuation adjustment is recorded to Cost of revenue and the related assets are adjusted to their net realizable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3"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three and nine months ended September 30, 2022 is related to impairment of certain internally developed software projects. The impairment loss recognized for the three and nine months ended September 30, 2021 is related to abandonment of property and equipment, impairment and abandonment of certain internally developed software projects, and sublease of certain right of use assets. The impairment loss recognized during the periods presented is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40" w:type="dxa"/>
            <w:vAlign w:val="bottom"/>
          </w:tcPr>
          <w:p>
            <w:pPr>
              <w:spacing w:after="0"/>
              <w:rPr>
                <w:sz w:val="14"/>
                <w:szCs w:val="14"/>
                <w:color w:val="auto"/>
              </w:rPr>
            </w:pPr>
          </w:p>
        </w:tc>
        <w:tc>
          <w:tcPr>
            <w:tcW w:w="23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2"/>
        </w:trPr>
        <w:tc>
          <w:tcPr>
            <w:tcW w:w="5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r>
      <w:tr>
        <w:trPr>
          <w:trHeight w:val="35"/>
        </w:trPr>
        <w:tc>
          <w:tcPr>
            <w:tcW w:w="54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5440" w:type="dxa"/>
            <w:vAlign w:val="bottom"/>
          </w:tcPr>
          <w:p>
            <w:pPr>
              <w:spacing w:after="0"/>
              <w:rPr>
                <w:sz w:val="15"/>
                <w:szCs w:val="15"/>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54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5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impairment loss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3" w:lineRule="exact"/>
        <w:rPr>
          <w:sz w:val="20"/>
          <w:szCs w:val="20"/>
          <w:color w:val="auto"/>
        </w:rPr>
      </w:pPr>
    </w:p>
    <w:p>
      <w:pPr>
        <w:ind w:right="20" w:firstLine="387"/>
        <w:spacing w:after="0" w:line="287" w:lineRule="auto"/>
        <w:rPr>
          <w:sz w:val="20"/>
          <w:szCs w:val="20"/>
          <w:color w:val="auto"/>
        </w:rPr>
      </w:pPr>
      <w:r>
        <w:rPr>
          <w:rFonts w:ascii="Times New Roman" w:cs="Times New Roman" w:eastAsia="Times New Roman" w:hAnsi="Times New Roman"/>
          <w:sz w:val="17"/>
          <w:szCs w:val="17"/>
          <w:color w:val="auto"/>
        </w:rPr>
        <w:t>Stock-based compensation awards consist of stock options, restricted stock units (“RSUs”), shares of restricted stock (“Restricted Shares”), and shares issued pursuant the 2020 Employee Stock Purchase Plan ("ESPP").</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1" w:lineRule="exact"/>
        <w:rPr>
          <w:sz w:val="20"/>
          <w:szCs w:val="20"/>
          <w:color w:val="auto"/>
        </w:rPr>
      </w:pPr>
    </w:p>
    <w:p>
      <w:pPr>
        <w:jc w:val="both"/>
        <w:ind w:right="360" w:firstLine="387"/>
        <w:spacing w:after="0" w:line="270" w:lineRule="auto"/>
        <w:rPr>
          <w:sz w:val="20"/>
          <w:szCs w:val="20"/>
          <w:color w:val="auto"/>
        </w:rPr>
      </w:pPr>
      <w:r>
        <w:rPr>
          <w:rFonts w:ascii="Times New Roman" w:cs="Times New Roman" w:eastAsia="Times New Roman" w:hAnsi="Times New Roman"/>
          <w:sz w:val="17"/>
          <w:szCs w:val="17"/>
          <w:color w:val="auto"/>
        </w:rPr>
        <w:t xml:space="preserve">The Company has granted stock options with a service condition to vest, which is generally four years. The Company records stock-based compensation expense for service-based stock options on a straight-line basis over the requisite service period. These amounts are reduced by forfeitures as they occur. The Company uses the </w:t>
      </w:r>
      <w:r>
        <w:rPr>
          <w:rFonts w:ascii="Times New Roman" w:cs="Times New Roman" w:eastAsia="Times New Roman" w:hAnsi="Times New Roman"/>
          <w:sz w:val="17"/>
          <w:szCs w:val="17"/>
          <w:i w:val="1"/>
          <w:iCs w:val="1"/>
          <w:color w:val="auto"/>
        </w:rPr>
        <w:t>Black-Scholes-Merton</w:t>
      </w:r>
      <w:r>
        <w:rPr>
          <w:rFonts w:ascii="Times New Roman" w:cs="Times New Roman" w:eastAsia="Times New Roman" w:hAnsi="Times New Roman"/>
          <w:sz w:val="17"/>
          <w:szCs w:val="17"/>
          <w:color w:val="auto"/>
        </w:rPr>
        <w:t xml:space="preserve"> option-pricing model to determine the fair value as of the grant date for stock options.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221" w:lineRule="exact"/>
        <w:rPr>
          <w:sz w:val="20"/>
          <w:szCs w:val="20"/>
          <w:color w:val="auto"/>
        </w:rPr>
      </w:pPr>
    </w:p>
    <w:p>
      <w:pPr>
        <w:ind w:firstLine="387"/>
        <w:spacing w:after="0" w:line="260" w:lineRule="auto"/>
        <w:rPr>
          <w:sz w:val="20"/>
          <w:szCs w:val="20"/>
          <w:color w:val="auto"/>
        </w:rPr>
      </w:pPr>
      <w:r>
        <w:rPr>
          <w:rFonts w:ascii="Times New Roman" w:cs="Times New Roman" w:eastAsia="Times New Roman" w:hAnsi="Times New Roman"/>
          <w:sz w:val="17"/>
          <w:szCs w:val="17"/>
          <w:color w:val="auto"/>
        </w:rPr>
        <w:t>Prior to its listing, the Company granted RSUs with a performance condition, based on a liquidity event, as defined by the share agreement, as well as a service condition to vest, which was generally four years. The Company determined the fair value of RSUs based on the valuation of the Company’s common stock as of the grant date. No compensation expense was recognized for performance-based awards until the liquidity event occurred in February 2021. Subsequent to the occurrence of the liquidity event, compensation expense was recognized on an accelerated attribution basis over the requisite service period of the awards. After the Company became listed, the RSUs granted are generally only subject to a service condition to vest and typically vest over one to four years. Compensation expense is recognized on a straight-line basis subject to a floor of the vested number of shares for each award.</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Market Condition RSUs</w:t>
      </w:r>
    </w:p>
    <w:p>
      <w:pPr>
        <w:spacing w:after="0" w:line="221" w:lineRule="exact"/>
        <w:rPr>
          <w:sz w:val="20"/>
          <w:szCs w:val="20"/>
          <w:color w:val="auto"/>
        </w:rPr>
      </w:pPr>
    </w:p>
    <w:p>
      <w:pPr>
        <w:ind w:firstLine="387"/>
        <w:spacing w:after="0" w:line="270" w:lineRule="auto"/>
        <w:rPr>
          <w:sz w:val="20"/>
          <w:szCs w:val="20"/>
          <w:color w:val="auto"/>
        </w:rPr>
      </w:pPr>
      <w:r>
        <w:rPr>
          <w:rFonts w:ascii="Times New Roman" w:cs="Times New Roman" w:eastAsia="Times New Roman" w:hAnsi="Times New Roman"/>
          <w:sz w:val="17"/>
          <w:szCs w:val="17"/>
          <w:color w:val="auto"/>
        </w:rPr>
        <w:t>The Company has granted RSUs with a performance condition, based on a liquidity event, as defined by the share agreement, as well as a market condition to vest. Subject to the employee’s continued services to the Company, the market-based conditions are satisfied upon the Company’s achievement of certain share price milestones calculated based on 60-day volume weighted average.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1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firstLine="387"/>
        <w:spacing w:after="0" w:line="264" w:lineRule="auto"/>
        <w:rPr>
          <w:sz w:val="20"/>
          <w:szCs w:val="20"/>
          <w:color w:val="auto"/>
        </w:rPr>
      </w:pPr>
      <w:r>
        <w:rPr>
          <w:rFonts w:ascii="Times New Roman" w:cs="Times New Roman" w:eastAsia="Times New Roman" w:hAnsi="Times New Roman"/>
          <w:sz w:val="17"/>
          <w:szCs w:val="17"/>
          <w:color w:val="auto"/>
        </w:rPr>
        <w:t>For market-based RSUs, the Company determines the grant-date fair value utilizing Monte Carlo simulations, which incorporates various assumptions, including expected stock price volatility, contractual term, dividend yield, and stock price at grant date. The Company estimates the volatility of common stock on the date of grant based on the weighted-average historical stock price volatility of comparable publicly-traded companies. As the Company had no history of dividend payments and had not declared any prospective dividends, a 0% dividend yield was assumed.</w:t>
      </w:r>
    </w:p>
    <w:p>
      <w:pPr>
        <w:spacing w:after="0" w:line="171" w:lineRule="exact"/>
        <w:rPr>
          <w:sz w:val="20"/>
          <w:szCs w:val="20"/>
          <w:color w:val="auto"/>
        </w:rPr>
      </w:pPr>
    </w:p>
    <w:p>
      <w:pPr>
        <w:ind w:right="80" w:firstLine="387"/>
        <w:spacing w:after="0" w:line="264" w:lineRule="auto"/>
        <w:rPr>
          <w:sz w:val="20"/>
          <w:szCs w:val="20"/>
          <w:color w:val="auto"/>
        </w:rPr>
      </w:pPr>
      <w:r>
        <w:rPr>
          <w:rFonts w:ascii="Times New Roman" w:cs="Times New Roman" w:eastAsia="Times New Roman" w:hAnsi="Times New Roman"/>
          <w:sz w:val="17"/>
          <w:szCs w:val="17"/>
          <w:color w:val="auto"/>
        </w:rPr>
        <w:t>For stock-based compensation, each market-based condition is treated as an accounting unit and expense is recognized over the requisite service period with respect to each unit and only if performance-based conditions are considered probable to be satisfied. The Company determines the requisite service period by comparing the derived service period to achieve the market-based condition and the explicit service-based period, if any, using the longer of the two service periods as the requisite service period.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221" w:lineRule="exact"/>
        <w:rPr>
          <w:sz w:val="20"/>
          <w:szCs w:val="20"/>
          <w:color w:val="auto"/>
        </w:rPr>
      </w:pPr>
    </w:p>
    <w:p>
      <w:pPr>
        <w:ind w:right="160" w:firstLine="387"/>
        <w:spacing w:after="0" w:line="270" w:lineRule="auto"/>
        <w:rPr>
          <w:sz w:val="20"/>
          <w:szCs w:val="20"/>
          <w:color w:val="auto"/>
        </w:rPr>
      </w:pPr>
      <w:r>
        <w:rPr>
          <w:rFonts w:ascii="Times New Roman" w:cs="Times New Roman" w:eastAsia="Times New Roman" w:hAnsi="Times New Roman"/>
          <w:sz w:val="17"/>
          <w:szCs w:val="17"/>
          <w:color w:val="auto"/>
        </w:rPr>
        <w:t>The fair value of the Restricted Shares is equal to the estimated fair value of the Company’s common stock on the grant date. The Company recognizes compensation expense for the shares on a straight-line basis over the requisite service period of the awards. The fair value of these shares will be recognized into common stock and additional paid-in-capital as the shares vest.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ESPP</w:t>
      </w:r>
    </w:p>
    <w:p>
      <w:pPr>
        <w:spacing w:after="0" w:line="221" w:lineRule="exact"/>
        <w:rPr>
          <w:sz w:val="20"/>
          <w:szCs w:val="20"/>
          <w:color w:val="auto"/>
        </w:rPr>
      </w:pPr>
    </w:p>
    <w:p>
      <w:pPr>
        <w:ind w:right="220" w:firstLine="387"/>
        <w:spacing w:after="0" w:line="287" w:lineRule="auto"/>
        <w:rPr>
          <w:sz w:val="20"/>
          <w:szCs w:val="20"/>
          <w:color w:val="auto"/>
        </w:rPr>
      </w:pPr>
      <w:r>
        <w:rPr>
          <w:rFonts w:ascii="Times New Roman" w:cs="Times New Roman" w:eastAsia="Times New Roman" w:hAnsi="Times New Roman"/>
          <w:sz w:val="17"/>
          <w:szCs w:val="17"/>
          <w:color w:val="auto"/>
        </w:rPr>
        <w:t>The Company recognizes stock-based compensation expense related to purchase rights granted pursuant to the 2020 ESPP on a straight-line basis over the offering period. The Company estimates the fair value of purchase rights granted under the ESPP using the Black-Scholes option-pricing model.</w:t>
      </w:r>
    </w:p>
    <w:p>
      <w:pPr>
        <w:spacing w:after="0" w:line="147" w:lineRule="exact"/>
        <w:rPr>
          <w:sz w:val="20"/>
          <w:szCs w:val="20"/>
          <w:color w:val="auto"/>
        </w:rPr>
      </w:pPr>
    </w:p>
    <w:p>
      <w:pPr>
        <w:ind w:left="380" w:hanging="377"/>
        <w:spacing w:after="0"/>
        <w:tabs>
          <w:tab w:leader="none" w:pos="3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w:t>
      </w:r>
    </w:p>
    <w:p>
      <w:pPr>
        <w:spacing w:after="0" w:line="221" w:lineRule="exact"/>
        <w:rPr>
          <w:sz w:val="20"/>
          <w:szCs w:val="20"/>
          <w:color w:val="auto"/>
        </w:rPr>
      </w:pPr>
    </w:p>
    <w:p>
      <w:pPr>
        <w:ind w:firstLine="387"/>
        <w:spacing w:after="0" w:line="270" w:lineRule="auto"/>
        <w:rPr>
          <w:sz w:val="20"/>
          <w:szCs w:val="20"/>
          <w:color w:val="auto"/>
        </w:rPr>
      </w:pPr>
      <w:r>
        <w:rPr>
          <w:rFonts w:ascii="Times New Roman" w:cs="Times New Roman" w:eastAsia="Times New Roman" w:hAnsi="Times New Roman"/>
          <w:sz w:val="17"/>
          <w:szCs w:val="17"/>
          <w:color w:val="auto"/>
        </w:rPr>
        <w:t>On September 3, 2021, the Company acquired 100% of the outstanding equity of Services Labs, Inc., including its consolidated subsidiaries (“Pro.com”), in exchange for $22 million in cash consideration. The Company acquired Pro.com, a construction project platform, for its technology and talent. Acquired intangible assets consisted of developed technology valued at $4 million and were amortized over one year. Goodwill attributed to the Pro.com acquisition was $16 million.</w:t>
      </w:r>
    </w:p>
    <w:p>
      <w:pPr>
        <w:spacing w:after="0" w:line="165" w:lineRule="exact"/>
        <w:rPr>
          <w:sz w:val="20"/>
          <w:szCs w:val="20"/>
          <w:color w:val="auto"/>
        </w:rPr>
      </w:pPr>
    </w:p>
    <w:p>
      <w:pPr>
        <w:ind w:right="80" w:firstLine="387"/>
        <w:spacing w:after="0" w:line="264" w:lineRule="auto"/>
        <w:rPr>
          <w:sz w:val="20"/>
          <w:szCs w:val="20"/>
          <w:color w:val="auto"/>
        </w:rPr>
      </w:pPr>
      <w:r>
        <w:rPr>
          <w:rFonts w:ascii="Times New Roman" w:cs="Times New Roman" w:eastAsia="Times New Roman" w:hAnsi="Times New Roman"/>
          <w:sz w:val="17"/>
          <w:szCs w:val="17"/>
          <w:color w:val="auto"/>
        </w:rPr>
        <w:t>On November 3, 2021, the Company acquired the assets of RedDoor HQ Inc. (“RedDoor”) as part of a business combination in exchange for $15 million in cash consideration, of which $2 million is to be paid out one year following the date of closing. The Company acquired the processes, systems and talent of RedDoor, which previously operated an online mortgage brokerage platform. Acquired intangible assets consist of developed technology valued at $3 million and are being amortized over one year. Goodwill attributed to the RedDoor acquisition was $13 million.</w:t>
      </w:r>
    </w:p>
    <w:p>
      <w:pPr>
        <w:spacing w:after="0" w:line="167" w:lineRule="exact"/>
        <w:rPr>
          <w:sz w:val="20"/>
          <w:szCs w:val="20"/>
          <w:color w:val="auto"/>
        </w:rPr>
      </w:pPr>
    </w:p>
    <w:p>
      <w:pPr>
        <w:ind w:left="380" w:hanging="377"/>
        <w:spacing w:after="0"/>
        <w:tabs>
          <w:tab w:leader="none" w:pos="3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REAL ESTATE INVENTORY</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presents the components of inventory, net of applicable inventory valuation adjustments of $622 million and $40 million,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2022 and December 31, 2021, respectively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8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 in progress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Listed for sale</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r>
      <w:tr>
        <w:trPr>
          <w:trHeight w:val="232"/>
        </w:trPr>
        <w:tc>
          <w:tcPr>
            <w:tcW w:w="8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Under contract for sale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r>
      <w:tr>
        <w:trPr>
          <w:trHeight w:val="25"/>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real estate inventory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6,093</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5271770" cy="172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177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-867410</wp:posOffset>
            </wp:positionV>
            <wp:extent cx="52717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September 30, 2022, the Company was in contract to purchase 2,259 homes for an aggregate purchase price of $802 million.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the three and nine months ended September 30, 2022, the Company recorded inventory valuation adjustments for real estate inventory of</w:t>
      </w:r>
    </w:p>
    <w:p>
      <w:pPr>
        <w:spacing w:after="0" w:line="2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$573 million and $663 million, respectively, in Cost of revenue in the condensed consolidated statements of operations. During the three and nine months ended September 30, 2021, the Company recorded inventory valuation adjustments for real estate inventory of $31 million and $32 million, respectively, in Cost of revenue in the condensed consolidated statements of operations.</w:t>
      </w:r>
    </w:p>
    <w:p>
      <w:pPr>
        <w:spacing w:after="0" w:line="171" w:lineRule="exact"/>
        <w:rPr>
          <w:sz w:val="20"/>
          <w:szCs w:val="20"/>
          <w:color w:val="auto"/>
        </w:rPr>
      </w:pPr>
    </w:p>
    <w:p>
      <w:pPr>
        <w:ind w:left="380" w:hanging="377"/>
        <w:spacing w:after="0"/>
        <w:tabs>
          <w:tab w:leader="none" w:pos="3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CASH EQUIVALENTS, AND INVESTMENTS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amortized cost, gross unrealized gains and losses, and fair value of cash, cash equivalents, and marketable securities as of September 30, 2022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
        </w:trPr>
        <w:tc>
          <w:tcPr>
            <w:tcW w:w="28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6"/>
        </w:trPr>
        <w:tc>
          <w:tcPr>
            <w:tcW w:w="288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Cash and Cash</w:t>
            </w:r>
          </w:p>
        </w:tc>
        <w:tc>
          <w:tcPr>
            <w:tcW w:w="200" w:type="dxa"/>
            <w:vAlign w:val="bottom"/>
          </w:tcPr>
          <w:p>
            <w:pPr>
              <w:spacing w:after="0"/>
              <w:rPr>
                <w:sz w:val="19"/>
                <w:szCs w:val="19"/>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Marketable</w:t>
            </w:r>
          </w:p>
        </w:tc>
      </w:tr>
      <w:tr>
        <w:trPr>
          <w:trHeight w:val="221"/>
        </w:trPr>
        <w:tc>
          <w:tcPr>
            <w:tcW w:w="2880" w:type="dxa"/>
            <w:vAlign w:val="bottom"/>
          </w:tcPr>
          <w:p>
            <w:pPr>
              <w:spacing w:after="0"/>
              <w:rPr>
                <w:sz w:val="19"/>
                <w:szCs w:val="19"/>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200" w:type="dxa"/>
            <w:vAlign w:val="bottom"/>
          </w:tcPr>
          <w:p>
            <w:pPr>
              <w:spacing w:after="0"/>
              <w:rPr>
                <w:sz w:val="19"/>
                <w:szCs w:val="19"/>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5"/>
              </w:rPr>
              <w:t>Securities</w:t>
            </w:r>
          </w:p>
        </w:tc>
      </w:tr>
      <w:tr>
        <w:trPr>
          <w:trHeight w:val="35"/>
        </w:trPr>
        <w:tc>
          <w:tcPr>
            <w:tcW w:w="28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1,510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0"/>
        </w:trPr>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8"/>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
        </w:trPr>
        <w:tc>
          <w:tcPr>
            <w:tcW w:w="28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6"/>
        </w:trPr>
        <w:tc>
          <w:tcPr>
            <w:tcW w:w="288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Cash and Cash</w:t>
            </w:r>
          </w:p>
        </w:tc>
        <w:tc>
          <w:tcPr>
            <w:tcW w:w="200" w:type="dxa"/>
            <w:vAlign w:val="bottom"/>
          </w:tcPr>
          <w:p>
            <w:pPr>
              <w:spacing w:after="0"/>
              <w:rPr>
                <w:sz w:val="19"/>
                <w:szCs w:val="19"/>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Marketable</w:t>
            </w:r>
          </w:p>
        </w:tc>
      </w:tr>
      <w:tr>
        <w:trPr>
          <w:trHeight w:val="221"/>
        </w:trPr>
        <w:tc>
          <w:tcPr>
            <w:tcW w:w="2880" w:type="dxa"/>
            <w:vAlign w:val="bottom"/>
          </w:tcPr>
          <w:p>
            <w:pPr>
              <w:spacing w:after="0"/>
              <w:rPr>
                <w:sz w:val="19"/>
                <w:szCs w:val="19"/>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200" w:type="dxa"/>
            <w:vAlign w:val="bottom"/>
          </w:tcPr>
          <w:p>
            <w:pPr>
              <w:spacing w:after="0"/>
              <w:rPr>
                <w:sz w:val="19"/>
                <w:szCs w:val="19"/>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5"/>
              </w:rPr>
              <w:t>Securities</w:t>
            </w:r>
          </w:p>
        </w:tc>
      </w:tr>
      <w:tr>
        <w:trPr>
          <w:trHeight w:val="35"/>
        </w:trPr>
        <w:tc>
          <w:tcPr>
            <w:tcW w:w="28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Time deposit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5"/>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Sovereign bonds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5"/>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2,216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-4035425</wp:posOffset>
            </wp:positionV>
            <wp:extent cx="18256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-1849755</wp:posOffset>
            </wp:positionV>
            <wp:extent cx="1825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47" w:lineRule="exact"/>
        <w:rPr>
          <w:sz w:val="20"/>
          <w:szCs w:val="20"/>
          <w:color w:val="auto"/>
        </w:rPr>
      </w:pPr>
    </w:p>
    <w:p>
      <w:pPr>
        <w:ind w:right="120" w:firstLine="387"/>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 recognized $11 million and $36 million of net unrealized losses, respectively, in the condensed consolidated statements of operations related to equity securities held as of September 30, 2022. During both the three and nine months ended September 30, 2021, the Company recognized $51 million of net unrealized gains in the condensed consolidated statements of operations related to equity securities held as of September 30, 2021.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summary of debt securities with unrealized losses aggregated by period of continuous unrealized loss is as follows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5"/>
                <w:szCs w:val="15"/>
                <w:color w:val="auto"/>
              </w:rPr>
            </w:pPr>
          </w:p>
        </w:tc>
      </w:tr>
      <w:tr>
        <w:trPr>
          <w:trHeight w:val="35"/>
        </w:trPr>
        <w:tc>
          <w:tcPr>
            <w:tcW w:w="3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5"/>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Unrealized</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20"/>
                <w:szCs w:val="20"/>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5"/>
        </w:trPr>
        <w:tc>
          <w:tcPr>
            <w:tcW w:w="3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1"/>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8"/>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4"/>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24"/>
                <w:szCs w:val="24"/>
                <w:color w:val="auto"/>
              </w:rPr>
            </w:pPr>
          </w:p>
        </w:tc>
      </w:tr>
      <w:tr>
        <w:trPr>
          <w:trHeight w:val="35"/>
        </w:trPr>
        <w:tc>
          <w:tcPr>
            <w:tcW w:w="3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5"/>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Unrealized</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20"/>
                <w:szCs w:val="20"/>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5"/>
        </w:trPr>
        <w:tc>
          <w:tcPr>
            <w:tcW w:w="3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1"/>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w:t>
            </w:r>
          </w:p>
        </w:tc>
      </w:tr>
      <w:tr>
        <w:trPr>
          <w:trHeight w:val="25"/>
        </w:trPr>
        <w:tc>
          <w:tcPr>
            <w:tcW w:w="32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32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Sovereign bonds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1"/>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scheduled contractual maturities of debt securities as of September 30, 2022 are as follows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1"/>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0" w:type="dxa"/>
            <w:vAlign w:val="bottom"/>
          </w:tcPr>
          <w:p>
            <w:pPr>
              <w:spacing w:after="0"/>
              <w:rPr>
                <w:sz w:val="1"/>
                <w:szCs w:val="1"/>
                <w:color w:val="auto"/>
              </w:rPr>
            </w:pPr>
          </w:p>
        </w:tc>
      </w:tr>
      <w:tr>
        <w:trPr>
          <w:trHeight w:val="182"/>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52"/>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4"/>
                <w:szCs w:val="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93"/>
        </w:trPr>
        <w:tc>
          <w:tcPr>
            <w:tcW w:w="7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00" w:firstLine="387"/>
        <w:spacing w:after="0" w:line="279" w:lineRule="auto"/>
        <w:rPr>
          <w:sz w:val="20"/>
          <w:szCs w:val="20"/>
          <w:color w:val="auto"/>
        </w:rPr>
      </w:pPr>
      <w:r>
        <w:rPr>
          <w:rFonts w:ascii="Times New Roman" w:cs="Times New Roman" w:eastAsia="Times New Roman" w:hAnsi="Times New Roman"/>
          <w:sz w:val="17"/>
          <w:szCs w:val="17"/>
          <w:color w:val="auto"/>
        </w:rPr>
        <w:t>A summary of non-marketable equity securities and equity method investment balances as of September 30, 2022 and December 31, 2021 are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300" w:type="dxa"/>
            <w:vAlign w:val="bottom"/>
          </w:tcPr>
          <w:p>
            <w:pPr>
              <w:spacing w:after="0"/>
              <w:rPr>
                <w:sz w:val="15"/>
                <w:szCs w:val="15"/>
                <w:color w:val="auto"/>
              </w:rPr>
            </w:pPr>
          </w:p>
        </w:tc>
        <w:tc>
          <w:tcPr>
            <w:tcW w:w="11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83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Non-marketable equity securities</w:t>
            </w:r>
          </w:p>
        </w:tc>
        <w:tc>
          <w:tcPr>
            <w:tcW w:w="1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8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52717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56" w:lineRule="exact"/>
        <w:rPr>
          <w:sz w:val="20"/>
          <w:szCs w:val="20"/>
          <w:color w:val="auto"/>
        </w:rPr>
      </w:pPr>
    </w:p>
    <w:p>
      <w:pPr>
        <w:ind w:left="380" w:hanging="377"/>
        <w:spacing w:after="0"/>
        <w:tabs>
          <w:tab w:leader="none" w:pos="3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w:t>
      </w:r>
    </w:p>
    <w:p>
      <w:pPr>
        <w:spacing w:after="0" w:line="221" w:lineRule="exact"/>
        <w:rPr>
          <w:sz w:val="20"/>
          <w:szCs w:val="20"/>
          <w:color w:val="auto"/>
        </w:rPr>
      </w:pPr>
    </w:p>
    <w:p>
      <w:pPr>
        <w:ind w:right="160" w:firstLine="387"/>
        <w:spacing w:after="0" w:line="287" w:lineRule="auto"/>
        <w:rPr>
          <w:sz w:val="20"/>
          <w:szCs w:val="20"/>
          <w:color w:val="auto"/>
        </w:rPr>
      </w:pPr>
      <w:r>
        <w:rPr>
          <w:rFonts w:ascii="Times New Roman" w:cs="Times New Roman" w:eastAsia="Times New Roman" w:hAnsi="Times New Roman"/>
          <w:sz w:val="17"/>
          <w:szCs w:val="17"/>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0" w:firstLine="387"/>
        <w:spacing w:after="0" w:line="261" w:lineRule="auto"/>
        <w:rPr>
          <w:sz w:val="20"/>
          <w:szCs w:val="20"/>
          <w:color w:val="auto"/>
        </w:rPr>
      </w:pPr>
      <w:r>
        <w:rPr>
          <w:rFonts w:ascii="Times New Roman" w:cs="Times New Roman" w:eastAsia="Times New Roman" w:hAnsi="Times New Roman"/>
          <w:sz w:val="17"/>
          <w:szCs w:val="17"/>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75" w:lineRule="exact"/>
        <w:rPr>
          <w:sz w:val="20"/>
          <w:szCs w:val="20"/>
          <w:color w:val="auto"/>
        </w:rPr>
      </w:pPr>
    </w:p>
    <w:p>
      <w:pPr>
        <w:ind w:right="6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assets and liabilities related to the VIEs consolidated by the Company as of September 30, 2022 and December 31, 2021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77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32"/>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2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32"/>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Real estate inventory, net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35"/>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51"/>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7"/>
                <w:szCs w:val="17"/>
                <w:b w:val="1"/>
                <w:bCs w:val="1"/>
                <w:color w:val="auto"/>
                <w:w w:val="98"/>
              </w:rPr>
              <w:t>Liabilities</w:t>
            </w:r>
          </w:p>
        </w:tc>
        <w:tc>
          <w:tcPr>
            <w:tcW w:w="7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32"/>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Non-recourse asset-backed debt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7,071</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6,102</w:t>
            </w: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35"/>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51"/>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6,172</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74"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escrow receivable and other current assets.</w:t>
      </w:r>
    </w:p>
    <w:p>
      <w:pPr>
        <w:spacing w:after="0" w:line="66" w:lineRule="exact"/>
        <w:rPr>
          <w:rFonts w:ascii="Times New Roman" w:cs="Times New Roman" w:eastAsia="Times New Roman" w:hAnsi="Times New Roman"/>
          <w:sz w:val="22"/>
          <w:szCs w:val="22"/>
          <w:color w:val="auto"/>
          <w:vertAlign w:val="superscript"/>
        </w:rPr>
      </w:pPr>
    </w:p>
    <w:p>
      <w:pPr>
        <w:ind w:left="300" w:hanging="297"/>
        <w:spacing w:after="0" w:line="230"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accounts payable and other accrued liabilities and interest payable.</w:t>
      </w:r>
    </w:p>
    <w:p>
      <w:pPr>
        <w:spacing w:after="0" w:line="186" w:lineRule="exact"/>
        <w:rPr>
          <w:sz w:val="20"/>
          <w:szCs w:val="20"/>
          <w:color w:val="auto"/>
        </w:rPr>
      </w:pPr>
    </w:p>
    <w:p>
      <w:pPr>
        <w:ind w:right="360" w:firstLine="387"/>
        <w:spacing w:after="0" w:line="292" w:lineRule="auto"/>
        <w:rPr>
          <w:sz w:val="20"/>
          <w:szCs w:val="20"/>
          <w:color w:val="auto"/>
        </w:rPr>
      </w:pPr>
      <w:r>
        <w:rPr>
          <w:rFonts w:ascii="Times New Roman" w:cs="Times New Roman" w:eastAsia="Times New Roman" w:hAnsi="Times New Roman"/>
          <w:sz w:val="17"/>
          <w:szCs w:val="17"/>
          <w:color w:val="auto"/>
        </w:rPr>
        <w:t xml:space="preserve">The creditors of the VIEs generally do not have recourse to the Company’s general credit solely by virtue of being creditors of the VIEs. See </w:t>
      </w:r>
      <w:r>
        <w:rPr>
          <w:rFonts w:ascii="Times New Roman" w:cs="Times New Roman" w:eastAsia="Times New Roman" w:hAnsi="Times New Roman"/>
          <w:sz w:val="17"/>
          <w:szCs w:val="17"/>
          <w:i w:val="1"/>
          <w:iCs w:val="1"/>
          <w:color w:val="auto"/>
        </w:rPr>
        <w:t>“Note 6 —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Facilities and Long-Term Debt” </w:t>
      </w:r>
      <w:r>
        <w:rPr>
          <w:rFonts w:ascii="Times New Roman" w:cs="Times New Roman" w:eastAsia="Times New Roman" w:hAnsi="Times New Roman"/>
          <w:sz w:val="17"/>
          <w:szCs w:val="17"/>
          <w:color w:val="auto"/>
        </w:rPr>
        <w:t>for further discussion of the recourse obligations with respect to the VIEs.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CREDIT FACILITIES AND LONG-TERM DEBT</w:t>
      </w:r>
    </w:p>
    <w:p>
      <w:pPr>
        <w:spacing w:after="0" w:line="22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following tables summarize certain details related to the Company's credit facilities and long-term debt as of September 30, 2022 and December 31, 2021 (in millions, except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Borrowing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End of Revolving /</w:t>
            </w:r>
          </w:p>
        </w:tc>
        <w:tc>
          <w:tcPr>
            <w:tcW w:w="18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160" w:type="dxa"/>
            <w:vAlign w:val="bottom"/>
          </w:tcPr>
          <w:p>
            <w:pPr>
              <w:spacing w:after="0"/>
              <w:rPr>
                <w:sz w:val="3"/>
                <w:szCs w:val="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900" w:type="dxa"/>
            <w:vAlign w:val="bottom"/>
            <w:gridSpan w:val="2"/>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Withdrawal Period</w:t>
            </w:r>
          </w:p>
        </w:tc>
        <w:tc>
          <w:tcPr>
            <w:tcW w:w="186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5"/>
        </w:trPr>
        <w:tc>
          <w:tcPr>
            <w:tcW w:w="27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Asset-backed Senior Revolving Credit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Facilities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2018-2</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7,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7, 2024</w:t>
            </w: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Revolving Facility 2018-3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May 26,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26, 2024</w:t>
            </w: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2019-1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30, 2023</w:t>
            </w: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Revolving Facility 2019-2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July 8,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8, 2024</w:t>
            </w: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2019-3</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5,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5, 2025</w:t>
            </w: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Revolving Facility 2021-1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31,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31, 2022</w:t>
            </w: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 2025</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2021-S2</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10,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10, 2025</w:t>
            </w: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31, 2027</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2022-S1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March 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 2025</w:t>
            </w: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2022-S2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8"/>
              </w:rPr>
              <w:t>Issuance Costs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4"/>
              </w:rPr>
              <w:t>Carrying Value</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2020-M1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April 1, 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 2026</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2022-M1</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15,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15, 2026</w:t>
            </w:r>
          </w:p>
        </w:tc>
        <w:tc>
          <w:tcPr>
            <w:tcW w:w="0" w:type="dxa"/>
            <w:vAlign w:val="bottom"/>
          </w:tcPr>
          <w:p>
            <w:pPr>
              <w:spacing w:after="0"/>
              <w:rPr>
                <w:sz w:val="1"/>
                <w:szCs w:val="1"/>
                <w:color w:val="auto"/>
              </w:rPr>
            </w:pPr>
          </w:p>
        </w:tc>
      </w:tr>
      <w:tr>
        <w:trPr>
          <w:trHeight w:val="177"/>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8"/>
              </w:rPr>
              <w:t>Issuance Costs</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4"/>
              </w:rPr>
              <w:t>Carrying Value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80" w:type="dxa"/>
            <w:vAlign w:val="bottom"/>
            <w:tcBorders>
              <w:bottom w:val="single" w:sz="8" w:color="CCEEFF"/>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Recourse Debt - Other Secured Borrowings: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Mortgage Financing</w:t>
            </w:r>
          </w:p>
        </w:tc>
        <w:tc>
          <w:tcPr>
            <w:tcW w:w="1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Repo Facility 2019-R1</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May 25,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25, 2023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Recourse Debt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226"/>
        </w:trPr>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232"/>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20"/>
                <w:szCs w:val="20"/>
                <w:color w:val="auto"/>
              </w:rPr>
            </w:pP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0" w:type="dxa"/>
            <w:vAlign w:val="bottom"/>
          </w:tcPr>
          <w:p>
            <w:pPr>
              <w:spacing w:after="0"/>
              <w:rPr>
                <w:sz w:val="1"/>
                <w:szCs w:val="1"/>
                <w:color w:val="auto"/>
              </w:rPr>
            </w:pPr>
          </w:p>
        </w:tc>
      </w:tr>
      <w:tr>
        <w:trPr>
          <w:trHeight w:val="35"/>
        </w:trPr>
        <w:tc>
          <w:tcPr>
            <w:tcW w:w="6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Senior Revolving Credit Facilities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2018-2</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0" w:type="dxa"/>
            <w:vAlign w:val="bottom"/>
          </w:tcPr>
          <w:p>
            <w:pPr>
              <w:spacing w:after="0"/>
              <w:rPr>
                <w:sz w:val="1"/>
                <w:szCs w:val="1"/>
                <w:color w:val="auto"/>
              </w:rPr>
            </w:pPr>
          </w:p>
        </w:tc>
      </w:tr>
      <w:tr>
        <w:trPr>
          <w:trHeight w:val="184"/>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Revolving Facility 2018-3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2019-1</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0" w:type="dxa"/>
            <w:vAlign w:val="bottom"/>
          </w:tcPr>
          <w:p>
            <w:pPr>
              <w:spacing w:after="0"/>
              <w:rPr>
                <w:sz w:val="1"/>
                <w:szCs w:val="1"/>
                <w:color w:val="auto"/>
              </w:rPr>
            </w:pPr>
          </w:p>
        </w:tc>
      </w:tr>
      <w:tr>
        <w:trPr>
          <w:trHeight w:val="184"/>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Revolving Facility 2019-2</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2019-3</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0" w:type="dxa"/>
            <w:vAlign w:val="bottom"/>
          </w:tcPr>
          <w:p>
            <w:pPr>
              <w:spacing w:after="0"/>
              <w:rPr>
                <w:sz w:val="1"/>
                <w:szCs w:val="1"/>
                <w:color w:val="auto"/>
              </w:rPr>
            </w:pPr>
          </w:p>
        </w:tc>
      </w:tr>
      <w:tr>
        <w:trPr>
          <w:trHeight w:val="184"/>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Revolving Facility 2021-1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Term Debt Facility 2021-S1</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Term Debt Facility 2021-S2</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0" w:type="dxa"/>
            <w:vAlign w:val="bottom"/>
          </w:tcPr>
          <w:p>
            <w:pPr>
              <w:spacing w:after="0"/>
              <w:rPr>
                <w:sz w:val="1"/>
                <w:szCs w:val="1"/>
                <w:color w:val="auto"/>
              </w:rPr>
            </w:pPr>
          </w:p>
        </w:tc>
      </w:tr>
      <w:tr>
        <w:trPr>
          <w:trHeight w:val="184"/>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Term Debt Facility 2021-S3</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35"/>
        </w:trPr>
        <w:tc>
          <w:tcPr>
            <w:tcW w:w="6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9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9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Carrying Value</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Term Debt Facility 2020-M1</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35"/>
        </w:trPr>
        <w:tc>
          <w:tcPr>
            <w:tcW w:w="6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9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9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Carrying Value</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Recourse Debt - Other Secured Borrowings: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Mortgage Financing</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Repo Facility 2019-R1</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0" w:type="dxa"/>
            <w:vAlign w:val="bottom"/>
          </w:tcPr>
          <w:p>
            <w:pPr>
              <w:spacing w:after="0"/>
              <w:rPr>
                <w:sz w:val="1"/>
                <w:szCs w:val="1"/>
                <w:color w:val="auto"/>
              </w:rPr>
            </w:pPr>
          </w:p>
        </w:tc>
      </w:tr>
      <w:tr>
        <w:trPr>
          <w:trHeight w:val="207"/>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Recourse Debt</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Non-Recourse Asset-backed Debt</w:t>
      </w:r>
    </w:p>
    <w:p>
      <w:pPr>
        <w:spacing w:after="0" w:line="223" w:lineRule="exact"/>
        <w:rPr>
          <w:sz w:val="20"/>
          <w:szCs w:val="20"/>
          <w:color w:val="auto"/>
        </w:rPr>
      </w:pPr>
    </w:p>
    <w:p>
      <w:pPr>
        <w:ind w:right="100" w:firstLine="387"/>
        <w:spacing w:after="0" w:line="264" w:lineRule="auto"/>
        <w:rPr>
          <w:sz w:val="20"/>
          <w:szCs w:val="20"/>
          <w:color w:val="auto"/>
        </w:rPr>
      </w:pPr>
      <w:r>
        <w:rPr>
          <w:rFonts w:ascii="Times New Roman" w:cs="Times New Roman" w:eastAsia="Times New Roman" w:hAnsi="Times New Roman"/>
          <w:sz w:val="17"/>
          <w:szCs w:val="17"/>
          <w:color w:val="auto"/>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spacing w:after="0" w:line="171" w:lineRule="exact"/>
        <w:rPr>
          <w:sz w:val="20"/>
          <w:szCs w:val="20"/>
          <w:color w:val="auto"/>
        </w:rPr>
      </w:pPr>
    </w:p>
    <w:p>
      <w:pPr>
        <w:ind w:right="20" w:firstLine="387"/>
        <w:spacing w:after="0" w:line="264" w:lineRule="auto"/>
        <w:rPr>
          <w:sz w:val="20"/>
          <w:szCs w:val="20"/>
          <w:color w:val="auto"/>
        </w:rPr>
      </w:pPr>
      <w:r>
        <w:rPr>
          <w:rFonts w:ascii="Times New Roman" w:cs="Times New Roman" w:eastAsia="Times New Roman" w:hAnsi="Times New Roman"/>
          <w:sz w:val="17"/>
          <w:szCs w:val="17"/>
          <w:color w:val="auto"/>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 situations involving “bad acts” by an Opendoor entity and certain other limited circumstances.</w:t>
      </w:r>
    </w:p>
    <w:p>
      <w:pPr>
        <w:spacing w:after="0" w:line="171" w:lineRule="exact"/>
        <w:rPr>
          <w:sz w:val="20"/>
          <w:szCs w:val="20"/>
          <w:color w:val="auto"/>
        </w:rPr>
      </w:pPr>
    </w:p>
    <w:p>
      <w:pPr>
        <w:ind w:right="60" w:firstLine="387"/>
        <w:spacing w:after="0" w:line="260" w:lineRule="auto"/>
        <w:rPr>
          <w:sz w:val="20"/>
          <w:szCs w:val="20"/>
          <w:color w:val="auto"/>
        </w:rPr>
      </w:pPr>
      <w:r>
        <w:rPr>
          <w:rFonts w:ascii="Times New Roman" w:cs="Times New Roman" w:eastAsia="Times New Roman" w:hAnsi="Times New Roman"/>
          <w:sz w:val="17"/>
          <w:szCs w:val="17"/>
          <w:color w:val="auto"/>
        </w:rPr>
        <w:t>As of September 30, 2022, the Company had total borrowing capacity with respect to its non-recourse asset- backed debt of $11.8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September 30, 2022, the Company had committed borrowing capacity with respect to the Company’s non-recourse asset-backed debt of $8.6 billion; this committed borrowing capacity is comprised of $4.0 billion for senior revolving credit facilities, $2.1 billion for senior term debt facilities, and $2.5 billion for mezzanine term debt facilities.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1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Asset-backed Senior Revolving Credit Facilities</w:t>
      </w:r>
    </w:p>
    <w:p>
      <w:pPr>
        <w:spacing w:after="0" w:line="221"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spacing w:after="0" w:line="151" w:lineRule="exact"/>
        <w:rPr>
          <w:sz w:val="20"/>
          <w:szCs w:val="20"/>
          <w:color w:val="auto"/>
        </w:rPr>
      </w:pPr>
    </w:p>
    <w:p>
      <w:pPr>
        <w:ind w:right="20" w:firstLine="387"/>
        <w:spacing w:after="0" w:line="260" w:lineRule="auto"/>
        <w:rPr>
          <w:sz w:val="20"/>
          <w:szCs w:val="20"/>
          <w:color w:val="auto"/>
        </w:rPr>
      </w:pPr>
      <w:r>
        <w:rPr>
          <w:rFonts w:ascii="Times New Roman" w:cs="Times New Roman" w:eastAsia="Times New Roman" w:hAnsi="Times New Roman"/>
          <w:sz w:val="17"/>
          <w:szCs w:val="17"/>
          <w:color w:val="auto"/>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spacing w:after="0" w:line="385" w:lineRule="exact"/>
        <w:rPr>
          <w:sz w:val="20"/>
          <w:szCs w:val="20"/>
          <w:color w:val="auto"/>
        </w:rPr>
      </w:pPr>
    </w:p>
    <w:p>
      <w:pPr>
        <w:ind w:right="240" w:firstLine="387"/>
        <w:spacing w:after="0" w:line="261" w:lineRule="auto"/>
        <w:rPr>
          <w:sz w:val="20"/>
          <w:szCs w:val="20"/>
          <w:color w:val="auto"/>
        </w:rPr>
      </w:pPr>
      <w:r>
        <w:rPr>
          <w:rFonts w:ascii="Times New Roman" w:cs="Times New Roman" w:eastAsia="Times New Roman" w:hAnsi="Times New Roman"/>
          <w:sz w:val="17"/>
          <w:szCs w:val="17"/>
          <w:color w:val="auto"/>
        </w:rPr>
        <w:t>Borrowings under the senior revolving credit facilities accrue interest at a Benchmark reference rate ("Benchmark Rate"), which may be based on London Interbank Offered Rate ("LIBOR") or the secured overnight financing rate ("SOFR"),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Benchmark Rate breakage costs.</w:t>
      </w:r>
    </w:p>
    <w:p>
      <w:pPr>
        <w:spacing w:after="0" w:line="175" w:lineRule="exact"/>
        <w:rPr>
          <w:sz w:val="20"/>
          <w:szCs w:val="20"/>
          <w:color w:val="auto"/>
        </w:rPr>
      </w:pPr>
    </w:p>
    <w:p>
      <w:pPr>
        <w:ind w:right="20" w:firstLine="387"/>
        <w:spacing w:after="0" w:line="261" w:lineRule="auto"/>
        <w:rPr>
          <w:sz w:val="20"/>
          <w:szCs w:val="20"/>
          <w:color w:val="auto"/>
        </w:rPr>
      </w:pPr>
      <w:r>
        <w:rPr>
          <w:rFonts w:ascii="Times New Roman" w:cs="Times New Roman" w:eastAsia="Times New Roman" w:hAnsi="Times New Roman"/>
          <w:sz w:val="17"/>
          <w:szCs w:val="17"/>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Asset-backed Senior Term Debt Facilities</w:t>
      </w:r>
    </w:p>
    <w:p>
      <w:pPr>
        <w:spacing w:after="0" w:line="221" w:lineRule="exact"/>
        <w:rPr>
          <w:sz w:val="20"/>
          <w:szCs w:val="20"/>
          <w:color w:val="auto"/>
        </w:rPr>
      </w:pPr>
    </w:p>
    <w:p>
      <w:pPr>
        <w:ind w:right="680" w:firstLine="387"/>
        <w:spacing w:after="0" w:line="287" w:lineRule="auto"/>
        <w:rPr>
          <w:sz w:val="20"/>
          <w:szCs w:val="20"/>
          <w:color w:val="auto"/>
        </w:rPr>
      </w:pPr>
      <w:r>
        <w:rPr>
          <w:rFonts w:ascii="Times New Roman" w:cs="Times New Roman" w:eastAsia="Times New Roman" w:hAnsi="Times New Roman"/>
          <w:sz w:val="17"/>
          <w:szCs w:val="17"/>
          <w:color w:val="auto"/>
        </w:rPr>
        <w:t>The Company classifies its senior term debt facilities as non-current liabilities on the Company’s condensed consolidated balance sheets because its borrowings under these facilities are generally not required to be repaid until the final maturity date.</w:t>
      </w:r>
    </w:p>
    <w:p>
      <w:pPr>
        <w:spacing w:after="0" w:line="151" w:lineRule="exact"/>
        <w:rPr>
          <w:sz w:val="20"/>
          <w:szCs w:val="20"/>
          <w:color w:val="auto"/>
        </w:rPr>
      </w:pPr>
    </w:p>
    <w:p>
      <w:pPr>
        <w:ind w:right="80" w:firstLine="387"/>
        <w:spacing w:after="0" w:line="260" w:lineRule="auto"/>
        <w:rPr>
          <w:sz w:val="20"/>
          <w:szCs w:val="20"/>
          <w:color w:val="auto"/>
        </w:rPr>
      </w:pPr>
      <w:r>
        <w:rPr>
          <w:rFonts w:ascii="Times New Roman" w:cs="Times New Roman" w:eastAsia="Times New Roman" w:hAnsi="Times New Roman"/>
          <w:sz w:val="17"/>
          <w:szCs w:val="17"/>
          <w:color w:val="auto"/>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73" w:lineRule="exact"/>
        <w:rPr>
          <w:sz w:val="20"/>
          <w:szCs w:val="20"/>
          <w:color w:val="auto"/>
        </w:rPr>
      </w:pPr>
    </w:p>
    <w:p>
      <w:pPr>
        <w:ind w:right="140" w:firstLine="387"/>
        <w:spacing w:after="0" w:line="270" w:lineRule="auto"/>
        <w:rPr>
          <w:sz w:val="20"/>
          <w:szCs w:val="20"/>
          <w:color w:val="auto"/>
        </w:rPr>
      </w:pPr>
      <w:r>
        <w:rPr>
          <w:rFonts w:ascii="Times New Roman" w:cs="Times New Roman" w:eastAsia="Times New Roman" w:hAnsi="Times New Roman"/>
          <w:sz w:val="17"/>
          <w:szCs w:val="17"/>
          <w:color w:val="auto"/>
        </w:rPr>
        <w:t>Borrowings under the senior term debt facilities accrue interest at a fixed rate with the exception of Term Debt Facility 2022-S2, which accrues interest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65" w:lineRule="exact"/>
        <w:rPr>
          <w:sz w:val="20"/>
          <w:szCs w:val="20"/>
          <w:color w:val="auto"/>
        </w:rPr>
      </w:pPr>
    </w:p>
    <w:p>
      <w:pPr>
        <w:ind w:firstLine="387"/>
        <w:spacing w:after="0" w:line="264" w:lineRule="auto"/>
        <w:rPr>
          <w:sz w:val="20"/>
          <w:szCs w:val="20"/>
          <w:color w:val="auto"/>
        </w:rPr>
      </w:pPr>
      <w:r>
        <w:rPr>
          <w:rFonts w:ascii="Times New Roman" w:cs="Times New Roman" w:eastAsia="Times New Roman" w:hAnsi="Times New Roman"/>
          <w:sz w:val="17"/>
          <w:szCs w:val="17"/>
          <w:color w:val="auto"/>
        </w:rPr>
        <w:t>The senior term debt facilities have aggregated property borrowing bases, which increase or decrease based on the cost and the value of the properties financed under a given facility, the time those properties are in the Company’s possession and the amount of cash collateral pledged by the relevant borrowers. The borrowing base for a given facility may be reduced as properties age beyond certain thresholds or the performance of the properties financed under that facility declines, and any borrowing base deficiencies may be satisfied through contributions of additional properties, cash or through partial repayment of the facility.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1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Asset-backed Mezzanine Term Debt Facilities</w:t>
      </w:r>
    </w:p>
    <w:p>
      <w:pPr>
        <w:spacing w:after="0" w:line="221" w:lineRule="exact"/>
        <w:rPr>
          <w:sz w:val="20"/>
          <w:szCs w:val="20"/>
          <w:color w:val="auto"/>
        </w:rPr>
      </w:pPr>
    </w:p>
    <w:p>
      <w:pPr>
        <w:ind w:right="220" w:firstLine="387"/>
        <w:spacing w:after="0" w:line="270" w:lineRule="auto"/>
        <w:rPr>
          <w:sz w:val="20"/>
          <w:szCs w:val="20"/>
          <w:color w:val="auto"/>
        </w:rPr>
      </w:pPr>
      <w:r>
        <w:rPr>
          <w:rFonts w:ascii="Times New Roman" w:cs="Times New Roman" w:eastAsia="Times New Roman" w:hAnsi="Times New Roman"/>
          <w:sz w:val="17"/>
          <w:szCs w:val="17"/>
          <w:color w:val="auto"/>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spacing w:after="0" w:line="165" w:lineRule="exact"/>
        <w:rPr>
          <w:sz w:val="20"/>
          <w:szCs w:val="20"/>
          <w:color w:val="auto"/>
        </w:rPr>
      </w:pPr>
    </w:p>
    <w:p>
      <w:pPr>
        <w:ind w:right="100" w:firstLine="387"/>
        <w:spacing w:after="0" w:line="261" w:lineRule="auto"/>
        <w:rPr>
          <w:sz w:val="20"/>
          <w:szCs w:val="20"/>
          <w:color w:val="auto"/>
        </w:rPr>
      </w:pPr>
      <w:r>
        <w:rPr>
          <w:rFonts w:ascii="Times New Roman" w:cs="Times New Roman" w:eastAsia="Times New Roman" w:hAnsi="Times New Roman"/>
          <w:sz w:val="17"/>
          <w:szCs w:val="17"/>
          <w:color w:val="auto"/>
        </w:rPr>
        <w:t>The mezzanine term debt facilities have been structured with an initial 42 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75" w:lineRule="exact"/>
        <w:rPr>
          <w:sz w:val="20"/>
          <w:szCs w:val="20"/>
          <w:color w:val="auto"/>
        </w:rPr>
      </w:pPr>
    </w:p>
    <w:p>
      <w:pPr>
        <w:ind w:right="100" w:firstLine="387"/>
        <w:spacing w:after="0" w:line="287" w:lineRule="auto"/>
        <w:rPr>
          <w:sz w:val="20"/>
          <w:szCs w:val="20"/>
          <w:color w:val="auto"/>
        </w:rPr>
      </w:pPr>
      <w:r>
        <w:rPr>
          <w:rFonts w:ascii="Times New Roman" w:cs="Times New Roman" w:eastAsia="Times New Roman" w:hAnsi="Times New Roman"/>
          <w:sz w:val="17"/>
          <w:szCs w:val="17"/>
          <w:color w:val="auto"/>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spacing w:after="0" w:line="151" w:lineRule="exact"/>
        <w:rPr>
          <w:sz w:val="20"/>
          <w:szCs w:val="20"/>
          <w:color w:val="auto"/>
        </w:rPr>
      </w:pPr>
    </w:p>
    <w:p>
      <w:pPr>
        <w:ind w:right="80" w:firstLine="387"/>
        <w:spacing w:after="0" w:line="264" w:lineRule="auto"/>
        <w:rPr>
          <w:sz w:val="20"/>
          <w:szCs w:val="20"/>
          <w:color w:val="auto"/>
        </w:rPr>
      </w:pPr>
      <w:r>
        <w:rPr>
          <w:rFonts w:ascii="Times New Roman" w:cs="Times New Roman" w:eastAsia="Times New Roman" w:hAnsi="Times New Roman"/>
          <w:sz w:val="17"/>
          <w:szCs w:val="17"/>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borrowers. The borrowing base for a given facility may be reduced as properties age beyond certain thresholds or the performance of the properties financed under that facility declines and any borrowing base deficiencies may be satisfied through contributions of additional properties or cash or through partial repayment of the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Covenants</w:t>
      </w:r>
    </w:p>
    <w:p>
      <w:pPr>
        <w:spacing w:after="0" w:line="221" w:lineRule="exact"/>
        <w:rPr>
          <w:sz w:val="20"/>
          <w:szCs w:val="20"/>
          <w:color w:val="auto"/>
        </w:rPr>
      </w:pPr>
    </w:p>
    <w:p>
      <w:pPr>
        <w:ind w:right="340" w:firstLine="387"/>
        <w:spacing w:after="0" w:line="287" w:lineRule="auto"/>
        <w:rPr>
          <w:sz w:val="20"/>
          <w:szCs w:val="20"/>
          <w:color w:val="auto"/>
        </w:rPr>
      </w:pPr>
      <w:r>
        <w:rPr>
          <w:rFonts w:ascii="Times New Roman" w:cs="Times New Roman" w:eastAsia="Times New Roman" w:hAnsi="Times New Roman"/>
          <w:sz w:val="17"/>
          <w:szCs w:val="17"/>
          <w:color w:val="auto"/>
        </w:rPr>
        <w:t>The Company’s inventory financing facilities include customary representations and warranties, covenants and events of default. Financed properties are subject to customary eligibility criteria and concentration limits.</w:t>
      </w:r>
    </w:p>
    <w:p>
      <w:pPr>
        <w:spacing w:after="0" w:line="151" w:lineRule="exact"/>
        <w:rPr>
          <w:sz w:val="20"/>
          <w:szCs w:val="20"/>
          <w:color w:val="auto"/>
        </w:rPr>
      </w:pPr>
    </w:p>
    <w:p>
      <w:pPr>
        <w:ind w:right="180" w:firstLine="387"/>
        <w:spacing w:after="0" w:line="270" w:lineRule="auto"/>
        <w:rPr>
          <w:sz w:val="20"/>
          <w:szCs w:val="20"/>
          <w:color w:val="auto"/>
        </w:rPr>
      </w:pPr>
      <w:r>
        <w:rPr>
          <w:rFonts w:ascii="Times New Roman" w:cs="Times New Roman" w:eastAsia="Times New Roman" w:hAnsi="Times New Roman"/>
          <w:sz w:val="17"/>
          <w:szCs w:val="17"/>
          <w:color w:val="auto"/>
        </w:rPr>
        <w:t>The terms of these inventory financing facilities and related financing documents require an Opendoor subsidiary to comply with customary financial covenants, such as maintaining certain levels of liquidity, tangible net worth or leverage (ratio of debt to equity). As of September 30, 2022, the Company was in compliance with all financial covenants and no event of default had occurred.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Mortgage Financing</w:t>
      </w:r>
    </w:p>
    <w:p>
      <w:pPr>
        <w:spacing w:after="0" w:line="223"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The Company’s change in mortgage approach has precipitated a change to its mortgage financing. Since March 2019, the Company has utilized a master repurchase agreement (the “Repurchase Agreement”) to provide capital for Opendoor Home Loans. The facility, which has been classified as a current liability on the Company’s condensed consolidated balance sheets, provided short-term financing between the issuance of a mortgage loan and when Opendoor Home Loans sold the loan to an investor. In accordance with the Repurchase Agreement, the lender agreed to pay Opendoor Home Loans a negotiated purchase price for eligible loans and Opendoor Home Loans simultaneously agreed to repurchase such loans from the lender within a specified timeframe and at an agreed upon price that included interest. Opendoor Labs Inc. was the guarantor with respect to the Repurchase Agreement and the obligation to repurchase loans previously transferred under the arrangement for the benefit of the lender. This financing arrangement was an important component of Opendoor Home Loans’ operations as a correspondent lender.</w:t>
      </w:r>
    </w:p>
    <w:p>
      <w:pPr>
        <w:spacing w:after="0" w:line="175" w:lineRule="exact"/>
        <w:rPr>
          <w:sz w:val="20"/>
          <w:szCs w:val="20"/>
          <w:color w:val="auto"/>
        </w:rPr>
      </w:pPr>
    </w:p>
    <w:p>
      <w:pPr>
        <w:ind w:right="40" w:firstLine="387"/>
        <w:spacing w:after="0" w:line="264" w:lineRule="auto"/>
        <w:rPr>
          <w:sz w:val="20"/>
          <w:szCs w:val="20"/>
          <w:color w:val="auto"/>
        </w:rPr>
      </w:pPr>
      <w:r>
        <w:rPr>
          <w:rFonts w:ascii="Times New Roman" w:cs="Times New Roman" w:eastAsia="Times New Roman" w:hAnsi="Times New Roman"/>
          <w:sz w:val="17"/>
          <w:szCs w:val="17"/>
          <w:color w:val="auto"/>
        </w:rPr>
        <w:t>In recent months, the Company has changed how it delivers mortgage services. Instead of correspondent lending, the Company is now focused on mortgage brokering via both Opendoor Home Loans and OD Homes Brokerage (formerly RedDoor), which the Company believes will further its efforts to seamlessly integrate mortgage with the rest of the Opendoor ecosystem. The shift to mortgage brokering has resulted in the Company no longer requiring this facility after the existing mortgage loans financed under this facility were sold. The Repurchase Agreement was terminated in October 2022.</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87"/>
        <w:spacing w:after="0" w:line="270" w:lineRule="auto"/>
        <w:rPr>
          <w:sz w:val="20"/>
          <w:szCs w:val="20"/>
          <w:color w:val="auto"/>
        </w:rPr>
      </w:pPr>
      <w:r>
        <w:rPr>
          <w:rFonts w:ascii="Times New Roman" w:cs="Times New Roman" w:eastAsia="Times New Roman" w:hAnsi="Times New Roman"/>
          <w:sz w:val="17"/>
          <w:szCs w:val="17"/>
          <w:color w:val="auto"/>
        </w:rPr>
        <w:t>As of September 30, 2022, the Repurchase Agreement had a borrowing capacity of $100 million, of which $20 million was committed. The Repurchase Agreement included customary representations and warranties, covenants and provisions regarding events of default. As of September 30, 2022, no mortgage loans were financed under the facility, and Opendoor was in compliance with all financial covenants and no event of default had occurred.</w:t>
      </w:r>
    </w:p>
    <w:p>
      <w:pPr>
        <w:spacing w:after="0" w:line="165" w:lineRule="exact"/>
        <w:rPr>
          <w:sz w:val="20"/>
          <w:szCs w:val="20"/>
          <w:color w:val="auto"/>
        </w:rPr>
      </w:pPr>
    </w:p>
    <w:p>
      <w:pPr>
        <w:ind w:right="180" w:firstLine="387"/>
        <w:spacing w:after="0" w:line="264" w:lineRule="auto"/>
        <w:rPr>
          <w:sz w:val="20"/>
          <w:szCs w:val="20"/>
          <w:color w:val="auto"/>
        </w:rPr>
      </w:pPr>
      <w:r>
        <w:rPr>
          <w:rFonts w:ascii="Times New Roman" w:cs="Times New Roman" w:eastAsia="Times New Roman" w:hAnsi="Times New Roman"/>
          <w:sz w:val="17"/>
          <w:szCs w:val="17"/>
          <w:color w:val="auto"/>
        </w:rPr>
        <w:t>Transactions under the Repurchase Agreement bore interest at a rate based on one-month LIBOR plus an applicable margin, as defined in the Repurchase Agreement, and were secured by residential mortgage loans available for sale. The Repurchase Agreement contained margin call provisions that provided the lender with certain rights in the event of a decline in the market value of the assets purchased under the Repurchase Agreement. The Repurchase Agreement was recourse to Opendoor Labs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23" w:lineRule="exact"/>
        <w:rPr>
          <w:sz w:val="20"/>
          <w:szCs w:val="20"/>
          <w:color w:val="auto"/>
        </w:rPr>
      </w:pPr>
    </w:p>
    <w:p>
      <w:pPr>
        <w:ind w:right="360" w:firstLine="387"/>
        <w:spacing w:after="0" w:line="287" w:lineRule="auto"/>
        <w:rPr>
          <w:sz w:val="20"/>
          <w:szCs w:val="20"/>
          <w:color w:val="auto"/>
        </w:rPr>
      </w:pPr>
      <w:r>
        <w:rPr>
          <w:rFonts w:ascii="Times New Roman" w:cs="Times New Roman" w:eastAsia="Times New Roman" w:hAnsi="Times New Roman"/>
          <w:sz w:val="17"/>
          <w:szCs w:val="17"/>
          <w:color w:val="auto"/>
        </w:rPr>
        <w:t>In August 2021, the Company issued 0.25% senior notes due in 2026 (the “2026 Notes”) with an aggregate principal amount of $978 million. The tables below summarizes certain details related to the 2026 Notes (in millions, except interest rates):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Aggregate Principal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4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5"/>
        </w:trPr>
        <w:tc>
          <w:tcPr>
            <w:tcW w:w="2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1"/>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517"/>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Stated Cash Interest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Semi-Annual Interest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5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Effective Interest Rate</w:t>
            </w: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Payment Dates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Conversion 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Conversion Price</w:t>
            </w:r>
          </w:p>
        </w:tc>
      </w:tr>
      <w:tr>
        <w:trPr>
          <w:trHeight w:val="35"/>
        </w:trPr>
        <w:tc>
          <w:tcPr>
            <w:tcW w:w="2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9"/>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February 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1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August 15,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0.25 %</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0.77 %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August 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51.9926</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w:t>
            </w:r>
          </w:p>
        </w:tc>
      </w:tr>
      <w:tr>
        <w:trPr>
          <w:trHeight w:val="25"/>
        </w:trPr>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67"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conversion obligation by paying cash or providing a combination of cash and the Company's common stock, at the Company's election, based on the applicable conversion rate.</w:t>
      </w:r>
    </w:p>
    <w:p>
      <w:pPr>
        <w:spacing w:after="0" w:line="179" w:lineRule="exact"/>
        <w:rPr>
          <w:sz w:val="20"/>
          <w:szCs w:val="20"/>
          <w:color w:val="auto"/>
        </w:rPr>
      </w:pPr>
    </w:p>
    <w:p>
      <w:pPr>
        <w:ind w:right="260" w:firstLine="387"/>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September 30, 2022, total interest expense on the Company's convertible senior notes was $2 million and $6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Capped Calls</w:t>
      </w:r>
    </w:p>
    <w:p>
      <w:pPr>
        <w:spacing w:after="0" w:line="221" w:lineRule="exact"/>
        <w:rPr>
          <w:sz w:val="20"/>
          <w:szCs w:val="20"/>
          <w:color w:val="auto"/>
        </w:rPr>
      </w:pPr>
    </w:p>
    <w:p>
      <w:pPr>
        <w:ind w:right="40" w:firstLine="387"/>
        <w:spacing w:after="0" w:line="261" w:lineRule="auto"/>
        <w:rPr>
          <w:sz w:val="20"/>
          <w:szCs w:val="20"/>
          <w:color w:val="auto"/>
        </w:rPr>
      </w:pPr>
      <w:r>
        <w:rPr>
          <w:rFonts w:ascii="Times New Roman" w:cs="Times New Roman" w:eastAsia="Times New Roman" w:hAnsi="Times New Roman"/>
          <w:sz w:val="17"/>
          <w:szCs w:val="17"/>
          <w:color w:val="auto"/>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pacing w:after="0" w:line="171" w:lineRule="exact"/>
        <w:rPr>
          <w:sz w:val="20"/>
          <w:szCs w:val="20"/>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DISCLOSURES</w:t>
      </w:r>
    </w:p>
    <w:p>
      <w:pPr>
        <w:spacing w:after="0" w:line="221" w:lineRule="exact"/>
        <w:rPr>
          <w:rFonts w:ascii="Times New Roman" w:cs="Times New Roman" w:eastAsia="Times New Roman" w:hAnsi="Times New Roman"/>
          <w:sz w:val="17"/>
          <w:szCs w:val="17"/>
          <w:b w:val="1"/>
          <w:bCs w:val="1"/>
          <w:color w:val="auto"/>
        </w:rPr>
      </w:pPr>
    </w:p>
    <w:p>
      <w:pPr>
        <w:ind w:left="3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uses fair value measurements to record fair value adjustments to certain assets and liabilities and to determine fair value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17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7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Hierarchy</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Fair value measurements of assets and liabilities are categorized based on the following hierarchy:</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Level 1 — </w:t>
      </w:r>
      <w:r>
        <w:rPr>
          <w:rFonts w:ascii="Times New Roman" w:cs="Times New Roman" w:eastAsia="Times New Roman" w:hAnsi="Times New Roman"/>
          <w:sz w:val="17"/>
          <w:szCs w:val="17"/>
          <w:color w:val="auto"/>
        </w:rPr>
        <w:t>Fair value determined based on quoted prices in active markets for identical assets or liabilities.</w:t>
      </w:r>
    </w:p>
    <w:p>
      <w:pPr>
        <w:spacing w:after="0" w:line="217" w:lineRule="exact"/>
        <w:rPr>
          <w:sz w:val="20"/>
          <w:szCs w:val="20"/>
          <w:color w:val="auto"/>
        </w:rPr>
      </w:pPr>
    </w:p>
    <w:p>
      <w:pPr>
        <w:ind w:right="120" w:firstLine="387"/>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Level 2 — </w:t>
      </w:r>
      <w:r>
        <w:rPr>
          <w:rFonts w:ascii="Times New Roman" w:cs="Times New Roman" w:eastAsia="Times New Roman" w:hAnsi="Times New Roman"/>
          <w:sz w:val="17"/>
          <w:szCs w:val="17"/>
          <w:color w:val="auto"/>
        </w:rPr>
        <w:t>Fair value determined using significant observable inputs, such as quoted prices for similar assets or liabilities or quoted prices for identical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Level 3 — </w:t>
      </w:r>
      <w:r>
        <w:rPr>
          <w:rFonts w:ascii="Times New Roman" w:cs="Times New Roman" w:eastAsia="Times New Roman" w:hAnsi="Times New Roman"/>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36"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69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69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Estimation of Fair Value</w:t>
      </w:r>
    </w:p>
    <w:p>
      <w:pPr>
        <w:spacing w:after="0" w:line="223" w:lineRule="exact"/>
        <w:rPr>
          <w:sz w:val="20"/>
          <w:szCs w:val="20"/>
          <w:color w:val="auto"/>
        </w:rPr>
      </w:pPr>
    </w:p>
    <w:p>
      <w:pPr>
        <w:ind w:right="10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0540"/>
          </w:cols>
          <w:pgMar w:left="320" w:top="136" w:right="10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2349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Marketable securities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Mutual fund</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 securities</w:t>
      </w:r>
    </w:p>
    <w:p>
      <w:pPr>
        <w:spacing w:after="0" w:line="265"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7"/>
          <w:szCs w:val="17"/>
          <w:b w:val="1"/>
          <w:bCs w:val="1"/>
          <w:color w:val="auto"/>
        </w:rPr>
        <w:t>Mortgage loans held for sale pledged under agreements to repurchase</w:t>
      </w:r>
    </w:p>
    <w:p>
      <w:pPr>
        <w:spacing w:after="0" w:line="195" w:lineRule="exact"/>
        <w:rPr>
          <w:sz w:val="20"/>
          <w:szCs w:val="20"/>
          <w:color w:val="auto"/>
        </w:rPr>
      </w:pPr>
    </w:p>
    <w:p>
      <w:pPr>
        <w:ind w:left="20" w:right="1220"/>
        <w:spacing w:after="0" w:line="355" w:lineRule="auto"/>
        <w:rPr>
          <w:sz w:val="20"/>
          <w:szCs w:val="20"/>
          <w:color w:val="auto"/>
        </w:rPr>
      </w:pPr>
      <w:r>
        <w:rPr>
          <w:rFonts w:ascii="Times New Roman" w:cs="Times New Roman" w:eastAsia="Times New Roman" w:hAnsi="Times New Roman"/>
          <w:sz w:val="17"/>
          <w:szCs w:val="17"/>
          <w:b w:val="1"/>
          <w:bCs w:val="1"/>
          <w:color w:val="auto"/>
        </w:rPr>
        <w:t xml:space="preserve">Other current assets </w:t>
      </w:r>
      <w:r>
        <w:rPr>
          <w:rFonts w:ascii="Times New Roman" w:cs="Times New Roman" w:eastAsia="Times New Roman" w:hAnsi="Times New Roman"/>
          <w:sz w:val="17"/>
          <w:szCs w:val="17"/>
          <w:color w:val="auto"/>
        </w:rPr>
        <w:t>Mortgage loans held for sale</w:t>
      </w:r>
    </w:p>
    <w:p>
      <w:pPr>
        <w:spacing w:after="0" w:line="350" w:lineRule="exact"/>
        <w:rPr>
          <w:sz w:val="20"/>
          <w:szCs w:val="20"/>
          <w:color w:val="auto"/>
        </w:rPr>
      </w:pPr>
    </w:p>
    <w:p>
      <w:pPr>
        <w:ind w:left="20" w:right="840"/>
        <w:spacing w:after="0" w:line="355" w:lineRule="auto"/>
        <w:rPr>
          <w:sz w:val="20"/>
          <w:szCs w:val="20"/>
          <w:color w:val="auto"/>
        </w:rPr>
      </w:pPr>
      <w:r>
        <w:rPr>
          <w:rFonts w:ascii="Times New Roman" w:cs="Times New Roman" w:eastAsia="Times New Roman" w:hAnsi="Times New Roman"/>
          <w:sz w:val="17"/>
          <w:szCs w:val="17"/>
          <w:b w:val="1"/>
          <w:bCs w:val="1"/>
          <w:color w:val="auto"/>
        </w:rPr>
        <w:t xml:space="preserve">Non-recourse asset-backed debt </w:t>
      </w:r>
      <w:r>
        <w:rPr>
          <w:rFonts w:ascii="Times New Roman" w:cs="Times New Roman" w:eastAsia="Times New Roman" w:hAnsi="Times New Roman"/>
          <w:sz w:val="17"/>
          <w:szCs w:val="17"/>
          <w:color w:val="auto"/>
        </w:rPr>
        <w:t>Credit facilities</w:t>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Other secured borrowings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Loans sold under agreements to repurchase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Convertible senior notes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Methodology, Inputs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41275</wp:posOffset>
            </wp:positionV>
            <wp:extent cx="2357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6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Carrying value is a reasonable estimate of fair value based on the short-term nature of the instruments.</w:t>
      </w:r>
    </w:p>
    <w:p>
      <w:pPr>
        <w:spacing w:after="0" w:line="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Carrying value is a reasonable estimate of fair value based on the short-term nature of the instruments.</w:t>
      </w:r>
    </w:p>
    <w:p>
      <w:pPr>
        <w:spacing w:after="0" w:line="25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Prices obtained from third-party vendors that compile prices from various sources and often apply matrix pricing for similar securities when no price is observable.</w:t>
      </w:r>
    </w:p>
    <w:p>
      <w:pPr>
        <w:spacing w:after="0" w:line="1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color w:val="auto"/>
        </w:rPr>
        <w:t>Price is quoted given the security is traded on an exchange.</w:t>
      </w:r>
    </w:p>
    <w:p>
      <w:pPr>
        <w:spacing w:after="0" w:line="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Price is quoted given the securities are traded on an exchange.</w:t>
      </w:r>
    </w:p>
    <w:p>
      <w:pPr>
        <w:spacing w:after="0" w:line="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Fair value is estimated based on observable market data including quoted market prices, deal price quotes, and sale commitments.</w:t>
      </w:r>
    </w:p>
    <w:p>
      <w:pPr>
        <w:spacing w:after="0" w:line="26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Fair value is estimated based on observable market data including quoted market prices and deal price quotes.</w:t>
      </w:r>
    </w:p>
    <w:p>
      <w:pPr>
        <w:spacing w:after="0" w:line="26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Fair value is estimated using discounted cash flows based on current lending rates for similar credit facilities with similar terms and remaining time to maturity.</w:t>
      </w:r>
    </w:p>
    <w:p>
      <w:pPr>
        <w:spacing w:after="0" w:line="27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Fair value is estimated using discounted cash flows based on current lending rates for similar asset-backed financing facilities with similar terms and remaining time to maturity.</w:t>
      </w:r>
    </w:p>
    <w:p>
      <w:pPr>
        <w:spacing w:after="0" w:line="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is estimated using broker quotes and other observable market inputs.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36195</wp:posOffset>
            </wp:positionV>
            <wp:extent cx="23164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estimated fair value measurement.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estimated fair value measurement.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recurring fair value measurement.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recurring fair value measurement.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Carried at amortized cost.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estimated fair value measurement.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Carried at amortized cost.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estimated fair value measurement.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Carried at amortized cost.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estimated fair value measurement.</w:t>
      </w:r>
    </w:p>
    <w:p>
      <w:pPr>
        <w:spacing w:after="0" w:line="248" w:lineRule="exact"/>
        <w:rPr>
          <w:sz w:val="20"/>
          <w:szCs w:val="20"/>
          <w:color w:val="auto"/>
        </w:rPr>
      </w:pPr>
    </w:p>
    <w:p>
      <w:pPr>
        <w:sectPr>
          <w:pgSz w:w="11900" w:h="16838" w:orient="portrait"/>
          <w:cols w:equalWidth="0" w:num="3">
            <w:col w:w="3200" w:space="620"/>
            <w:col w:w="3620" w:space="180"/>
            <w:col w:w="2920"/>
          </w:cols>
          <w:pgMar w:left="320" w:top="136" w:right="10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320" w:top="136" w:right="10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Recorded at Fair Value on a Recurring Basis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tables present the levels of the fair value hierarchy for the Company’s assets measured at fair value on a recurring basis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Balance at Fair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5"/>
                <w:szCs w:val="15"/>
                <w:color w:val="auto"/>
              </w:rPr>
            </w:pP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5"/>
        </w:trPr>
        <w:tc>
          <w:tcPr>
            <w:tcW w:w="5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1"/>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securities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Asset-backed securities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Mortgage loans held for sale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Balance at Fair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5"/>
        </w:trPr>
        <w:tc>
          <w:tcPr>
            <w:tcW w:w="5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1"/>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Mutual fund</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securities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Asset-backed securities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Sovereign bonds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held for sale pledged under agreements to repurchase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
        </w:trPr>
        <w:tc>
          <w:tcPr>
            <w:tcW w:w="5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loans held for sale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3" w:lineRule="exact"/>
        <w:rPr>
          <w:sz w:val="20"/>
          <w:szCs w:val="20"/>
          <w:color w:val="auto"/>
        </w:rPr>
      </w:pPr>
    </w:p>
    <w:p>
      <w:pPr>
        <w:ind w:right="180" w:firstLine="387"/>
        <w:spacing w:after="0" w:line="287" w:lineRule="auto"/>
        <w:rPr>
          <w:sz w:val="20"/>
          <w:szCs w:val="20"/>
          <w:color w:val="auto"/>
        </w:rPr>
      </w:pPr>
      <w:r>
        <w:rPr>
          <w:rFonts w:ascii="Times New Roman" w:cs="Times New Roman" w:eastAsia="Times New Roman" w:hAnsi="Times New Roman"/>
          <w:sz w:val="17"/>
          <w:szCs w:val="17"/>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
        </w:trPr>
        <w:tc>
          <w:tcPr>
            <w:tcW w:w="59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6"/>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1"/>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35"/>
        </w:trPr>
        <w:tc>
          <w:tcPr>
            <w:tcW w:w="5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2"/>
        </w:trPr>
        <w:tc>
          <w:tcPr>
            <w:tcW w:w="5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Non-recourse asset-backed debt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w:t>
            </w:r>
          </w:p>
        </w:tc>
      </w:tr>
      <w:tr>
        <w:trPr>
          <w:trHeight w:val="232"/>
        </w:trPr>
        <w:tc>
          <w:tcPr>
            <w:tcW w:w="5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36195</wp:posOffset>
            </wp:positionV>
            <wp:extent cx="3380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2"/>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0"/>
                <w:szCs w:val="20"/>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35"/>
        </w:trPr>
        <w:tc>
          <w:tcPr>
            <w:tcW w:w="5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2"/>
        </w:trPr>
        <w:tc>
          <w:tcPr>
            <w:tcW w:w="5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Non-recourse asset-backed debt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w:t>
            </w:r>
          </w:p>
        </w:tc>
      </w:tr>
      <w:tr>
        <w:trPr>
          <w:trHeight w:val="232"/>
        </w:trPr>
        <w:tc>
          <w:tcPr>
            <w:tcW w:w="5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secured borrowings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5"/>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5"/>
        </w:trPr>
        <w:tc>
          <w:tcPr>
            <w:tcW w:w="5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ind w:left="380" w:hanging="377"/>
        <w:spacing w:after="0"/>
        <w:tabs>
          <w:tab w:leader="none" w:pos="38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21" w:lineRule="exact"/>
        <w:rPr>
          <w:rFonts w:ascii="Times New Roman" w:cs="Times New Roman" w:eastAsia="Times New Roman" w:hAnsi="Times New Roman"/>
          <w:sz w:val="17"/>
          <w:szCs w:val="17"/>
          <w:b w:val="1"/>
          <w:bCs w:val="1"/>
          <w:color w:val="auto"/>
        </w:rPr>
      </w:pPr>
    </w:p>
    <w:p>
      <w:pPr>
        <w:ind w:left="3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and equipment as of September 30, 2022 and December 31, 2021, consisted of the following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8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Security systems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5"/>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implementation 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5"/>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5"/>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51"/>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 net</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Depreciation and amortization expense of $10 million and $28 million was recorded for the three and nine months ended September 30, 2022,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 expense of $7 million and $19 million was recorded for the three and nine months ended September 30, 2021, respectively.</w:t>
      </w:r>
    </w:p>
    <w:p>
      <w:pPr>
        <w:spacing w:after="0" w:line="196" w:lineRule="exact"/>
        <w:rPr>
          <w:sz w:val="20"/>
          <w:szCs w:val="20"/>
          <w:color w:val="auto"/>
        </w:rPr>
      </w:pPr>
    </w:p>
    <w:p>
      <w:pPr>
        <w:ind w:left="1000" w:hanging="378"/>
        <w:spacing w:after="0"/>
        <w:tabs>
          <w:tab w:leader="none" w:pos="10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208" w:lineRule="exact"/>
        <w:rPr>
          <w:sz w:val="20"/>
          <w:szCs w:val="20"/>
          <w:color w:val="auto"/>
        </w:rPr>
      </w:pPr>
    </w:p>
    <w:p>
      <w:pPr>
        <w:ind w:right="320" w:firstLine="387"/>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2021 the carrying amount of goodwill increased by $29 million due to the acquisitions as stated in “Note 2 — Business Combinations”. No impairment of goodwill was identified for the three and nine months ended September 30, 2022 and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80" w:firstLine="387"/>
        <w:spacing w:after="0" w:line="287" w:lineRule="auto"/>
        <w:rPr>
          <w:sz w:val="20"/>
          <w:szCs w:val="20"/>
          <w:color w:val="auto"/>
        </w:rPr>
      </w:pPr>
      <w:r>
        <w:rPr>
          <w:rFonts w:ascii="Times New Roman" w:cs="Times New Roman" w:eastAsia="Times New Roman" w:hAnsi="Times New Roman"/>
          <w:sz w:val="17"/>
          <w:szCs w:val="17"/>
          <w:color w:val="auto"/>
        </w:rPr>
        <w:t>Intangible assets subject to amortization consisted of the following as of September 30, 2022 and December 31, 2021, respectively (in millions, except years):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3220" w:type="dxa"/>
            <w:vAlign w:val="bottom"/>
          </w:tcPr>
          <w:p>
            <w:pPr>
              <w:jc w:val="center"/>
              <w:ind w:left="1771"/>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40" w:type="dxa"/>
            <w:vAlign w:val="bottom"/>
          </w:tcPr>
          <w:p>
            <w:pPr>
              <w:spacing w:after="0"/>
              <w:rPr>
                <w:sz w:val="15"/>
                <w:szCs w:val="15"/>
                <w:color w:val="auto"/>
              </w:rPr>
            </w:pPr>
          </w:p>
        </w:tc>
        <w:tc>
          <w:tcPr>
            <w:tcW w:w="130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Net</w:t>
            </w:r>
          </w:p>
        </w:tc>
        <w:tc>
          <w:tcPr>
            <w:tcW w:w="154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6"/>
              </w:rPr>
              <w:t>Remaining Weighted</w:t>
            </w:r>
          </w:p>
        </w:tc>
      </w:tr>
      <w:tr>
        <w:trPr>
          <w:trHeight w:val="193"/>
        </w:trPr>
        <w:tc>
          <w:tcPr>
            <w:tcW w:w="3420" w:type="dxa"/>
            <w:vAlign w:val="bottom"/>
          </w:tcPr>
          <w:p>
            <w:pPr>
              <w:spacing w:after="0"/>
              <w:rPr>
                <w:sz w:val="16"/>
                <w:szCs w:val="16"/>
                <w:color w:val="auto"/>
              </w:rPr>
            </w:pPr>
          </w:p>
        </w:tc>
        <w:tc>
          <w:tcPr>
            <w:tcW w:w="3220" w:type="dxa"/>
            <w:vAlign w:val="bottom"/>
          </w:tcPr>
          <w:p>
            <w:pPr>
              <w:jc w:val="center"/>
              <w:ind w:left="1771"/>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54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5"/>
              </w:rPr>
              <w:t>Average Useful Life</w:t>
            </w:r>
          </w:p>
        </w:tc>
      </w:tr>
      <w:tr>
        <w:trPr>
          <w:trHeight w:val="221"/>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20" w:type="dxa"/>
            <w:vAlign w:val="bottom"/>
          </w:tcPr>
          <w:p>
            <w:pPr>
              <w:jc w:val="center"/>
              <w:ind w:left="179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54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4"/>
              </w:rPr>
              <w:t>(Years)</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w:t>
            </w:r>
          </w:p>
        </w:tc>
      </w:tr>
      <w:tr>
        <w:trPr>
          <w:trHeight w:val="232"/>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1.9</w:t>
            </w:r>
          </w:p>
        </w:tc>
      </w:tr>
      <w:tr>
        <w:trPr>
          <w:trHeight w:val="25"/>
        </w:trPr>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1.9</w:t>
            </w:r>
          </w:p>
        </w:tc>
      </w:tr>
      <w:tr>
        <w:trPr>
          <w:trHeight w:val="25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assets – net</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(14)</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560"/>
        </w:trPr>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Remaining Weighted</w:t>
            </w:r>
          </w:p>
        </w:tc>
      </w:tr>
      <w:tr>
        <w:trPr>
          <w:trHeight w:val="193"/>
        </w:trPr>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 Useful Life</w:t>
            </w:r>
          </w:p>
        </w:tc>
      </w:tr>
      <w:tr>
        <w:trPr>
          <w:trHeight w:val="22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r>
      <w:tr>
        <w:trPr>
          <w:trHeight w:val="35"/>
        </w:trPr>
        <w:tc>
          <w:tcPr>
            <w:tcW w:w="5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0.7</w:t>
            </w:r>
          </w:p>
        </w:tc>
      </w:tr>
      <w:tr>
        <w:trPr>
          <w:trHeight w:val="232"/>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2.7</w:t>
            </w:r>
          </w:p>
        </w:tc>
      </w:tr>
      <w:tr>
        <w:trPr>
          <w:trHeight w:val="25"/>
        </w:trPr>
        <w:tc>
          <w:tcPr>
            <w:tcW w:w="5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2.7</w:t>
            </w:r>
          </w:p>
        </w:tc>
      </w:tr>
      <w:tr>
        <w:trPr>
          <w:trHeight w:val="25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assets – net</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Amortization expense for intangible assets was $2 million and $7 million for the three and nine months ended September 30, 2022,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intangible assets was $1 million and $2 million for the three and nine months ended September 30, 2021, respectively.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September 30, 2022, expected amortization of intangible assets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20" w:type="dxa"/>
            <w:vAlign w:val="bottom"/>
          </w:tcPr>
          <w:p>
            <w:pPr>
              <w:spacing w:after="0"/>
              <w:rPr>
                <w:sz w:val="15"/>
                <w:szCs w:val="15"/>
                <w:color w:val="auto"/>
              </w:rPr>
            </w:pPr>
          </w:p>
        </w:tc>
        <w:tc>
          <w:tcPr>
            <w:tcW w:w="12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5"/>
        </w:trPr>
        <w:tc>
          <w:tcPr>
            <w:tcW w:w="9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1"/>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2"/>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5"/>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1"/>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SHAREHOLDERS’ EQUITY</w:t>
      </w:r>
    </w:p>
    <w:p>
      <w:pPr>
        <w:spacing w:after="0" w:line="221" w:lineRule="exact"/>
        <w:rPr>
          <w:sz w:val="20"/>
          <w:szCs w:val="20"/>
          <w:color w:val="auto"/>
        </w:rPr>
      </w:pPr>
    </w:p>
    <w:p>
      <w:pPr>
        <w:ind w:right="40" w:firstLine="387"/>
        <w:spacing w:after="0" w:line="260" w:lineRule="auto"/>
        <w:rPr>
          <w:sz w:val="20"/>
          <w:szCs w:val="20"/>
          <w:color w:val="auto"/>
        </w:rPr>
      </w:pPr>
      <w:r>
        <w:rPr>
          <w:rFonts w:ascii="Times New Roman" w:cs="Times New Roman" w:eastAsia="Times New Roman" w:hAnsi="Times New Roman"/>
          <w:sz w:val="17"/>
          <w:szCs w:val="17"/>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Times New Roman" w:cs="Times New Roman" w:eastAsia="Times New Roman" w:hAnsi="Times New Roman"/>
          <w:sz w:val="17"/>
          <w:szCs w:val="17"/>
          <w:i w:val="1"/>
          <w:iCs w:val="1"/>
          <w:color w:val="auto"/>
        </w:rPr>
        <w:t>Note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Share-Based Awards”.</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SHARE-BASED AWARDS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Plan</w:t>
      </w:r>
    </w:p>
    <w:p>
      <w:pPr>
        <w:spacing w:after="0" w:line="223" w:lineRule="exact"/>
        <w:rPr>
          <w:sz w:val="20"/>
          <w:szCs w:val="20"/>
          <w:color w:val="auto"/>
        </w:rPr>
      </w:pPr>
    </w:p>
    <w:p>
      <w:pPr>
        <w:ind w:right="200" w:firstLine="387"/>
        <w:spacing w:after="0" w:line="270" w:lineRule="auto"/>
        <w:rPr>
          <w:sz w:val="20"/>
          <w:szCs w:val="20"/>
          <w:color w:val="auto"/>
        </w:rPr>
      </w:pPr>
      <w:r>
        <w:rPr>
          <w:rFonts w:ascii="Times New Roman" w:cs="Times New Roman" w:eastAsia="Times New Roman" w:hAnsi="Times New Roman"/>
          <w:sz w:val="17"/>
          <w:szCs w:val="17"/>
          <w:color w:val="auto"/>
        </w:rPr>
        <w:t>In July 2022, the independent members of the Company’s Board of Directors adopted the 2022 Inducement Plan (the “Inducement Plan”). Under the Inducement Plan, 31,200,000 shares were initially reserved for issuance. The purpose of the Inducement Plan is to attract, retain and motivate new employees of the Company, particularly executive team members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employees joining as part of business combinations. The Inducement Plan allows for the issuance of non-qualified stock options, stock appreciation rights, restricted stock, restricted stock units, dividend equivalents and other stock or cash based awards to prospective employees of the Company or any subsidiary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 and RSUs</w:t>
      </w:r>
    </w:p>
    <w:p>
      <w:pPr>
        <w:spacing w:after="0" w:line="223" w:lineRule="exact"/>
        <w:rPr>
          <w:sz w:val="20"/>
          <w:szCs w:val="20"/>
          <w:color w:val="auto"/>
        </w:rPr>
      </w:pPr>
    </w:p>
    <w:p>
      <w:pPr>
        <w:ind w:right="500" w:firstLine="387"/>
        <w:spacing w:after="0" w:line="270" w:lineRule="auto"/>
        <w:rPr>
          <w:sz w:val="20"/>
          <w:szCs w:val="20"/>
          <w:color w:val="auto"/>
        </w:rPr>
      </w:pPr>
      <w:r>
        <w:rPr>
          <w:rFonts w:ascii="Times New Roman" w:cs="Times New Roman" w:eastAsia="Times New Roman" w:hAnsi="Times New Roman"/>
          <w:sz w:val="17"/>
          <w:szCs w:val="17"/>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summary of the stock option activity for the nine months ended September 30, 2022,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3"/>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6"/>
                <w:szCs w:val="16"/>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3"/>
        </w:trPr>
        <w:tc>
          <w:tcPr>
            <w:tcW w:w="5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6"/>
                <w:szCs w:val="16"/>
                <w:color w:val="auto"/>
              </w:rPr>
            </w:pPr>
          </w:p>
        </w:tc>
        <w:tc>
          <w:tcPr>
            <w:tcW w:w="104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82"/>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5"/>
                <w:szCs w:val="15"/>
                <w:color w:val="auto"/>
              </w:rPr>
            </w:pPr>
          </w:p>
        </w:tc>
        <w:tc>
          <w:tcPr>
            <w:tcW w:w="104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3"/>
        </w:trPr>
        <w:tc>
          <w:tcPr>
            <w:tcW w:w="5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104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Term (in years)</w:t>
            </w:r>
          </w:p>
        </w:tc>
        <w:tc>
          <w:tcPr>
            <w:tcW w:w="220" w:type="dxa"/>
            <w:vAlign w:val="bottom"/>
          </w:tcPr>
          <w:p>
            <w:pPr>
              <w:spacing w:after="0"/>
              <w:rPr>
                <w:sz w:val="16"/>
                <w:szCs w:val="16"/>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r>
      <w:tr>
        <w:trPr>
          <w:trHeight w:val="74"/>
        </w:trPr>
        <w:tc>
          <w:tcPr>
            <w:tcW w:w="524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3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14,546</w:t>
            </w:r>
          </w:p>
        </w:tc>
        <w:tc>
          <w:tcPr>
            <w:tcW w:w="1140" w:type="dxa"/>
            <w:vAlign w:val="bottom"/>
            <w:tcBorders>
              <w:bottom w:val="single" w:sz="8" w:color="CCEEFF"/>
            </w:tcBorders>
            <w:gridSpan w:val="2"/>
            <w:shd w:val="clear" w:color="auto" w:fill="CCEEFF"/>
          </w:tcPr>
          <w:p>
            <w:pPr>
              <w:jc w:val="right"/>
              <w:ind w:right="87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51"/>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Balance-September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11,083</w:t>
            </w:r>
          </w:p>
        </w:tc>
        <w:tc>
          <w:tcPr>
            <w:tcW w:w="1140" w:type="dxa"/>
            <w:vAlign w:val="bottom"/>
            <w:gridSpan w:val="2"/>
          </w:tcPr>
          <w:p>
            <w:pPr>
              <w:jc w:val="right"/>
              <w:ind w:right="87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1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7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10,824</w:t>
            </w:r>
          </w:p>
        </w:tc>
        <w:tc>
          <w:tcPr>
            <w:tcW w:w="1140" w:type="dxa"/>
            <w:vAlign w:val="bottom"/>
            <w:tcBorders>
              <w:bottom w:val="single" w:sz="8" w:color="CCEEFF"/>
            </w:tcBorders>
            <w:gridSpan w:val="2"/>
            <w:shd w:val="clear" w:color="auto" w:fill="CCEEFF"/>
          </w:tcPr>
          <w:p>
            <w:pPr>
              <w:jc w:val="right"/>
              <w:ind w:right="87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ind w:right="100" w:firstLine="387"/>
        <w:spacing w:after="0" w:line="270" w:lineRule="auto"/>
        <w:rPr>
          <w:sz w:val="20"/>
          <w:szCs w:val="20"/>
          <w:color w:val="auto"/>
        </w:rPr>
      </w:pPr>
      <w:r>
        <w:rPr>
          <w:rFonts w:ascii="Times New Roman" w:cs="Times New Roman" w:eastAsia="Times New Roman" w:hAnsi="Times New Roman"/>
          <w:sz w:val="17"/>
          <w:szCs w:val="17"/>
          <w:color w:val="auto"/>
        </w:rPr>
        <w:t>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these RSUs are only subject to time-based vesting conditions.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summary of the RSU activity for the nine months ended September 30, 2022,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93"/>
        </w:trPr>
        <w:tc>
          <w:tcPr>
            <w:tcW w:w="8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93"/>
        </w:trPr>
        <w:tc>
          <w:tcPr>
            <w:tcW w:w="8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8"/>
              </w:rPr>
              <w:t>Grant-Date</w:t>
            </w:r>
          </w:p>
        </w:tc>
      </w:tr>
      <w:tr>
        <w:trPr>
          <w:trHeight w:val="193"/>
        </w:trPr>
        <w:tc>
          <w:tcPr>
            <w:tcW w:w="8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74"/>
        </w:trPr>
        <w:tc>
          <w:tcPr>
            <w:tcW w:w="83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and outstanding-December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53,446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r>
      <w:tr>
        <w:trPr>
          <w:trHeight w:val="25"/>
        </w:trPr>
        <w:tc>
          <w:tcPr>
            <w:tcW w:w="8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r>
      <w:tr>
        <w:trPr>
          <w:trHeight w:val="25"/>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7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and outstanding-September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62,329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Shares</w:t>
      </w:r>
    </w:p>
    <w:p>
      <w:pPr>
        <w:spacing w:after="0" w:line="223" w:lineRule="exact"/>
        <w:rPr>
          <w:sz w:val="20"/>
          <w:szCs w:val="20"/>
          <w:color w:val="auto"/>
        </w:rPr>
      </w:pPr>
    </w:p>
    <w:p>
      <w:pPr>
        <w:ind w:right="340" w:firstLine="387"/>
        <w:spacing w:after="0" w:line="287" w:lineRule="auto"/>
        <w:rPr>
          <w:sz w:val="20"/>
          <w:szCs w:val="20"/>
          <w:color w:val="auto"/>
        </w:rPr>
      </w:pPr>
      <w:r>
        <w:rPr>
          <w:rFonts w:ascii="Times New Roman" w:cs="Times New Roman" w:eastAsia="Times New Roman" w:hAnsi="Times New Roman"/>
          <w:sz w:val="17"/>
          <w:szCs w:val="17"/>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summary of the Restricted Shares activity for the nine months ended September 30, 2022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82"/>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Restricted 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8"/>
              </w:rPr>
              <w:t>Grant-Date</w:t>
            </w:r>
          </w:p>
        </w:tc>
      </w:tr>
      <w:tr>
        <w:trPr>
          <w:trHeight w:val="193"/>
        </w:trPr>
        <w:tc>
          <w:tcPr>
            <w:tcW w:w="8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74"/>
        </w:trPr>
        <w:tc>
          <w:tcPr>
            <w:tcW w:w="83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3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5"/>
        </w:trPr>
        <w:tc>
          <w:tcPr>
            <w:tcW w:w="8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51"/>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Unvested-September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ESPP</w:t>
      </w:r>
    </w:p>
    <w:p>
      <w:pPr>
        <w:spacing w:after="0" w:line="223"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The Company has limited the maximum number of shares to be purchased in an offering period to 1,000 shares per employee. The ESPP allows eligible employees to purchase shares of the Company’s common stock at a 15% discount on the lower price of either (i) the offer period start date or (ii) the purchase date. Each offering period is six months in duration. ESPP employee payroll contributions withheld as of September 30, 2022 were $1 million and are included within Accounts payable and other accrued liabilities in the condensed consolidated balance sheets. Payroll contributions withheld as of September 30, 2022 will be used to purchase shares at the end of the current ESPP purchase period ending on February 28, 2023.</w:t>
      </w:r>
    </w:p>
    <w:p>
      <w:pPr>
        <w:spacing w:after="0" w:line="179" w:lineRule="exact"/>
        <w:rPr>
          <w:sz w:val="20"/>
          <w:szCs w:val="20"/>
          <w:color w:val="auto"/>
        </w:rPr>
      </w:pPr>
    </w:p>
    <w:p>
      <w:pPr>
        <w:ind w:right="140" w:firstLine="387"/>
        <w:spacing w:after="0" w:line="287" w:lineRule="auto"/>
        <w:rPr>
          <w:sz w:val="20"/>
          <w:szCs w:val="20"/>
          <w:color w:val="auto"/>
        </w:rPr>
      </w:pPr>
      <w:r>
        <w:rPr>
          <w:rFonts w:ascii="Times New Roman" w:cs="Times New Roman" w:eastAsia="Times New Roman" w:hAnsi="Times New Roman"/>
          <w:sz w:val="17"/>
          <w:szCs w:val="17"/>
          <w:color w:val="auto"/>
        </w:rPr>
        <w:t>The fair value of ESPP purchase rights is estimated at the date of grant using the Black-Scholes option-pricing valuation model. The following assumptions were applied in the model to estimate the grant-date fair value of the ESPP.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Offering Period</w:t>
            </w:r>
          </w:p>
        </w:tc>
        <w:tc>
          <w:tcPr>
            <w:tcW w:w="1060" w:type="dxa"/>
            <w:vAlign w:val="bottom"/>
          </w:tcPr>
          <w:p>
            <w:pPr>
              <w:spacing w:after="0"/>
              <w:rPr>
                <w:sz w:val="15"/>
                <w:szCs w:val="15"/>
                <w:color w:val="auto"/>
              </w:rPr>
            </w:pPr>
          </w:p>
        </w:tc>
      </w:tr>
      <w:tr>
        <w:trPr>
          <w:trHeight w:val="35"/>
        </w:trPr>
        <w:tc>
          <w:tcPr>
            <w:tcW w:w="7220" w:type="dxa"/>
            <w:vAlign w:val="bottom"/>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49"/>
        </w:trPr>
        <w:tc>
          <w:tcPr>
            <w:tcW w:w="7220" w:type="dxa"/>
            <w:vAlign w:val="bottom"/>
          </w:tcPr>
          <w:p>
            <w:pPr>
              <w:spacing w:after="0"/>
              <w:rPr>
                <w:sz w:val="12"/>
                <w:szCs w:val="12"/>
                <w:color w:val="auto"/>
              </w:rPr>
            </w:pPr>
          </w:p>
        </w:tc>
        <w:tc>
          <w:tcPr>
            <w:tcW w:w="20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1, 2022 - February</w:t>
            </w: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5"/>
        </w:trPr>
        <w:tc>
          <w:tcPr>
            <w:tcW w:w="7220" w:type="dxa"/>
            <w:vAlign w:val="bottom"/>
          </w:tcPr>
          <w:p>
            <w:pPr>
              <w:spacing w:after="0"/>
              <w:rPr>
                <w:sz w:val="16"/>
                <w:szCs w:val="16"/>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28, 2023</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March 1, 2022 - August 31, 2022</w:t>
            </w:r>
          </w:p>
        </w:tc>
      </w:tr>
      <w:tr>
        <w:trPr>
          <w:trHeight w:val="35"/>
        </w:trPr>
        <w:tc>
          <w:tcPr>
            <w:tcW w:w="72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w:t>
            </w:r>
          </w:p>
        </w:tc>
        <w:tc>
          <w:tcPr>
            <w:tcW w:w="1340" w:type="dxa"/>
            <w:vAlign w:val="bottom"/>
            <w:tcBorders>
              <w:bottom w:val="single" w:sz="8" w:color="CCEEFF"/>
            </w:tcBorders>
            <w:shd w:val="clear" w:color="auto" w:fill="CCEEFF"/>
          </w:tcPr>
          <w:p>
            <w:pPr>
              <w:jc w:val="right"/>
              <w:ind w:right="116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3.55</w:t>
            </w:r>
          </w:p>
        </w:tc>
      </w:tr>
      <w:tr>
        <w:trPr>
          <w:trHeight w:val="232"/>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101.4 %</w:t>
            </w:r>
          </w:p>
        </w:tc>
      </w:tr>
      <w:tr>
        <w:trPr>
          <w:trHeight w:val="25"/>
        </w:trPr>
        <w:tc>
          <w:tcPr>
            <w:tcW w:w="7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0.60 %</w:t>
            </w:r>
          </w:p>
        </w:tc>
      </w:tr>
      <w:tr>
        <w:trPr>
          <w:trHeight w:val="232"/>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(in years)</w:t>
            </w: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5"/>
        </w:trPr>
        <w:tc>
          <w:tcPr>
            <w:tcW w:w="7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w:t>
            </w:r>
          </w:p>
        </w:tc>
        <w:tc>
          <w:tcPr>
            <w:tcW w:w="1340" w:type="dxa"/>
            <w:vAlign w:val="bottom"/>
            <w:shd w:val="clear" w:color="auto" w:fill="CCEEFF"/>
          </w:tcPr>
          <w:p>
            <w:pPr>
              <w:jc w:val="right"/>
              <w:ind w:right="116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67" w:lineRule="exact"/>
        <w:rPr>
          <w:sz w:val="20"/>
          <w:szCs w:val="20"/>
          <w:color w:val="auto"/>
        </w:rPr>
      </w:pPr>
    </w:p>
    <w:p>
      <w:pPr>
        <w:ind w:right="100" w:firstLine="387"/>
        <w:spacing w:after="0" w:line="270" w:lineRule="auto"/>
        <w:rPr>
          <w:sz w:val="20"/>
          <w:szCs w:val="20"/>
          <w:color w:val="auto"/>
        </w:rPr>
      </w:pPr>
      <w:r>
        <w:rPr>
          <w:rFonts w:ascii="Times New Roman" w:cs="Times New Roman" w:eastAsia="Times New Roman" w:hAnsi="Times New Roman"/>
          <w:sz w:val="17"/>
          <w:szCs w:val="17"/>
          <w:color w:val="auto"/>
        </w:rPr>
        <w:t>The Company recognized stock-based compensation expense related to the ESPP of $1 million and $2 million during the three and nine months ended September 30, 2022, respectively. As of September 30, 2022, total estimated unrecognized compensation expense related to the ESPP was $1 million. That cost is expected to be recognized over the remaining term of the offering period of 5 months.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223" w:lineRule="exact"/>
        <w:rPr>
          <w:sz w:val="20"/>
          <w:szCs w:val="20"/>
          <w:color w:val="auto"/>
        </w:rPr>
      </w:pPr>
    </w:p>
    <w:p>
      <w:pPr>
        <w:ind w:right="160" w:firstLine="387"/>
        <w:spacing w:after="0" w:line="270" w:lineRule="auto"/>
        <w:rPr>
          <w:sz w:val="20"/>
          <w:szCs w:val="20"/>
          <w:color w:val="auto"/>
        </w:rPr>
      </w:pPr>
      <w:r>
        <w:rPr>
          <w:rFonts w:ascii="Times New Roman" w:cs="Times New Roman" w:eastAsia="Times New Roman" w:hAnsi="Times New Roman"/>
          <w:sz w:val="17"/>
          <w:szCs w:val="17"/>
          <w:color w:val="auto"/>
        </w:rPr>
        <w:t>Stock-based compensation expense is allocated based on the cost center to which the award holder belongs. The following table summarizes total stock-based compensation expense by function as presented in the condensed consolidated statements of operations for the three and nine months ended September 30, 2022 and 2021,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860" w:type="dxa"/>
            <w:vAlign w:val="bottom"/>
          </w:tcPr>
          <w:p>
            <w:pPr>
              <w:spacing w:after="0"/>
              <w:rPr>
                <w:sz w:val="14"/>
                <w:szCs w:val="14"/>
                <w:color w:val="auto"/>
              </w:rPr>
            </w:pPr>
          </w:p>
        </w:tc>
      </w:tr>
      <w:tr>
        <w:trPr>
          <w:trHeight w:val="182"/>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r>
      <w:tr>
        <w:trPr>
          <w:trHeight w:val="35"/>
        </w:trPr>
        <w:tc>
          <w:tcPr>
            <w:tcW w:w="52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5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5"/>
        </w:trPr>
        <w:tc>
          <w:tcPr>
            <w:tcW w:w="52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marketing and operations</w:t>
            </w: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5"/>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8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51"/>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the nine months ended September 30, 2022, no market condition awards satisfied their market condition.</w:t>
      </w:r>
    </w:p>
    <w:p>
      <w:pPr>
        <w:spacing w:after="0" w:line="217" w:lineRule="exact"/>
        <w:rPr>
          <w:sz w:val="20"/>
          <w:szCs w:val="20"/>
          <w:color w:val="auto"/>
        </w:rPr>
      </w:pPr>
    </w:p>
    <w:p>
      <w:pPr>
        <w:ind w:right="200" w:firstLine="387"/>
        <w:spacing w:after="0" w:line="287" w:lineRule="auto"/>
        <w:rPr>
          <w:sz w:val="20"/>
          <w:szCs w:val="20"/>
          <w:color w:val="auto"/>
        </w:rPr>
      </w:pPr>
      <w:r>
        <w:rPr>
          <w:rFonts w:ascii="Times New Roman" w:cs="Times New Roman" w:eastAsia="Times New Roman" w:hAnsi="Times New Roman"/>
          <w:sz w:val="17"/>
          <w:szCs w:val="17"/>
          <w:color w:val="auto"/>
        </w:rPr>
        <w:t>As of September 30, 2022, there was $547 million of unamortized stock-based compensation costs related to unvested RSUs, stock options, and Restricted Shares. The unamortized compensation costs are expected to be recognized over a weighted-average period of approximately 2.4 years.</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WARRANTS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Sponsor Warrants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connection with the Business Combination, on January 12, 2021, the Company filed a Registration Statement on Form S-1. This Registration Statement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relates to the issuance of an aggregate of up to 19,933,333 shares of common stock issuable upon the exercise of its publicly-traded warrants. The warrants issued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part of SCH's initial public offering are the “Public Warrants” and warrants sold privately to the sponsor of SCH are the "Sponsor Warrants." On July 9, 2021,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completed the redemption of all of its outstanding Public and Sponsor Warrants to purchase shares of the Company's common stock, par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$0.0001 per share, that were issued under the Warrant Agreement, dated April 27, 2020. Of the 13,799,947 Public Warrants that were outstanding as of the time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Business Combination, 874,739 were exercised for cash at an exercise price of $11.50 per share of Common Stock and 12,521,776 were exercised on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cashless basis in exchange for an aggregate of 4,452,659 shares of Common Stock. In addition, of the 6,133,333 Sponsor Warrants that were outstanding as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the Business Combination, 1,073,333 were exercised for cash at an exercise price of $11.50 per share of Common Stock and 5,060,000 were exercised on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cashless basis in exchange for an aggregate of 1,799,336 shares of Common Stock. Total cash proceeds to the Company generated from exercises of the Warrants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were $22 million. In connection with the redemption, the Public Warrants stopped trading on the Nasdaq on July 9, 2021.</w:t>
      </w:r>
    </w:p>
    <w:p>
      <w:pPr>
        <w:spacing w:after="0" w:line="200" w:lineRule="exact"/>
        <w:rPr>
          <w:sz w:val="20"/>
          <w:szCs w:val="20"/>
          <w:color w:val="auto"/>
        </w:rPr>
      </w:pPr>
    </w:p>
    <w:p>
      <w:pPr>
        <w:ind w:right="260" w:firstLine="387"/>
        <w:spacing w:after="0" w:line="287" w:lineRule="auto"/>
        <w:rPr>
          <w:sz w:val="20"/>
          <w:szCs w:val="20"/>
          <w:color w:val="auto"/>
        </w:rPr>
      </w:pPr>
      <w:r>
        <w:rPr>
          <w:rFonts w:ascii="Times New Roman" w:cs="Times New Roman" w:eastAsia="Times New Roman" w:hAnsi="Times New Roman"/>
          <w:sz w:val="17"/>
          <w:szCs w:val="17"/>
          <w:color w:val="auto"/>
        </w:rPr>
        <w:t>The Company recorded a warrant fair value adjustment of $(3) million and $(12) million for the change in fair value of the Sponsor Warrants for the three and nine months ended September 30,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Warrants</w:t>
      </w:r>
    </w:p>
    <w:p>
      <w:pPr>
        <w:spacing w:after="0" w:line="223" w:lineRule="exact"/>
        <w:rPr>
          <w:sz w:val="20"/>
          <w:szCs w:val="20"/>
          <w:color w:val="auto"/>
        </w:rPr>
      </w:pPr>
    </w:p>
    <w:p>
      <w:pPr>
        <w:ind w:right="180" w:firstLine="387"/>
        <w:spacing w:after="0" w:line="258" w:lineRule="auto"/>
        <w:rPr>
          <w:sz w:val="20"/>
          <w:szCs w:val="20"/>
          <w:color w:val="auto"/>
        </w:rPr>
      </w:pPr>
      <w:r>
        <w:rPr>
          <w:rFonts w:ascii="Times New Roman" w:cs="Times New Roman" w:eastAsia="Times New Roman" w:hAnsi="Times New Roman"/>
          <w:sz w:val="17"/>
          <w:szCs w:val="17"/>
          <w:color w:val="auto"/>
        </w:rPr>
        <w:t>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volume weighted average price per share of Opendoor Common Stock (“VWAP”) prior to the vesting date of that Tranche, subject to a $15 floor and $30 cap per share. After a Tranche has vested, the Tranche can be exercised via a cash payment or a cashless exercise; provided that the Company has the option to cash settle any exercise. The warrant expires in July 2027, subject to extension for an additional Tranche and early termination under limited circumstances. We expect Zillow to begin providing marketing services under the partnership arrangement in early 2023. Accordingly, as of September 30, 2022, no warrant shares had vested.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INCOME TAXES</w:t>
      </w:r>
    </w:p>
    <w:p>
      <w:pPr>
        <w:spacing w:after="0" w:line="221" w:lineRule="exact"/>
        <w:rPr>
          <w:sz w:val="20"/>
          <w:szCs w:val="20"/>
          <w:color w:val="auto"/>
        </w:rPr>
      </w:pPr>
    </w:p>
    <w:p>
      <w:pPr>
        <w:ind w:right="100" w:firstLine="387"/>
        <w:spacing w:after="0" w:line="287" w:lineRule="auto"/>
        <w:rPr>
          <w:sz w:val="20"/>
          <w:szCs w:val="20"/>
          <w:color w:val="auto"/>
        </w:rPr>
      </w:pPr>
      <w:r>
        <w:rPr>
          <w:rFonts w:ascii="Times New Roman" w:cs="Times New Roman" w:eastAsia="Times New Roman" w:hAnsi="Times New Roman"/>
          <w:sz w:val="17"/>
          <w:szCs w:val="17"/>
          <w:color w:val="auto"/>
        </w:rPr>
        <w:t>The Company's tax provision and the resulting effective tax rate for interim periods is determined based upon its estimated annual effective tax rate adjusted for the effect of discrete items arising in that quarter.</w:t>
      </w:r>
    </w:p>
    <w:p>
      <w:pPr>
        <w:spacing w:after="0" w:line="151" w:lineRule="exact"/>
        <w:rPr>
          <w:sz w:val="20"/>
          <w:szCs w:val="20"/>
          <w:color w:val="auto"/>
        </w:rPr>
      </w:pPr>
    </w:p>
    <w:p>
      <w:pPr>
        <w:ind w:right="40" w:firstLine="387"/>
        <w:spacing w:after="0" w:line="264" w:lineRule="auto"/>
        <w:rPr>
          <w:sz w:val="20"/>
          <w:szCs w:val="20"/>
          <w:color w:val="auto"/>
        </w:rPr>
      </w:pPr>
      <w:r>
        <w:rPr>
          <w:rFonts w:ascii="Times New Roman" w:cs="Times New Roman" w:eastAsia="Times New Roman" w:hAnsi="Times New Roman"/>
          <w:sz w:val="17"/>
          <w:szCs w:val="17"/>
          <w:color w:val="auto"/>
        </w:rPr>
        <w:t>The Company’s provision for income taxes, which was primarily composed of state tax expense, was $1 million and $2 million for the three and nine months ended September 30, 2022, respectively, with an effective tax rate of (0.08)% and (0.19)%, respectively. The Company's provision for income taxes was less than $1 million and $1 million for the three and nine months ended September 30, 2021, respectively, with an effective tax rate of (0.58)% and (0.17)%, respectively. The effective tax rate differs from the U.S. statutory tax rate primarily due to the recording of a full valuation allowance against the net deferred tax assets.</w:t>
      </w:r>
    </w:p>
    <w:p>
      <w:pPr>
        <w:spacing w:after="0" w:line="171" w:lineRule="exact"/>
        <w:rPr>
          <w:sz w:val="20"/>
          <w:szCs w:val="20"/>
          <w:color w:val="auto"/>
        </w:rPr>
      </w:pPr>
    </w:p>
    <w:p>
      <w:pPr>
        <w:ind w:right="220" w:firstLine="387"/>
        <w:spacing w:after="0" w:line="264" w:lineRule="auto"/>
        <w:rPr>
          <w:sz w:val="20"/>
          <w:szCs w:val="20"/>
          <w:color w:val="auto"/>
        </w:rPr>
      </w:pPr>
      <w:r>
        <w:rPr>
          <w:rFonts w:ascii="Times New Roman" w:cs="Times New Roman" w:eastAsia="Times New Roman" w:hAnsi="Times New Roman"/>
          <w:sz w:val="17"/>
          <w:szCs w:val="17"/>
          <w:color w:val="auto"/>
        </w:rPr>
        <w:t>The Company evaluated the positive and negative evidence bearing upon the realizability of its deferred tax assets. Based on the Company’s history of operating losses, including a three-year cumulative loss position, the Company believes that based on the weight of available evidence, it is more likely than not that all of the deferred tax assets will not be realized and recorded a full valuation allowance on its net deferred tax assets as of September 30, 2022 and December 31, 2021.</w:t>
      </w:r>
    </w:p>
    <w:p>
      <w:pPr>
        <w:spacing w:after="0" w:line="16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RELATED PARTIES</w:t>
      </w:r>
    </w:p>
    <w:p>
      <w:pPr>
        <w:spacing w:after="0" w:line="221" w:lineRule="exact"/>
        <w:rPr>
          <w:sz w:val="20"/>
          <w:szCs w:val="20"/>
          <w:color w:val="auto"/>
        </w:rPr>
      </w:pPr>
    </w:p>
    <w:p>
      <w:pPr>
        <w:ind w:right="280" w:firstLine="387"/>
        <w:spacing w:after="0" w:line="270" w:lineRule="auto"/>
        <w:rPr>
          <w:sz w:val="20"/>
          <w:szCs w:val="20"/>
          <w:color w:val="auto"/>
        </w:rPr>
      </w:pPr>
      <w:r>
        <w:rPr>
          <w:rFonts w:ascii="Times New Roman" w:cs="Times New Roman" w:eastAsia="Times New Roman" w:hAnsi="Times New Roman"/>
          <w:sz w:val="17"/>
          <w:szCs w:val="17"/>
          <w:color w:val="auto"/>
        </w:rPr>
        <w:t>In 2018, an executive early exercised stock options to purchase 1,479,459 shares of unvested common stock at a price per share of $1.01 by issuing a promissory note to the Company for a total price of $1.5 million with an interest rate of 2.31% per annum. On June 29, 2021, the outstanding balance under the promissory note of $1.6 million was repaid in full.</w:t>
      </w:r>
    </w:p>
    <w:p>
      <w:pPr>
        <w:spacing w:after="0" w:line="16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221" w:lineRule="exact"/>
        <w:rPr>
          <w:sz w:val="20"/>
          <w:szCs w:val="20"/>
          <w:color w:val="auto"/>
        </w:rPr>
      </w:pPr>
    </w:p>
    <w:p>
      <w:pPr>
        <w:ind w:right="20" w:firstLine="387"/>
        <w:spacing w:after="0" w:line="261" w:lineRule="auto"/>
        <w:rPr>
          <w:sz w:val="20"/>
          <w:szCs w:val="20"/>
          <w:color w:val="auto"/>
        </w:rPr>
      </w:pPr>
      <w:r>
        <w:rPr>
          <w:rFonts w:ascii="Times New Roman" w:cs="Times New Roman" w:eastAsia="Times New Roman" w:hAnsi="Times New Roman"/>
          <w:sz w:val="17"/>
          <w:szCs w:val="17"/>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and nine months ended September 30, 2022 or 2021.</w:t>
      </w:r>
    </w:p>
    <w:p>
      <w:pPr>
        <w:spacing w:after="0" w:line="175" w:lineRule="exact"/>
        <w:rPr>
          <w:sz w:val="20"/>
          <w:szCs w:val="20"/>
          <w:color w:val="auto"/>
        </w:rPr>
      </w:pPr>
    </w:p>
    <w:p>
      <w:pPr>
        <w:ind w:right="160" w:firstLine="387"/>
        <w:spacing w:after="0" w:line="261" w:lineRule="auto"/>
        <w:rPr>
          <w:sz w:val="20"/>
          <w:szCs w:val="20"/>
          <w:color w:val="auto"/>
        </w:rPr>
      </w:pPr>
      <w:r>
        <w:rPr>
          <w:rFonts w:ascii="Times New Roman" w:cs="Times New Roman" w:eastAsia="Times New Roman" w:hAnsi="Times New Roman"/>
          <w:sz w:val="17"/>
          <w:szCs w:val="17"/>
          <w:color w:val="auto"/>
        </w:rPr>
        <w:t>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spacing w:after="0" w:line="175" w:lineRule="exact"/>
        <w:rPr>
          <w:sz w:val="20"/>
          <w:szCs w:val="20"/>
          <w:color w:val="auto"/>
        </w:rPr>
      </w:pPr>
    </w:p>
    <w:p>
      <w:pPr>
        <w:ind w:right="22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computation of the Company’s basic and diluted net loss per share attributable to common shareholders for the three and nine months ended September 30, 2022 and 2021 (in millions, except share amounts which are presented in thousands, and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r>
      <w:tr>
        <w:trPr>
          <w:trHeight w:val="182"/>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r>
      <w:tr>
        <w:trPr>
          <w:trHeight w:val="35"/>
        </w:trPr>
        <w:tc>
          <w:tcPr>
            <w:tcW w:w="5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w w:val="85"/>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5"/>
        </w:trPr>
        <w:tc>
          <w:tcPr>
            <w:tcW w:w="5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loss per share:</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1"/>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shareholders – 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 and diluted</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603,389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624,581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585,854</w:t>
            </w:r>
          </w:p>
        </w:tc>
      </w:tr>
      <w:tr>
        <w:trPr>
          <w:trHeight w:val="251"/>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(0.80)</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04"/>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4"/>
        </w:trPr>
        <w:tc>
          <w:tcPr>
            <w:tcW w:w="52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0" w:firstLine="387"/>
        <w:spacing w:after="0" w:line="287" w:lineRule="auto"/>
        <w:rPr>
          <w:sz w:val="20"/>
          <w:szCs w:val="20"/>
          <w:color w:val="auto"/>
        </w:rPr>
      </w:pPr>
      <w:r>
        <w:rPr>
          <w:rFonts w:ascii="Times New Roman" w:cs="Times New Roman" w:eastAsia="Times New Roman" w:hAnsi="Times New Roman"/>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860" w:type="dxa"/>
            <w:vAlign w:val="bottom"/>
          </w:tcPr>
          <w:p>
            <w:pPr>
              <w:spacing w:after="0"/>
              <w:rPr>
                <w:sz w:val="14"/>
                <w:szCs w:val="14"/>
                <w:color w:val="auto"/>
              </w:rPr>
            </w:pPr>
          </w:p>
        </w:tc>
      </w:tr>
      <w:tr>
        <w:trPr>
          <w:trHeight w:val="182"/>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860" w:type="dxa"/>
            <w:vAlign w:val="bottom"/>
          </w:tcPr>
          <w:p>
            <w:pPr>
              <w:spacing w:after="0"/>
              <w:rPr>
                <w:sz w:val="15"/>
                <w:szCs w:val="15"/>
                <w:color w:val="auto"/>
              </w:rPr>
            </w:pPr>
          </w:p>
        </w:tc>
      </w:tr>
      <w:tr>
        <w:trPr>
          <w:trHeight w:val="35"/>
        </w:trPr>
        <w:tc>
          <w:tcPr>
            <w:tcW w:w="52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6100" w:type="dxa"/>
            <w:vAlign w:val="bottom"/>
            <w:gridSpan w:val="2"/>
          </w:tcPr>
          <w:p>
            <w:pPr>
              <w:ind w:left="58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5"/>
        </w:trPr>
        <w:tc>
          <w:tcPr>
            <w:tcW w:w="610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62,329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56,404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56,404</w:t>
            </w:r>
          </w:p>
        </w:tc>
      </w:tr>
      <w:tr>
        <w:trPr>
          <w:trHeight w:val="25"/>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w:t>
            </w:r>
          </w:p>
        </w:tc>
      </w:tr>
      <w:tr>
        <w:trPr>
          <w:trHeight w:val="23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Shares from Early Exercise</w:t>
            </w:r>
          </w:p>
        </w:tc>
        <w:tc>
          <w:tcPr>
            <w:tcW w:w="1540" w:type="dxa"/>
            <w:vAlign w:val="bottom"/>
            <w:gridSpan w:val="3"/>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2080" w:type="dxa"/>
            <w:vAlign w:val="bottom"/>
            <w:gridSpan w:val="3"/>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Shares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r>
      <w:tr>
        <w:trPr>
          <w:trHeight w:val="23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1"/>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anti-dilutive securities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74,726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74,369</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74,726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74,369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16.</w:t>
        <w:tab/>
        <w:t>COMMITMENTS AND CONTINGENCIES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Commitments</w:t>
      </w:r>
    </w:p>
    <w:p>
      <w:pPr>
        <w:spacing w:after="0" w:line="223" w:lineRule="exact"/>
        <w:rPr>
          <w:sz w:val="20"/>
          <w:szCs w:val="20"/>
          <w:color w:val="auto"/>
        </w:rPr>
      </w:pPr>
    </w:p>
    <w:p>
      <w:pPr>
        <w:ind w:right="20" w:firstLine="387"/>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2022, the Company did not enter into any material new leases, lease renewals, or lease modifications. On September 25, 2020, the Company exercised an option to early terminate the San Francisco headquarters lease, effective September 30, 2021. In September 2020, the Company did not anticipate returning to the San Francisco space, so the Company accelerated amortization of the right-of-use asset and incurred and paid early termination fees. In January 2021, the Company terminated the San Francisco lease prior to the anticipated termination date of September 30, 2021, which resulted in a $5 million gain recognized in the condensed consolidated statements of operations for the nine months ended September 30,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223" w:lineRule="exact"/>
        <w:rPr>
          <w:sz w:val="20"/>
          <w:szCs w:val="20"/>
          <w:color w:val="auto"/>
        </w:rPr>
      </w:pPr>
    </w:p>
    <w:p>
      <w:pPr>
        <w:ind w:right="380" w:firstLine="387"/>
        <w:spacing w:after="0" w:line="287" w:lineRule="auto"/>
        <w:rPr>
          <w:sz w:val="20"/>
          <w:szCs w:val="20"/>
          <w:color w:val="auto"/>
        </w:rPr>
      </w:pPr>
      <w:r>
        <w:rPr>
          <w:rFonts w:ascii="Times New Roman" w:cs="Times New Roman" w:eastAsia="Times New Roman" w:hAnsi="Times New Roman"/>
          <w:sz w:val="17"/>
          <w:szCs w:val="17"/>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51" w:lineRule="exact"/>
        <w:rPr>
          <w:sz w:val="20"/>
          <w:szCs w:val="20"/>
          <w:color w:val="auto"/>
        </w:rPr>
      </w:pPr>
    </w:p>
    <w:p>
      <w:pPr>
        <w:ind w:right="20" w:firstLine="387"/>
        <w:spacing w:after="0" w:line="264" w:lineRule="auto"/>
        <w:rPr>
          <w:sz w:val="20"/>
          <w:szCs w:val="20"/>
          <w:color w:val="auto"/>
        </w:rPr>
      </w:pPr>
      <w:r>
        <w:rPr>
          <w:rFonts w:ascii="Times New Roman" w:cs="Times New Roman" w:eastAsia="Times New Roman" w:hAnsi="Times New Roman"/>
          <w:sz w:val="17"/>
          <w:szCs w:val="17"/>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spacing w:after="0" w:line="171" w:lineRule="exact"/>
        <w:rPr>
          <w:sz w:val="20"/>
          <w:szCs w:val="20"/>
          <w:color w:val="auto"/>
        </w:rPr>
      </w:pPr>
    </w:p>
    <w:p>
      <w:pPr>
        <w:ind w:right="80" w:firstLine="387"/>
        <w:spacing w:after="0" w:line="258" w:lineRule="auto"/>
        <w:rPr>
          <w:sz w:val="20"/>
          <w:szCs w:val="20"/>
          <w:color w:val="auto"/>
        </w:rPr>
      </w:pPr>
      <w:r>
        <w:rPr>
          <w:rFonts w:ascii="Times New Roman" w:cs="Times New Roman" w:eastAsia="Times New Roman" w:hAnsi="Times New Roman"/>
          <w:sz w:val="17"/>
          <w:szCs w:val="17"/>
          <w:color w:val="auto"/>
        </w:rPr>
        <w:t>As previously disclosed by the Company, the Federal Trade Commission (“FTC”) began conducting an investigation into the Company in August 2019. The inquiry related primarily to statements in the Company's advertising and website comparing selling homes to the Company with selling homes in a traditional manner using an agent and relating to statements that the Company’s offers reflect or are based on market prices. The Company and the FTC began discussing resolution of this matter in December 2020. After extensive negotiations, the Company agreed to enter into a consent order resolving all aspects of the inquiry, which became final on October 21, 2022. Pursuant to the consent order, the Company did not admit to any wrongdoing and is required to possess competent and reliable supporting data prior to making statements regarding the costs, savings, repair costs, or financial benefits of Company services related to assisting consumers selling homes. The consent order also requires that the Company retain certain records, submit a compliance report to the FTC, and pay the FTC $62 million, an amount the Company previously accrued. The $62 million fine was paid in October 2022.</w:t>
      </w:r>
    </w:p>
    <w:p>
      <w:pPr>
        <w:spacing w:after="0" w:line="175" w:lineRule="exact"/>
        <w:rPr>
          <w:sz w:val="20"/>
          <w:szCs w:val="20"/>
          <w:color w:val="auto"/>
        </w:rPr>
      </w:pPr>
    </w:p>
    <w:p>
      <w:pPr>
        <w:ind w:right="40" w:firstLine="387"/>
        <w:spacing w:after="0" w:line="264" w:lineRule="auto"/>
        <w:rPr>
          <w:sz w:val="20"/>
          <w:szCs w:val="20"/>
          <w:color w:val="auto"/>
        </w:rPr>
      </w:pPr>
      <w:r>
        <w:rPr>
          <w:rFonts w:ascii="Times New Roman" w:cs="Times New Roman" w:eastAsia="Times New Roman" w:hAnsi="Times New Roman"/>
          <w:sz w:val="17"/>
          <w:szCs w:val="17"/>
          <w:color w:val="auto"/>
        </w:rPr>
        <w:t>On October 7, 2022, a putative securities class action lawsuit was filed in the United States District Court for the District of Arizona, captioned Alich v. Opendoor Technologies Inc., et al. (Case No. 2:22-cv-01717-JFM), naming as defendants the Company and certain of the Company’s current and former officers and directors. The complaint alleges that the Company and certain officers violated Section 10(b) of the Exchange Act and SEC Rule 10b-5, and that the Company and certain directors violated Section 11 of the Securities Act, in each case by making materially false or misleading statements related to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jc w:val="center"/>
        <w:ind w:right="-39"/>
        <w:spacing w:after="0" w:line="236"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effectiveness of the Company’s pricing algorithm. The plaintiff also alleges that the Company’s officers and directors named as defendants violated Section 20(a) of the Exchange Act and Section 15 of the Securities Act, respectively, which provide for control person liability. The claims are asserted on behalf of all persons and entities that purchased, or otherwise acquired, Company common stock between December 21, 2020 and September 16, 2022 or pursuant to the offering documents issued in connection with our business combination with SCH. The plaintiff seeks class certification, an award of unspecified compensatory damages, an award of interest and reasonable costs and expenses, including attorneys’ fees and expert fees, and other and further relief as the court may deem just and proper. We believe that the allegations in the complaint are without merit, and we intend to vigorously defend ourselves in this matter.</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1F5122"/>
        </w:rPr>
        <w:t>17.</w:t>
        <w:tab/>
        <w:t>SUBSEQUENT EVENTS</w:t>
      </w:r>
    </w:p>
    <w:p>
      <w:pPr>
        <w:spacing w:after="0" w:line="221" w:lineRule="exact"/>
        <w:rPr>
          <w:sz w:val="20"/>
          <w:szCs w:val="20"/>
          <w:color w:val="auto"/>
        </w:rPr>
      </w:pPr>
    </w:p>
    <w:p>
      <w:pPr>
        <w:ind w:firstLine="387"/>
        <w:spacing w:after="0" w:line="270" w:lineRule="auto"/>
        <w:rPr>
          <w:sz w:val="20"/>
          <w:szCs w:val="20"/>
          <w:color w:val="auto"/>
        </w:rPr>
      </w:pPr>
      <w:r>
        <w:rPr>
          <w:rFonts w:ascii="Times New Roman" w:cs="Times New Roman" w:eastAsia="Times New Roman" w:hAnsi="Times New Roman"/>
          <w:sz w:val="17"/>
          <w:szCs w:val="17"/>
          <w:color w:val="auto"/>
        </w:rPr>
        <w:t>On November 2, 2022, the Company announced a workforce reduction of approximately 550 employees, representing 18% of our workforce at that time. We are providing post-employment benefits to impacted employees for a total cash cost of approximately $15 million, which we expect will be recognized in the fourth quarter of fiscal 2022 and paid primarily during the same period.</w:t>
      </w:r>
    </w:p>
    <w:p>
      <w:pPr>
        <w:spacing w:after="0" w:line="165" w:lineRule="exact"/>
        <w:rPr>
          <w:sz w:val="20"/>
          <w:szCs w:val="20"/>
          <w:color w:val="auto"/>
        </w:rPr>
      </w:pPr>
    </w:p>
    <w:p>
      <w:pPr>
        <w:ind w:right="120" w:firstLine="387"/>
        <w:spacing w:after="0" w:line="270" w:lineRule="auto"/>
        <w:rPr>
          <w:sz w:val="20"/>
          <w:szCs w:val="20"/>
          <w:color w:val="auto"/>
        </w:rPr>
      </w:pPr>
      <w:r>
        <w:rPr>
          <w:rFonts w:ascii="Times New Roman" w:cs="Times New Roman" w:eastAsia="Times New Roman" w:hAnsi="Times New Roman"/>
          <w:sz w:val="17"/>
          <w:szCs w:val="17"/>
          <w:color w:val="auto"/>
        </w:rPr>
        <w:t>On October 19, 2022, a subsidiary of the Company entered into a new asset-backed senior revolving credit facility with $525 million in borrowing capacity and a final maturity date of October 31, 2023. As a result of this new facility, other recent amendments, and activity on existing facilities, the Company has an aggregate borrowing capacity of $12.6 billion and committed borrowing capacity of $7.3 billion for its non-recourse asset-backed debt.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jc w:val="both"/>
        <w:ind w:right="80" w:firstLine="387"/>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60" w:lineRule="exact"/>
        <w:rPr>
          <w:sz w:val="20"/>
          <w:szCs w:val="20"/>
          <w:color w:val="auto"/>
        </w:rPr>
      </w:pPr>
    </w:p>
    <w:p>
      <w:pPr>
        <w:ind w:right="40" w:firstLine="387"/>
        <w:spacing w:after="0" w:line="266" w:lineRule="auto"/>
        <w:rPr>
          <w:sz w:val="20"/>
          <w:szCs w:val="20"/>
          <w:color w:val="auto"/>
        </w:rPr>
      </w:pPr>
      <w:r>
        <w:rPr>
          <w:rFonts w:ascii="Times New Roman" w:cs="Times New Roman" w:eastAsia="Times New Roman" w:hAnsi="Times New Roman"/>
          <w:sz w:val="17"/>
          <w:szCs w:val="17"/>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the Company's Annual Report on Form 10-K for the year ended December 31, 2021 (the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Opendoor’s mission is to empower everyone with the freedom to move and make it possible to buy, sell and move at the tap of a button. We are transforming what has historically been a complex, uncertain, time-consuming and mostly offline process into a simple, online experience. Since our inception in 2014, we have built scalable pricing capabilities, technology-enabled centralized operations, and a suite of digital-first consumer products. These investments have enabled us to help customers buy or sell homes in over 200,000 transactions and expand our footprint to 51 markets across the country. Most importantly, we have grown rapidly while delighting our customers with an experience that brings simplicity, certainty and speed to the home selling and buying process.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 homes sold, number of</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markets, and homes in inventory)</w:t>
            </w: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5"/>
        </w:trPr>
        <w:tc>
          <w:tcPr>
            <w:tcW w:w="34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3,361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12,710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4,199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8,511</w:t>
            </w:r>
          </w:p>
        </w:tc>
        <w:tc>
          <w:tcPr>
            <w:tcW w:w="0" w:type="dxa"/>
            <w:vAlign w:val="bottom"/>
          </w:tcPr>
          <w:p>
            <w:pPr>
              <w:spacing w:after="0"/>
              <w:rPr>
                <w:sz w:val="1"/>
                <w:szCs w:val="1"/>
                <w:color w:val="auto"/>
              </w:rPr>
            </w:pPr>
          </w:p>
        </w:tc>
      </w:tr>
      <w:tr>
        <w:trPr>
          <w:trHeight w:val="23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Homes sold</w:t>
            </w:r>
          </w:p>
        </w:tc>
        <w:tc>
          <w:tcPr>
            <w:tcW w:w="320" w:type="dxa"/>
            <w:vAlign w:val="bottom"/>
          </w:tcPr>
          <w:p>
            <w:pPr>
              <w:spacing w:after="0"/>
              <w:rPr>
                <w:sz w:val="20"/>
                <w:szCs w:val="20"/>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8,520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5,988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31,671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11,931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19,740</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(loss) profit</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3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23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Loss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(Loss) Profit</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3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Contribution Margin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Margin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markets (at period end)</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 (at period end)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6,093</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6,268</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6,093</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6,268</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Homes in inventory (at period end)</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16,873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17,164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16,873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17,164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5"/>
        </w:trPr>
        <w:tc>
          <w:tcPr>
            <w:tcW w:w="3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Housing Environment</w:t>
      </w:r>
    </w:p>
    <w:p>
      <w:pPr>
        <w:spacing w:after="0" w:line="221" w:lineRule="exact"/>
        <w:rPr>
          <w:sz w:val="20"/>
          <w:szCs w:val="20"/>
          <w:color w:val="auto"/>
        </w:rPr>
      </w:pPr>
    </w:p>
    <w:p>
      <w:pPr>
        <w:ind w:right="180" w:firstLine="387"/>
        <w:spacing w:after="0" w:line="260" w:lineRule="auto"/>
        <w:rPr>
          <w:sz w:val="20"/>
          <w:szCs w:val="20"/>
          <w:color w:val="auto"/>
        </w:rPr>
      </w:pPr>
      <w:r>
        <w:rPr>
          <w:rFonts w:ascii="Times New Roman" w:cs="Times New Roman" w:eastAsia="Times New Roman" w:hAnsi="Times New Roman"/>
          <w:sz w:val="17"/>
          <w:szCs w:val="17"/>
          <w:color w:val="auto"/>
        </w:rPr>
        <w:t>The residential real estate market continues to be dominated by concerns of elevated inflation, rising rates, and increasing probability of recession. In response to persistent inflationary pressures, the U.S. Federal Reserve Board has implemented four 75-basis point hikes in target rates since June 2022, marking the most aggressive response by the U.S. Federal Reserve Board since the early 1980s. These actions have pushed long-term interest rates higher with mortgage rates following suit. Thirty-year fixed mortgage rates reached a decade-high average level of 5.6% in the third quarter, relative to an average rate of 3.8% during the three months ended March 31, 2022. Mortgage rates have continued their rise since then, reaching over 7% in late October 2022, a level last seen in the early 2000s.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firstLine="387"/>
        <w:spacing w:after="0" w:line="270" w:lineRule="auto"/>
        <w:rPr>
          <w:sz w:val="20"/>
          <w:szCs w:val="20"/>
          <w:color w:val="auto"/>
        </w:rPr>
      </w:pPr>
      <w:r>
        <w:rPr>
          <w:rFonts w:ascii="Times New Roman" w:cs="Times New Roman" w:eastAsia="Times New Roman" w:hAnsi="Times New Roman"/>
          <w:sz w:val="17"/>
          <w:szCs w:val="17"/>
          <w:color w:val="auto"/>
        </w:rPr>
        <w:t>The ensuing decline in housing affordability has driven a sharp pullback in home buyer demand, which precipitated a slowdown in both transaction velocity and home price appreciation (“HPA”) from close-to-record highs observed as recently as May of this year. While we had anticipated a slowdown in the housing market from peak levels, the speed of adjustment realized earlier this year was much faster than expected and sharper than typical seasonal trends.</w:t>
      </w:r>
    </w:p>
    <w:p>
      <w:pPr>
        <w:spacing w:after="0" w:line="165" w:lineRule="exact"/>
        <w:rPr>
          <w:sz w:val="20"/>
          <w:szCs w:val="20"/>
          <w:color w:val="auto"/>
        </w:rPr>
      </w:pPr>
    </w:p>
    <w:p>
      <w:pPr>
        <w:ind w:right="80" w:firstLine="387"/>
        <w:spacing w:after="0" w:line="260" w:lineRule="auto"/>
        <w:rPr>
          <w:sz w:val="20"/>
          <w:szCs w:val="20"/>
          <w:color w:val="auto"/>
        </w:rPr>
      </w:pPr>
      <w:r>
        <w:rPr>
          <w:rFonts w:ascii="Times New Roman" w:cs="Times New Roman" w:eastAsia="Times New Roman" w:hAnsi="Times New Roman"/>
          <w:sz w:val="17"/>
          <w:szCs w:val="17"/>
          <w:color w:val="auto"/>
        </w:rPr>
        <w:t>According to the National Association of Realtors, single-family existing home transaction volumes as of the end of the third quarter were down 23% versus the year prior on a seasonally adjusted basis with most of the decline in monthly transaction volumes taking place since April of this year. That said, transaction volumes as of the end of the third quarter are consistent with 2014 levels, with 2021, in particular, being an outlier compared to recent history. While housing inventories remain at close to all-time lows as reported by the National Association of Realtors, declining volumes have reduced the rate of market clearance, defined as the percentage of listed homes that go into contract per day. Within the markets where Opendoor operates, clearance rates were pacing at near all-time highs in April of this year but have since declined to 2019 levels, into what is normally a slower clearance period given housing market seasonality.</w:t>
      </w:r>
    </w:p>
    <w:p>
      <w:pPr>
        <w:spacing w:after="0" w:line="173"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These volume declines have resulted in weaker price dynamics. We typically observe a gradual decline in month-over-month HPA to zero or slightly negative in the back half of the year given housing seasonality. In contrast, the speed with which it got there this year from peak levels early in the second quarter was faster than our expectation and sharper than typical seasonal home price declines. For example, we saw one-month HPA (non-seasonally adjusted, weighted by Opendoor’s markets) move from approximately 300 basis points per month in early May to negative 100 basis points in mid July. We have continued to observe a flattening of the month-over-month change in HPA at negative 100 to 150 bps per month since July.</w:t>
      </w:r>
    </w:p>
    <w:p>
      <w:pPr>
        <w:spacing w:after="0" w:line="175" w:lineRule="exact"/>
        <w:rPr>
          <w:sz w:val="20"/>
          <w:szCs w:val="20"/>
          <w:color w:val="auto"/>
        </w:rPr>
      </w:pPr>
    </w:p>
    <w:p>
      <w:pPr>
        <w:ind w:right="40" w:firstLine="387"/>
        <w:spacing w:after="0" w:line="270" w:lineRule="auto"/>
        <w:rPr>
          <w:sz w:val="20"/>
          <w:szCs w:val="20"/>
          <w:color w:val="auto"/>
        </w:rPr>
      </w:pPr>
      <w:r>
        <w:rPr>
          <w:rFonts w:ascii="Times New Roman" w:cs="Times New Roman" w:eastAsia="Times New Roman" w:hAnsi="Times New Roman"/>
          <w:sz w:val="17"/>
          <w:szCs w:val="17"/>
          <w:color w:val="auto"/>
        </w:rPr>
        <w:t>These macroeconomic changes require us to adopt a highly dynamic and rigorous approach to managing risk and overall inventory health. We believe we are well-positioned to navigate this volatility given our pricing strategies, flexible operating model and balance sheet. We discuss the anticipated effects on our business throughout this section, including under “Factors Affecting Our Business Performance.”</w:t>
      </w:r>
    </w:p>
    <w:p>
      <w:pPr>
        <w:spacing w:after="0" w:line="165" w:lineRule="exact"/>
        <w:rPr>
          <w:sz w:val="20"/>
          <w:szCs w:val="20"/>
          <w:color w:val="auto"/>
        </w:rPr>
      </w:pPr>
    </w:p>
    <w:p>
      <w:pPr>
        <w:ind w:right="40" w:firstLine="387"/>
        <w:spacing w:after="0" w:line="261" w:lineRule="auto"/>
        <w:rPr>
          <w:sz w:val="20"/>
          <w:szCs w:val="20"/>
          <w:color w:val="auto"/>
        </w:rPr>
      </w:pPr>
      <w:r>
        <w:rPr>
          <w:rFonts w:ascii="Times New Roman" w:cs="Times New Roman" w:eastAsia="Times New Roman" w:hAnsi="Times New Roman"/>
          <w:sz w:val="17"/>
          <w:szCs w:val="17"/>
          <w:color w:val="auto"/>
        </w:rPr>
        <w:t>In light of ongoing market uncertainty and our reduced volume expectations, we have scaled back our operational capacity by reducing both third-party labor and our internal workforce. In addition, on November 2, 2022, we announced a workforce reduction of approximately 550 employees, representing 18% of our workforce at that time. We are providing post-employment benefits to impacted employees for a total cash cost of approximately $15 million,which we expect will be recognized in the fourth quarter of fiscal 2022 and paid primarily during the same period. As a result of the timing of the workforce reduction, the results set forth herein are not impacted by such reduction.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Impact of COVID-19</w:t>
      </w:r>
    </w:p>
    <w:p>
      <w:pPr>
        <w:spacing w:after="0" w:line="221" w:lineRule="exact"/>
        <w:rPr>
          <w:sz w:val="20"/>
          <w:szCs w:val="20"/>
          <w:color w:val="auto"/>
        </w:rPr>
      </w:pPr>
    </w:p>
    <w:p>
      <w:pPr>
        <w:ind w:right="640" w:firstLine="387"/>
        <w:spacing w:after="0" w:line="287" w:lineRule="auto"/>
        <w:rPr>
          <w:sz w:val="20"/>
          <w:szCs w:val="20"/>
          <w:color w:val="auto"/>
        </w:rPr>
      </w:pPr>
      <w:r>
        <w:rPr>
          <w:rFonts w:ascii="Times New Roman" w:cs="Times New Roman" w:eastAsia="Times New Roman" w:hAnsi="Times New Roman"/>
          <w:sz w:val="17"/>
          <w:szCs w:val="17"/>
          <w:color w:val="auto"/>
        </w:rPr>
        <w:t>While we believe we have adapted our operations to function effectively during the ongoing COVID-19 pandemic, our business remains sensitive to potential future disruptions of the real estate market caused by COVID-19 and its variants.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Business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Penetration in Existing Markets</w:t>
      </w:r>
    </w:p>
    <w:p>
      <w:pPr>
        <w:spacing w:after="0" w:line="223" w:lineRule="exact"/>
        <w:rPr>
          <w:sz w:val="20"/>
          <w:szCs w:val="20"/>
          <w:color w:val="auto"/>
        </w:rPr>
      </w:pPr>
    </w:p>
    <w:p>
      <w:pPr>
        <w:ind w:right="120" w:firstLine="387"/>
        <w:spacing w:after="0" w:line="261" w:lineRule="auto"/>
        <w:rPr>
          <w:sz w:val="20"/>
          <w:szCs w:val="20"/>
          <w:color w:val="auto"/>
        </w:rPr>
      </w:pPr>
      <w:r>
        <w:rPr>
          <w:rFonts w:ascii="Times New Roman" w:cs="Times New Roman" w:eastAsia="Times New Roman" w:hAnsi="Times New Roman"/>
          <w:sz w:val="17"/>
          <w:szCs w:val="17"/>
          <w:color w:val="auto"/>
        </w:rPr>
        <w:t>Residential real estate is one of the largest consumer markets, with approximately $2.3 trillion of home value transacted annually. Given the fact that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75" w:lineRule="exact"/>
        <w:rPr>
          <w:sz w:val="20"/>
          <w:szCs w:val="20"/>
          <w:color w:val="auto"/>
        </w:rPr>
      </w:pPr>
    </w:p>
    <w:p>
      <w:pPr>
        <w:ind w:right="220" w:firstLine="387"/>
        <w:spacing w:after="0" w:line="270" w:lineRule="auto"/>
        <w:rPr>
          <w:sz w:val="20"/>
          <w:szCs w:val="20"/>
          <w:color w:val="auto"/>
        </w:rPr>
      </w:pPr>
      <w:r>
        <w:rPr>
          <w:rFonts w:ascii="Times New Roman" w:cs="Times New Roman" w:eastAsia="Times New Roman" w:hAnsi="Times New Roman"/>
          <w:sz w:val="17"/>
          <w:szCs w:val="17"/>
          <w:color w:val="auto"/>
        </w:rPr>
        <w:t>We are launching in certain markets our Exclusives marketplace where our sellers will connect directly with our buyers thereby expanding our target audience to additional sellers. We expect this marketplace to reduce our inventory exposure, capital intensity and macroeconomic risk, which we believe has the potential to positively impact our results.</w:t>
      </w:r>
    </w:p>
    <w:p>
      <w:pPr>
        <w:spacing w:after="0" w:line="191" w:lineRule="exact"/>
        <w:rPr>
          <w:sz w:val="20"/>
          <w:szCs w:val="20"/>
          <w:color w:val="auto"/>
        </w:rPr>
      </w:pPr>
    </w:p>
    <w:p>
      <w:pPr>
        <w:ind w:right="20" w:firstLine="387"/>
        <w:spacing w:after="0" w:line="287" w:lineRule="auto"/>
        <w:rPr>
          <w:sz w:val="20"/>
          <w:szCs w:val="20"/>
          <w:color w:val="auto"/>
        </w:rPr>
      </w:pPr>
      <w:r>
        <w:rPr>
          <w:rFonts w:ascii="Times New Roman" w:cs="Times New Roman" w:eastAsia="Times New Roman" w:hAnsi="Times New Roman"/>
          <w:sz w:val="17"/>
          <w:szCs w:val="17"/>
          <w:color w:val="auto"/>
        </w:rPr>
        <w:t>We also expect to launch our new partnership agreement with Zillow, Inc. in early 2023 that will allow home sellers on the Zillow, Inc. platform to request an offer directly from Opendoor, which will create an additional channel for us to drive brand awareness and acquire customers.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Expansion into New Markets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operated in 51 markets as of September 30, 2022. The following table represents the number of markets as of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5"/>
                <w:szCs w:val="15"/>
                <w:color w:val="auto"/>
              </w:rPr>
            </w:pPr>
          </w:p>
        </w:tc>
        <w:tc>
          <w:tcPr>
            <w:tcW w:w="1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whole numbers)</w:t>
            </w:r>
          </w:p>
        </w:tc>
        <w:tc>
          <w:tcPr>
            <w:tcW w:w="1260" w:type="dxa"/>
            <w:vAlign w:val="bottom"/>
            <w:vMerge w:val="restart"/>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3"/>
                <w:szCs w:val="3"/>
                <w:color w:val="auto"/>
              </w:rPr>
            </w:pPr>
          </w:p>
        </w:tc>
        <w:tc>
          <w:tcPr>
            <w:tcW w:w="1140" w:type="dxa"/>
            <w:vAlign w:val="bottom"/>
            <w:vMerge w:val="restart"/>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160" w:type="dxa"/>
            <w:vAlign w:val="bottom"/>
            <w:vMerge w:val="restart"/>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35"/>
        </w:trPr>
        <w:tc>
          <w:tcPr>
            <w:tcW w:w="37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markets (at period end)</w:t>
            </w:r>
          </w:p>
        </w:tc>
        <w:tc>
          <w:tcPr>
            <w:tcW w:w="126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44</w:t>
            </w:r>
          </w:p>
        </w:tc>
        <w:tc>
          <w:tcPr>
            <w:tcW w:w="15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
        </w:trPr>
        <w:tc>
          <w:tcPr>
            <w:tcW w:w="3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launched seven new markets in the first nine months of 2022, adding to the 23 markets launched in 2021.</w:t>
      </w:r>
    </w:p>
    <w:p>
      <w:pPr>
        <w:spacing w:after="0" w:line="217" w:lineRule="exact"/>
        <w:rPr>
          <w:sz w:val="20"/>
          <w:szCs w:val="20"/>
          <w:color w:val="auto"/>
        </w:rPr>
      </w:pPr>
    </w:p>
    <w:p>
      <w:pPr>
        <w:jc w:val="both"/>
        <w:ind w:right="40" w:firstLine="387"/>
        <w:spacing w:after="0" w:line="270" w:lineRule="auto"/>
        <w:rPr>
          <w:sz w:val="20"/>
          <w:szCs w:val="20"/>
          <w:color w:val="auto"/>
        </w:rPr>
      </w:pPr>
      <w:r>
        <w:rPr>
          <w:rFonts w:ascii="Times New Roman" w:cs="Times New Roman" w:eastAsia="Times New Roman" w:hAnsi="Times New Roman"/>
          <w:sz w:val="17"/>
          <w:szCs w:val="17"/>
          <w:color w:val="auto"/>
        </w:rPr>
        <w:t>We have honed our market launch playbook by centralizing many of our core pricing, operations, and customer service functions, enabling us to launch new markets more efficiently and quickly in the future. For example, we are generally able to launch a market with only a small field team focused on home renovation oversight, with all other key functions managed centrally.</w:t>
      </w:r>
    </w:p>
    <w:p>
      <w:pPr>
        <w:spacing w:after="0" w:line="165" w:lineRule="exact"/>
        <w:rPr>
          <w:sz w:val="20"/>
          <w:szCs w:val="20"/>
          <w:color w:val="auto"/>
        </w:rPr>
      </w:pPr>
    </w:p>
    <w:p>
      <w:pPr>
        <w:ind w:right="60" w:firstLine="387"/>
        <w:spacing w:after="0" w:line="264" w:lineRule="auto"/>
        <w:rPr>
          <w:sz w:val="20"/>
          <w:szCs w:val="20"/>
          <w:color w:val="auto"/>
        </w:rPr>
      </w:pPr>
      <w:r>
        <w:rPr>
          <w:rFonts w:ascii="Times New Roman" w:cs="Times New Roman" w:eastAsia="Times New Roman" w:hAnsi="Times New Roman"/>
          <w:sz w:val="17"/>
          <w:szCs w:val="17"/>
          <w:color w:val="auto"/>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While new markets do not contribute significantly to revenue during their first year of operation, they provide a foundation for long-term growth once local operational and pricing capabilities have been refined.</w:t>
      </w:r>
    </w:p>
    <w:p>
      <w:pPr>
        <w:spacing w:after="0" w:line="171" w:lineRule="exact"/>
        <w:rPr>
          <w:sz w:val="20"/>
          <w:szCs w:val="20"/>
          <w:color w:val="auto"/>
        </w:rPr>
      </w:pPr>
    </w:p>
    <w:p>
      <w:pPr>
        <w:ind w:right="180" w:firstLine="387"/>
        <w:spacing w:after="0" w:line="287" w:lineRule="auto"/>
        <w:rPr>
          <w:sz w:val="20"/>
          <w:szCs w:val="20"/>
          <w:color w:val="auto"/>
        </w:rPr>
      </w:pPr>
      <w:r>
        <w:rPr>
          <w:rFonts w:ascii="Times New Roman" w:cs="Times New Roman" w:eastAsia="Times New Roman" w:hAnsi="Times New Roman"/>
          <w:sz w:val="17"/>
          <w:szCs w:val="17"/>
          <w:color w:val="auto"/>
        </w:rPr>
        <w:t>We have historically made substantial investments to support our market launches, which tends to impact both Contribution Margin and Adjusted EBITDA as these new markets mature. We expect such investments to continue as we launch additional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Adjacent Services</w:t>
      </w:r>
    </w:p>
    <w:p>
      <w:pPr>
        <w:spacing w:after="0" w:line="223" w:lineRule="exact"/>
        <w:rPr>
          <w:sz w:val="20"/>
          <w:szCs w:val="20"/>
          <w:color w:val="auto"/>
        </w:rPr>
      </w:pPr>
    </w:p>
    <w:p>
      <w:pPr>
        <w:ind w:right="20" w:firstLine="387"/>
        <w:spacing w:after="0" w:line="258" w:lineRule="auto"/>
        <w:rPr>
          <w:sz w:val="20"/>
          <w:szCs w:val="20"/>
          <w:color w:val="auto"/>
        </w:rPr>
      </w:pPr>
      <w:r>
        <w:rPr>
          <w:rFonts w:ascii="Times New Roman" w:cs="Times New Roman" w:eastAsia="Times New Roman" w:hAnsi="Times New Roman"/>
          <w:sz w:val="17"/>
          <w:szCs w:val="17"/>
          <w:color w:val="auto"/>
        </w:rPr>
        <w:t>We believe home sellers and buyers value simplicity and convenience. To that end, we are building an online, integrated suite of home services, which currently include title insurance and escrow services, Buy with Opendoor, and Opendoor Complete. We also offer mortgage services. Historically, we primarily delivered these services through Opendoor Home Loans, which operated as a correspondent lender. We are focusing our mortgage efforts on the seamless integration of financing with the rest of the Opendoor ecosystem and as such are now more focused on brokerage activities via both Opendoor Home Loans and OD Homes Brokerage (formerly RedDoor HQ Inc. (“RedDoor”)). We work closely with our strategic partner Lower.com as well as other mortgage lenders to offer our customers a broader suite of mortgage products and services. Our success with title insurance and escrow services helps validate our view that customers prefer an online, integrated experience. We expect that these adjacent services will also be accretive to our Contribution Margin.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will continue to evaluate new ways to improve our end-to-end solution and expect to invest in additional adjacent products and services over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 Economics</w:t>
      </w:r>
    </w:p>
    <w:p>
      <w:pPr>
        <w:spacing w:after="0" w:line="223" w:lineRule="exact"/>
        <w:rPr>
          <w:sz w:val="20"/>
          <w:szCs w:val="20"/>
          <w:color w:val="auto"/>
        </w:rPr>
      </w:pPr>
    </w:p>
    <w:p>
      <w:pPr>
        <w:ind w:right="200" w:firstLine="387"/>
        <w:spacing w:after="0" w:line="264" w:lineRule="auto"/>
        <w:rPr>
          <w:sz w:val="20"/>
          <w:szCs w:val="20"/>
          <w:color w:val="auto"/>
        </w:rPr>
      </w:pPr>
      <w:r>
        <w:rPr>
          <w:rFonts w:ascii="Times New Roman" w:cs="Times New Roman" w:eastAsia="Times New Roman" w:hAnsi="Times New Roman"/>
          <w:sz w:val="17"/>
          <w:szCs w:val="17"/>
          <w:color w:val="auto"/>
        </w:rPr>
        <w:t>We view Contribution Margin and Contribution Margin after Interest as key measures of unit economic performance. Our long-term financial performance depends, in part, on continuing to maintain and expand unit margins via pricing engine optimization and enhancements, lowering platform efficiencies, greater automation and self-service, more efficient forms of financing, and the successful attach of services that supplement the core transaction margin profile via our existing services as well as new ones.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Management</w:t>
      </w:r>
    </w:p>
    <w:p>
      <w:pPr>
        <w:spacing w:after="0" w:line="223" w:lineRule="exact"/>
        <w:rPr>
          <w:sz w:val="20"/>
          <w:szCs w:val="20"/>
          <w:color w:val="auto"/>
        </w:rPr>
      </w:pPr>
    </w:p>
    <w:p>
      <w:pPr>
        <w:ind w:right="140" w:firstLine="387"/>
        <w:spacing w:after="0" w:line="264" w:lineRule="auto"/>
        <w:rPr>
          <w:sz w:val="20"/>
          <w:szCs w:val="20"/>
          <w:color w:val="auto"/>
        </w:rPr>
      </w:pPr>
      <w:r>
        <w:rPr>
          <w:rFonts w:ascii="Times New Roman" w:cs="Times New Roman" w:eastAsia="Times New Roman" w:hAnsi="Times New Roman"/>
          <w:sz w:val="17"/>
          <w:szCs w:val="17"/>
          <w:color w:val="auto"/>
        </w:rPr>
        <w:t>Effectively managing our overall inventory position is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Our performance in the third quarter of 2022 reflects the sharp transition in the housing market from peak levels earlier this year to lower transaction velocity and home price appreciation well beyond typical seasonal trends. Given these macroeconomic pressures, we have been focused on managing for overall inventory health and risk. As part of that focus, we have continued to adjust down listed prices on our inventory to stay in-line with the market and drive resale clearance.</w:t>
      </w:r>
    </w:p>
    <w:p>
      <w:pPr>
        <w:ind w:right="380"/>
        <w:spacing w:after="0" w:line="256" w:lineRule="auto"/>
        <w:rPr>
          <w:sz w:val="20"/>
          <w:szCs w:val="20"/>
          <w:color w:val="auto"/>
        </w:rPr>
      </w:pPr>
      <w:r>
        <w:rPr>
          <w:rFonts w:ascii="Times New Roman" w:cs="Times New Roman" w:eastAsia="Times New Roman" w:hAnsi="Times New Roman"/>
          <w:sz w:val="17"/>
          <w:szCs w:val="17"/>
          <w:color w:val="auto"/>
        </w:rPr>
        <w:t>Related to those price actions, we have recorded inventory valuation adjustments of $573 million and $663 million during the three and nine months ended September 30, 2022, respectively. We have also proactively reduced our acquisition pace via higher spreads embedded in our offers and lower marketing investment. While this has the effect of reducing our acquisition pace to allow us to manage overall inventory growth, we also expect future margins on those acquisition cohorts to be in-line with our expectations for positive contribution margins. We expect to resume a higher acquisition pace as the housing market stabilizes.</w:t>
      </w:r>
    </w:p>
    <w:p>
      <w:pPr>
        <w:spacing w:after="0" w:line="178"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September 30, 2022, such homes represented 21% of our portfolio, compared to 15% for the broader market when filtered for the types of homes we are able to underwrite and acquire in a given market based on characteristics such as price range, home type, home location, year built and lot size (referred to as our buybox). This metric is impacted by the mix of homes in our inventory. Beginning early in the third quarter of 2022, we significantly reduced our offer pace and subsequent closings of new home acquisitions in light of our risk management objective and overall macroeconomic uncertainty. When newer acquired homes represent a smaller proportion of our overall inventory, average days on market for our portfolio generally increases. As such, given the reduction in newer acquired homes, we anticipate days to sale to increase in the fourth quarter of 2022 and into early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Financing</w:t>
      </w:r>
    </w:p>
    <w:p>
      <w:pPr>
        <w:spacing w:after="0" w:line="223" w:lineRule="exact"/>
        <w:rPr>
          <w:sz w:val="20"/>
          <w:szCs w:val="20"/>
          <w:color w:val="auto"/>
        </w:rPr>
      </w:pPr>
    </w:p>
    <w:p>
      <w:pPr>
        <w:ind w:right="100" w:firstLine="387"/>
        <w:spacing w:after="0" w:line="270" w:lineRule="auto"/>
        <w:rPr>
          <w:sz w:val="20"/>
          <w:szCs w:val="20"/>
          <w:color w:val="auto"/>
        </w:rPr>
      </w:pPr>
      <w:r>
        <w:rPr>
          <w:rFonts w:ascii="Times New Roman" w:cs="Times New Roman" w:eastAsia="Times New Roman" w:hAnsi="Times New Roman"/>
          <w:sz w:val="17"/>
          <w:szCs w:val="17"/>
          <w:color w:val="auto"/>
        </w:rPr>
        <w:t xml:space="preserve">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 </w:t>
      </w:r>
      <w:r>
        <w:rPr>
          <w:rFonts w:ascii="Times New Roman" w:cs="Times New Roman" w:eastAsia="Times New Roman" w:hAnsi="Times New Roman"/>
          <w:sz w:val="17"/>
          <w:szCs w:val="17"/>
          <w:i w:val="1"/>
          <w:iCs w:val="1"/>
          <w:color w:val="auto"/>
        </w:rPr>
        <w:t>Liquidity and Capital Resources — Debt and Financing Arrangements.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223" w:lineRule="exact"/>
        <w:rPr>
          <w:sz w:val="20"/>
          <w:szCs w:val="20"/>
          <w:color w:val="auto"/>
        </w:rPr>
      </w:pPr>
    </w:p>
    <w:p>
      <w:pPr>
        <w:ind w:right="100" w:firstLine="387"/>
        <w:spacing w:after="0" w:line="264" w:lineRule="auto"/>
        <w:rPr>
          <w:sz w:val="20"/>
          <w:szCs w:val="20"/>
          <w:color w:val="auto"/>
        </w:rPr>
      </w:pPr>
      <w:r>
        <w:rPr>
          <w:rFonts w:ascii="Times New Roman" w:cs="Times New Roman" w:eastAsia="Times New Roman" w:hAnsi="Times New Roman"/>
          <w:sz w:val="17"/>
          <w:szCs w:val="17"/>
          <w:color w:val="auto"/>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rising inflation and interest rate increases as recently observed, have obscured the impact of seasonality in our historical financials and we expect may continue to do so.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1" w:lineRule="exact"/>
        <w:rPr>
          <w:sz w:val="20"/>
          <w:szCs w:val="20"/>
          <w:color w:val="auto"/>
        </w:rPr>
      </w:pPr>
    </w:p>
    <w:p>
      <w:pPr>
        <w:ind w:right="180" w:firstLine="387"/>
        <w:spacing w:after="0" w:line="287" w:lineRule="auto"/>
        <w:rPr>
          <w:sz w:val="20"/>
          <w:szCs w:val="20"/>
          <w:color w:val="auto"/>
        </w:rPr>
      </w:pPr>
      <w:r>
        <w:rPr>
          <w:rFonts w:ascii="Times New Roman" w:cs="Times New Roman" w:eastAsia="Times New Roman" w:hAnsi="Times New Roman"/>
          <w:sz w:val="17"/>
          <w:szCs w:val="17"/>
          <w:color w:val="auto"/>
        </w:rPr>
        <w:t>In addition to our results of operations below, we report certain financial measures that are not required by, or presented in accordance with, U.S. generally accepted accounting principles (“GAAP”).</w:t>
      </w:r>
    </w:p>
    <w:p>
      <w:pPr>
        <w:spacing w:after="0" w:line="151" w:lineRule="exact"/>
        <w:rPr>
          <w:sz w:val="20"/>
          <w:szCs w:val="20"/>
          <w:color w:val="auto"/>
        </w:rPr>
      </w:pPr>
    </w:p>
    <w:p>
      <w:pPr>
        <w:ind w:right="60" w:firstLine="387"/>
        <w:spacing w:after="0" w:line="264" w:lineRule="auto"/>
        <w:rPr>
          <w:sz w:val="20"/>
          <w:szCs w:val="20"/>
          <w:color w:val="auto"/>
        </w:rPr>
      </w:pPr>
      <w:r>
        <w:rPr>
          <w:rFonts w:ascii="Times New Roman" w:cs="Times New Roman" w:eastAsia="Times New Roman" w:hAnsi="Times New Roman"/>
          <w:sz w:val="17"/>
          <w:szCs w:val="17"/>
          <w:color w:val="auto"/>
        </w:rPr>
        <w:t>These measures have limitations as analytical tools when assessing our operating performance and should not be considered in isolation or as a substitute for GAAP measures, including gross (loss)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Gross Profit, Contribution (Loss) Profit and Contribution (Loss) Profit After Interest</w:t>
      </w:r>
    </w:p>
    <w:p>
      <w:pPr>
        <w:spacing w:after="0" w:line="221" w:lineRule="exact"/>
        <w:rPr>
          <w:sz w:val="20"/>
          <w:szCs w:val="20"/>
          <w:color w:val="auto"/>
        </w:rPr>
      </w:pPr>
    </w:p>
    <w:p>
      <w:pPr>
        <w:ind w:right="40" w:firstLine="387"/>
        <w:spacing w:after="0" w:line="261"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margins and return on inventory acquired, we have included Adjusted Gross Profit, Contribution (Loss) Profit and Contribution (Loss) Profit After Interest, which are non-GAAP financial measures. We believe that Adjusted Gross Profit, Contribution (Loss) Profit and Contribution (Loss) Profit After Interest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only the expenses that are directly attributable to such home sales, even if such expenses were recognized in prior periods, and excluding expenses related to homes that remain in inventory as of the end of the period. Contribution (Loss) Profit provides investors a measure to assess Opendoor’s ability to generate returns on homes sold during a reporting period after considering home purchase costs, renovation and repair costs, holding costs and selling costs. Contribution (Loss) Profit After Interest further impacts gross (loss) profit by including senior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73" w:lineRule="exact"/>
        <w:rPr>
          <w:sz w:val="20"/>
          <w:szCs w:val="20"/>
          <w:color w:val="auto"/>
        </w:rPr>
      </w:pPr>
    </w:p>
    <w:p>
      <w:pPr>
        <w:ind w:right="120" w:firstLine="387"/>
        <w:spacing w:after="0" w:line="261" w:lineRule="auto"/>
        <w:rPr>
          <w:sz w:val="20"/>
          <w:szCs w:val="20"/>
          <w:color w:val="auto"/>
        </w:rPr>
      </w:pPr>
      <w:r>
        <w:rPr>
          <w:rFonts w:ascii="Times New Roman" w:cs="Times New Roman" w:eastAsia="Times New Roman" w:hAnsi="Times New Roman"/>
          <w:sz w:val="17"/>
          <w:szCs w:val="17"/>
          <w:color w:val="auto"/>
        </w:rPr>
        <w:t>Adjusted Gross Profit, Contribution (Loss) Profit and Contribution (Loss)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(loss) profit.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Gross Profit / Margin</w:t>
      </w:r>
    </w:p>
    <w:p>
      <w:pPr>
        <w:spacing w:after="0" w:line="221" w:lineRule="exact"/>
        <w:rPr>
          <w:sz w:val="20"/>
          <w:szCs w:val="20"/>
          <w:color w:val="auto"/>
        </w:rPr>
      </w:pPr>
    </w:p>
    <w:p>
      <w:pPr>
        <w:ind w:right="20" w:firstLine="387"/>
        <w:spacing w:after="0" w:line="258" w:lineRule="auto"/>
        <w:rPr>
          <w:sz w:val="20"/>
          <w:szCs w:val="20"/>
          <w:color w:val="auto"/>
        </w:rPr>
      </w:pPr>
      <w:r>
        <w:rPr>
          <w:rFonts w:ascii="Times New Roman" w:cs="Times New Roman" w:eastAsia="Times New Roman" w:hAnsi="Times New Roman"/>
          <w:sz w:val="17"/>
          <w:szCs w:val="17"/>
          <w:color w:val="auto"/>
        </w:rPr>
        <w:t>We calculate Adjusted Gross Profit as gross (loss)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percentage of revenue. See “—</w:t>
      </w:r>
      <w:r>
        <w:rPr>
          <w:rFonts w:ascii="Times New Roman" w:cs="Times New Roman" w:eastAsia="Times New Roman" w:hAnsi="Times New Roman"/>
          <w:sz w:val="17"/>
          <w:szCs w:val="17"/>
          <w:i w:val="1"/>
          <w:iCs w:val="1"/>
          <w:color w:val="auto"/>
        </w:rPr>
        <w:t>Critical Accounting Policies and Estimates— Real Estate Inventory”</w:t>
      </w:r>
      <w:r>
        <w:rPr>
          <w:rFonts w:ascii="Times New Roman" w:cs="Times New Roman" w:eastAsia="Times New Roman" w:hAnsi="Times New Roman"/>
          <w:sz w:val="17"/>
          <w:szCs w:val="17"/>
          <w:color w:val="auto"/>
        </w:rPr>
        <w:t xml:space="preserve"> for detailed discussion of inventory valuation adjustment.</w:t>
      </w:r>
    </w:p>
    <w:p>
      <w:pPr>
        <w:spacing w:after="0" w:line="200" w:lineRule="exact"/>
        <w:rPr>
          <w:sz w:val="20"/>
          <w:szCs w:val="20"/>
          <w:color w:val="auto"/>
        </w:rPr>
      </w:pPr>
    </w:p>
    <w:p>
      <w:pPr>
        <w:ind w:right="160" w:firstLine="387"/>
        <w:spacing w:after="0" w:line="270" w:lineRule="auto"/>
        <w:rPr>
          <w:sz w:val="20"/>
          <w:szCs w:val="20"/>
          <w:color w:val="auto"/>
        </w:rPr>
      </w:pPr>
      <w:r>
        <w:rPr>
          <w:rFonts w:ascii="Times New Roman" w:cs="Times New Roman" w:eastAsia="Times New Roman" w:hAnsi="Times New Roman"/>
          <w:sz w:val="17"/>
          <w:szCs w:val="17"/>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Contribution (Loss) Profit / Margin</w:t>
      </w:r>
    </w:p>
    <w:p>
      <w:pPr>
        <w:spacing w:after="0" w:line="221" w:lineRule="exact"/>
        <w:rPr>
          <w:sz w:val="20"/>
          <w:szCs w:val="20"/>
          <w:color w:val="auto"/>
        </w:rPr>
      </w:pPr>
    </w:p>
    <w:p>
      <w:pPr>
        <w:jc w:val="both"/>
        <w:ind w:right="20" w:firstLine="387"/>
        <w:spacing w:after="0" w:line="270" w:lineRule="auto"/>
        <w:rPr>
          <w:sz w:val="20"/>
          <w:szCs w:val="20"/>
          <w:color w:val="auto"/>
        </w:rPr>
      </w:pPr>
      <w:r>
        <w:rPr>
          <w:rFonts w:ascii="Times New Roman" w:cs="Times New Roman" w:eastAsia="Times New Roman" w:hAnsi="Times New Roman"/>
          <w:sz w:val="17"/>
          <w:szCs w:val="17"/>
          <w:color w:val="auto"/>
        </w:rPr>
        <w:t>We calculate Contribution (Loss) Profit as Adjusted Gross Profit,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(Loss) Profit as a percentage of revenue.</w:t>
      </w:r>
    </w:p>
    <w:p>
      <w:pPr>
        <w:spacing w:after="0" w:line="165" w:lineRule="exact"/>
        <w:rPr>
          <w:sz w:val="20"/>
          <w:szCs w:val="20"/>
          <w:color w:val="auto"/>
        </w:rPr>
      </w:pPr>
    </w:p>
    <w:p>
      <w:pPr>
        <w:ind w:right="160" w:firstLine="387"/>
        <w:spacing w:after="0" w:line="270" w:lineRule="auto"/>
        <w:rPr>
          <w:sz w:val="20"/>
          <w:szCs w:val="20"/>
          <w:color w:val="auto"/>
        </w:rPr>
      </w:pPr>
      <w:r>
        <w:rPr>
          <w:rFonts w:ascii="Times New Roman" w:cs="Times New Roman" w:eastAsia="Times New Roman" w:hAnsi="Times New Roman"/>
          <w:sz w:val="17"/>
          <w:szCs w:val="17"/>
          <w:color w:val="auto"/>
        </w:rPr>
        <w:t>We view this metric as an important measure of business performance as it captures the unit level performance isolated to homes sold in a given period and provides comparability across reporting periods. Contribution (Loss) Profit helps management assess inflows and outflows directly associated with a specific resale cohort.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Contribution (Loss) Profit / Margin After Interest</w:t>
      </w:r>
    </w:p>
    <w:p>
      <w:pPr>
        <w:spacing w:after="0" w:line="221"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 xml:space="preserve">We define Contribution (Loss) Profit After Interest as Contribution (Loss) Profit, minus interest expense under our non-recourse asset-backed senior debt facilities incurred on the homes sold during the period. This may include interest expense recorded in periods prior to the period in which the sale occurred. Our asset-backed senior debt facilities are secured by our real estate inventory and cash. See “— </w:t>
      </w:r>
      <w:r>
        <w:rPr>
          <w:rFonts w:ascii="Times New Roman" w:cs="Times New Roman" w:eastAsia="Times New Roman" w:hAnsi="Times New Roman"/>
          <w:sz w:val="17"/>
          <w:szCs w:val="17"/>
          <w:i w:val="1"/>
          <w:iCs w:val="1"/>
          <w:color w:val="auto"/>
        </w:rPr>
        <w:t>Liquidity and Capital Resources — Debt and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w:t>
      </w:r>
      <w:r>
        <w:rPr>
          <w:rFonts w:ascii="Times New Roman" w:cs="Times New Roman" w:eastAsia="Times New Roman" w:hAnsi="Times New Roman"/>
          <w:sz w:val="17"/>
          <w:szCs w:val="17"/>
          <w:color w:val="auto"/>
        </w:rPr>
        <w:t>” In addition to our senior debt facilities, we use a mix of debt and equity capital to finance our inventory and that mix will vary over time.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 to continue to evolve our cost of financing as we include other debt sources beyond mezzanine capital. As such, in order to allow more meaningful period over period comparisons that more accurately reflect our asset performance rather than our evolving financing choices, we do not include interest expense associated with our mezzanine term debt facilities in this calculation. Contribution Margin After Interest is Contribution (Loss) Profit After Interest as a percentage of revenue.</w:t>
      </w:r>
    </w:p>
    <w:p>
      <w:pPr>
        <w:spacing w:after="0" w:line="385" w:lineRule="exact"/>
        <w:rPr>
          <w:sz w:val="20"/>
          <w:szCs w:val="20"/>
          <w:color w:val="auto"/>
        </w:rPr>
      </w:pPr>
    </w:p>
    <w:p>
      <w:pPr>
        <w:ind w:right="460" w:firstLine="387"/>
        <w:spacing w:after="0" w:line="287" w:lineRule="auto"/>
        <w:rPr>
          <w:sz w:val="20"/>
          <w:szCs w:val="20"/>
          <w:color w:val="auto"/>
        </w:rPr>
      </w:pPr>
      <w:r>
        <w:rPr>
          <w:rFonts w:ascii="Times New Roman" w:cs="Times New Roman" w:eastAsia="Times New Roman" w:hAnsi="Times New Roman"/>
          <w:sz w:val="17"/>
          <w:szCs w:val="17"/>
          <w:color w:val="auto"/>
        </w:rPr>
        <w:t>We view this metric as an important measure of business performance. Contribution (Loss) Profit After Interest helps management assess Contribution Margin performance, per above, when burdened with the cost of senior financing.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6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presents a reconciliation of our Adjusted Gross Profit, Contribution (Loss) Profit and Contribution (Loss) Profit After Interest to our gross (loss) profit, which is the most directly comparable GAAP measure,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5"/>
        </w:trPr>
        <w:tc>
          <w:tcPr>
            <w:tcW w:w="50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(loss) profit (GAAP)</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596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458</w:t>
            </w: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 valuation adjustment – Current Period</w:t>
            </w:r>
            <w:r>
              <w:rPr>
                <w:rFonts w:ascii="Times New Roman" w:cs="Times New Roman" w:eastAsia="Times New Roman" w:hAnsi="Times New Roman"/>
                <w:sz w:val="22"/>
                <w:szCs w:val="22"/>
                <w:color w:val="auto"/>
                <w:vertAlign w:val="superscript"/>
              </w:rPr>
              <w:t>(1)(2)</w:t>
            </w:r>
          </w:p>
        </w:tc>
        <w:tc>
          <w:tcPr>
            <w:tcW w:w="360" w:type="dxa"/>
            <w:vAlign w:val="bottom"/>
          </w:tcPr>
          <w:p>
            <w:pPr>
              <w:spacing w:after="0"/>
              <w:rPr>
                <w:sz w:val="22"/>
                <w:szCs w:val="22"/>
                <w:color w:val="auto"/>
              </w:rPr>
            </w:pP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620</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 valuation adjustment – Prior Periods</w:t>
            </w:r>
            <w:r>
              <w:rPr>
                <w:rFonts w:ascii="Times New Roman" w:cs="Times New Roman" w:eastAsia="Times New Roman" w:hAnsi="Times New Roman"/>
                <w:sz w:val="22"/>
                <w:szCs w:val="22"/>
                <w:color w:val="auto"/>
                <w:vertAlign w:val="superscript"/>
              </w:rPr>
              <w:t>(1)(3)</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Gross Profit</w:t>
            </w: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110</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233</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1,178</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490</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Adjusted 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Direct selling costs</w:t>
            </w:r>
            <w:r>
              <w:rPr>
                <w:rFonts w:ascii="Times New Roman" w:cs="Times New Roman" w:eastAsia="Times New Roman" w:hAnsi="Times New Roman"/>
                <w:sz w:val="22"/>
                <w:szCs w:val="22"/>
                <w:color w:val="auto"/>
                <w:vertAlign w:val="superscript"/>
              </w:rPr>
              <w:t>(4)</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58"/>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Holding costs on sales – Current Period</w:t>
            </w:r>
            <w:r>
              <w:rPr>
                <w:rFonts w:ascii="Times New Roman" w:cs="Times New Roman" w:eastAsia="Times New Roman" w:hAnsi="Times New Roman"/>
                <w:sz w:val="22"/>
                <w:szCs w:val="22"/>
                <w:color w:val="auto"/>
                <w:vertAlign w:val="superscript"/>
              </w:rPr>
              <w:t>(5)(6)</w:t>
            </w: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Holding costs on sales – Prior Periods</w:t>
            </w:r>
            <w:r>
              <w:rPr>
                <w:rFonts w:ascii="Times New Roman" w:cs="Times New Roman" w:eastAsia="Times New Roman" w:hAnsi="Times New Roman"/>
                <w:sz w:val="22"/>
                <w:szCs w:val="22"/>
                <w:color w:val="auto"/>
                <w:vertAlign w:val="superscript"/>
              </w:rPr>
              <w:t>(5)(7)</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Contribution (Loss) Profit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169</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732</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373</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Contribution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0" w:type="dxa"/>
            <w:vAlign w:val="bottom"/>
          </w:tcPr>
          <w:p>
            <w:pPr>
              <w:spacing w:after="0"/>
              <w:rPr>
                <w:sz w:val="1"/>
                <w:szCs w:val="1"/>
                <w:color w:val="auto"/>
              </w:rPr>
            </w:pPr>
          </w:p>
        </w:tc>
      </w:tr>
      <w:tr>
        <w:trPr>
          <w:trHeight w:val="24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homes sold – Current Period</w:t>
            </w:r>
            <w:r>
              <w:rPr>
                <w:rFonts w:ascii="Times New Roman" w:cs="Times New Roman" w:eastAsia="Times New Roman" w:hAnsi="Times New Roman"/>
                <w:sz w:val="22"/>
                <w:szCs w:val="22"/>
                <w:color w:val="auto"/>
                <w:vertAlign w:val="superscript"/>
              </w:rPr>
              <w:t>(8)(9)</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8"/>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on homes sold – Prior Periods</w:t>
            </w:r>
            <w:r>
              <w:rPr>
                <w:rFonts w:ascii="Times New Roman" w:cs="Times New Roman" w:eastAsia="Times New Roman" w:hAnsi="Times New Roman"/>
                <w:sz w:val="22"/>
                <w:szCs w:val="22"/>
                <w:color w:val="auto"/>
                <w:vertAlign w:val="superscript"/>
              </w:rPr>
              <w:t>(8)(10)</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Contribution (Loss) Profit After Interest</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159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623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355</w:t>
            </w: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Contribution Margin After Interest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103" w:lineRule="exact"/>
        <w:rPr>
          <w:sz w:val="20"/>
          <w:szCs w:val="20"/>
          <w:color w:val="auto"/>
        </w:rPr>
      </w:pPr>
    </w:p>
    <w:p>
      <w:pPr>
        <w:ind w:left="320" w:right="400" w:hanging="317"/>
        <w:spacing w:after="0" w:line="229"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Inventory valuation adjustment includes adjustments to record real estate inventory at the lower of its carrying amount or its net realizable value. See “— </w:t>
      </w:r>
      <w:r>
        <w:rPr>
          <w:rFonts w:ascii="Times New Roman" w:cs="Times New Roman" w:eastAsia="Times New Roman" w:hAnsi="Times New Roman"/>
          <w:sz w:val="17"/>
          <w:szCs w:val="17"/>
          <w:i w:val="1"/>
          <w:iCs w:val="1"/>
          <w:color w:val="auto"/>
        </w:rPr>
        <w:t>Critical Accounting Policies and Estimates — Real Estate Inventory.</w:t>
      </w:r>
      <w:r>
        <w:rPr>
          <w:rFonts w:ascii="Times New Roman" w:cs="Times New Roman" w:eastAsia="Times New Roman" w:hAnsi="Times New Roman"/>
          <w:sz w:val="17"/>
          <w:szCs w:val="17"/>
          <w:color w:val="auto"/>
        </w:rPr>
        <w:t>”</w:t>
      </w:r>
    </w:p>
    <w:p>
      <w:pPr>
        <w:spacing w:after="0" w:line="87" w:lineRule="exact"/>
        <w:rPr>
          <w:rFonts w:ascii="Times New Roman" w:cs="Times New Roman" w:eastAsia="Times New Roman" w:hAnsi="Times New Roman"/>
          <w:sz w:val="22"/>
          <w:szCs w:val="22"/>
          <w:color w:val="auto"/>
          <w:vertAlign w:val="superscript"/>
        </w:rPr>
      </w:pPr>
    </w:p>
    <w:p>
      <w:pPr>
        <w:ind w:left="320" w:right="420" w:hanging="317"/>
        <w:spacing w:after="0" w:line="229"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Inventory valuation adjustment — Current Period is the inventory valuation adjustments recorded during the period presented associated with homes that remain in inventory at period end.</w:t>
      </w:r>
    </w:p>
    <w:p>
      <w:pPr>
        <w:spacing w:after="0" w:line="87" w:lineRule="exact"/>
        <w:rPr>
          <w:rFonts w:ascii="Times New Roman" w:cs="Times New Roman" w:eastAsia="Times New Roman" w:hAnsi="Times New Roman"/>
          <w:sz w:val="22"/>
          <w:szCs w:val="22"/>
          <w:color w:val="auto"/>
          <w:vertAlign w:val="superscript"/>
        </w:rPr>
      </w:pPr>
    </w:p>
    <w:p>
      <w:pPr>
        <w:ind w:left="320" w:right="120" w:hanging="317"/>
        <w:spacing w:after="0" w:line="229"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Inventory valuation adjustment — Prior Periods is the inventory valuation adjustments recorded in prior periods associated with homes that sold in the period presented.</w:t>
      </w:r>
    </w:p>
    <w:p>
      <w:pPr>
        <w:spacing w:after="0" w:line="87" w:lineRule="exact"/>
        <w:rPr>
          <w:rFonts w:ascii="Times New Roman" w:cs="Times New Roman" w:eastAsia="Times New Roman" w:hAnsi="Times New Roman"/>
          <w:sz w:val="22"/>
          <w:szCs w:val="22"/>
          <w:color w:val="auto"/>
          <w:vertAlign w:val="superscript"/>
        </w:rPr>
      </w:pPr>
    </w:p>
    <w:p>
      <w:pPr>
        <w:ind w:left="320" w:right="260" w:hanging="317"/>
        <w:spacing w:after="0" w:line="229"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selling costs incurred related to homes sold in the relevant period. This primarily includes broker commissions, external title and escrow-related fees and transfer taxes.</w:t>
      </w:r>
    </w:p>
    <w:p>
      <w:pPr>
        <w:spacing w:after="0" w:line="87" w:lineRule="exact"/>
        <w:rPr>
          <w:rFonts w:ascii="Times New Roman" w:cs="Times New Roman" w:eastAsia="Times New Roman" w:hAnsi="Times New Roman"/>
          <w:sz w:val="22"/>
          <w:szCs w:val="22"/>
          <w:color w:val="auto"/>
          <w:vertAlign w:val="superscript"/>
        </w:rPr>
      </w:pPr>
    </w:p>
    <w:p>
      <w:pPr>
        <w:ind w:left="320" w:right="60" w:hanging="317"/>
        <w:spacing w:after="0" w:line="229"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Holding costs include mainly property taxes, insurance, utilities, homeowners association dues, cleaning and maintenance costs. Holding costs are included in Sales, marketing, and operations on the Condensed Consolidated Statements of Operations.</w:t>
      </w:r>
    </w:p>
    <w:p>
      <w:pPr>
        <w:sectPr>
          <w:pgSz w:w="11900" w:h="16838" w:orient="portrait"/>
          <w:cols w:equalWidth="0" w:num="1">
            <w:col w:w="11240"/>
          </w:cols>
          <w:pgMar w:left="320" w:top="136" w:right="33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holding costs incurred in the period presented on homes sold in the period presented.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holding costs incurred in prior periods on homes sold in the period presented.</w:t>
      </w:r>
    </w:p>
    <w:p>
      <w:pPr>
        <w:spacing w:after="0" w:line="110" w:lineRule="exact"/>
        <w:rPr>
          <w:sz w:val="20"/>
          <w:szCs w:val="20"/>
          <w:color w:val="auto"/>
        </w:rPr>
      </w:pPr>
    </w:p>
    <w:p>
      <w:pPr>
        <w:sectPr>
          <w:pgSz w:w="11900" w:h="16838" w:orient="portrait"/>
          <w:cols w:equalWidth="0" w:num="2">
            <w:col w:w="140" w:space="160"/>
            <w:col w:w="10940"/>
          </w:cols>
          <w:pgMar w:left="320" w:top="136" w:right="339" w:bottom="1440" w:gutter="0" w:footer="0" w:header="0"/>
          <w:type w:val="continuous"/>
        </w:sectPr>
      </w:pPr>
    </w:p>
    <w:p>
      <w:pPr>
        <w:ind w:left="320" w:right="580" w:hanging="317"/>
        <w:spacing w:after="0" w:line="231"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This does not include interest on mezzanine term debt facilities or other indebtedness. See “— </w:t>
      </w:r>
      <w:r>
        <w:rPr>
          <w:rFonts w:ascii="Times New Roman" w:cs="Times New Roman" w:eastAsia="Times New Roman" w:hAnsi="Times New Roman"/>
          <w:sz w:val="17"/>
          <w:szCs w:val="17"/>
          <w:i w:val="1"/>
          <w:iCs w:val="1"/>
          <w:color w:val="auto"/>
        </w:rPr>
        <w:t>Liquidity and Capital Resources — Debt and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w:t>
      </w:r>
      <w:r>
        <w:rPr>
          <w:rFonts w:ascii="Times New Roman" w:cs="Times New Roman" w:eastAsia="Times New Roman" w:hAnsi="Times New Roman"/>
          <w:sz w:val="17"/>
          <w:szCs w:val="17"/>
          <w:color w:val="auto"/>
        </w:rPr>
        <w:t>.”</w:t>
      </w:r>
    </w:p>
    <w:p>
      <w:pPr>
        <w:spacing w:after="0" w:line="58"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interest expense under our asset-backed senior debt facilities incurred during the period presented on homes sold in the period presented.</w:t>
      </w:r>
    </w:p>
    <w:p>
      <w:pPr>
        <w:spacing w:after="0" w:line="66" w:lineRule="exact"/>
        <w:rPr>
          <w:rFonts w:ascii="Times New Roman" w:cs="Times New Roman" w:eastAsia="Times New Roman" w:hAnsi="Times New Roman"/>
          <w:sz w:val="22"/>
          <w:szCs w:val="22"/>
          <w:color w:val="auto"/>
          <w:vertAlign w:val="superscript"/>
        </w:rPr>
      </w:pPr>
    </w:p>
    <w:p>
      <w:pPr>
        <w:ind w:left="300" w:hanging="297"/>
        <w:spacing w:after="0" w:line="230" w:lineRule="auto"/>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interest expense under our asset-backed senior debt facilities incurred during prior periods on homes sold in the period presented.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Loss and Adjusted EBITDA</w:t>
      </w:r>
    </w:p>
    <w:p>
      <w:pPr>
        <w:spacing w:after="0" w:line="223" w:lineRule="exact"/>
        <w:rPr>
          <w:sz w:val="20"/>
          <w:szCs w:val="20"/>
          <w:color w:val="auto"/>
        </w:rPr>
      </w:pPr>
    </w:p>
    <w:p>
      <w:pPr>
        <w:ind w:firstLine="387"/>
        <w:spacing w:after="0" w:line="264" w:lineRule="auto"/>
        <w:rPr>
          <w:sz w:val="20"/>
          <w:szCs w:val="20"/>
          <w:color w:val="auto"/>
        </w:rPr>
      </w:pPr>
      <w:r>
        <w:rPr>
          <w:rFonts w:ascii="Times New Roman" w:cs="Times New Roman" w:eastAsia="Times New Roman" w:hAnsi="Times New Roman"/>
          <w:sz w:val="17"/>
          <w:szCs w:val="17"/>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71" w:lineRule="exact"/>
        <w:rPr>
          <w:sz w:val="20"/>
          <w:szCs w:val="20"/>
          <w:color w:val="auto"/>
        </w:rPr>
      </w:pPr>
    </w:p>
    <w:p>
      <w:pPr>
        <w:ind w:right="20" w:firstLine="387"/>
        <w:spacing w:after="0" w:line="260" w:lineRule="auto"/>
        <w:rPr>
          <w:sz w:val="20"/>
          <w:szCs w:val="20"/>
          <w:color w:val="auto"/>
        </w:rPr>
      </w:pPr>
      <w:r>
        <w:rPr>
          <w:rFonts w:ascii="Times New Roman" w:cs="Times New Roman" w:eastAsia="Times New Roman" w:hAnsi="Times New Roman"/>
          <w:sz w:val="17"/>
          <w:szCs w:val="17"/>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Net Loss</w:t>
      </w:r>
    </w:p>
    <w:p>
      <w:pPr>
        <w:spacing w:after="0" w:line="221" w:lineRule="exact"/>
        <w:rPr>
          <w:sz w:val="20"/>
          <w:szCs w:val="20"/>
          <w:color w:val="auto"/>
        </w:rPr>
      </w:pPr>
    </w:p>
    <w:p>
      <w:pPr>
        <w:ind w:right="240" w:firstLine="387"/>
        <w:spacing w:after="0" w:line="260" w:lineRule="auto"/>
        <w:rPr>
          <w:sz w:val="20"/>
          <w:szCs w:val="20"/>
          <w:color w:val="auto"/>
        </w:rPr>
      </w:pPr>
      <w:r>
        <w:rPr>
          <w:rFonts w:ascii="Times New Roman" w:cs="Times New Roman" w:eastAsia="Times New Roman" w:hAnsi="Times New Roman"/>
          <w:sz w:val="17"/>
          <w:szCs w:val="17"/>
          <w:color w:val="auto"/>
        </w:rPr>
        <w:t>We calculate Adjusted Net Loss as GAAP net loss adjusted to exclude non-cash expenses of stock-based compensation, equity securities fair value adjustment, warrant fair value adjustment, and intangibles amortization expense. It also excludes non-recurring gain on lease termination, payroll tax on initial RSU release, and legal contingency accrual and related expenses.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EBITDA</w:t>
      </w:r>
    </w:p>
    <w:p>
      <w:pPr>
        <w:spacing w:after="0" w:line="221" w:lineRule="exact"/>
        <w:rPr>
          <w:sz w:val="20"/>
          <w:szCs w:val="20"/>
          <w:color w:val="auto"/>
        </w:rPr>
      </w:pPr>
    </w:p>
    <w:p>
      <w:pPr>
        <w:jc w:val="both"/>
        <w:ind w:right="220" w:firstLine="387"/>
        <w:spacing w:after="0" w:line="270" w:lineRule="auto"/>
        <w:rPr>
          <w:sz w:val="20"/>
          <w:szCs w:val="20"/>
          <w:color w:val="auto"/>
        </w:rPr>
      </w:pPr>
      <w:r>
        <w:rPr>
          <w:rFonts w:ascii="Times New Roman" w:cs="Times New Roman" w:eastAsia="Times New Roman" w:hAnsi="Times New Roman"/>
          <w:sz w:val="17"/>
          <w:szCs w:val="17"/>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presents a reconciliation of our Adjusted Net Loss and Adjusted EBITDA to our net loss, which is the most directly comparable GAAP measure,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5"/>
        </w:trPr>
        <w:tc>
          <w:tcPr>
            <w:tcW w:w="50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(GAAP)</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(954)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(471)</w:t>
            </w: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Equity securities fair value adjustment</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fair value adjustment</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Intangibles amortization expense</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22"/>
                <w:szCs w:val="22"/>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Inventory valuation adjustment – Current Period</w:t>
            </w:r>
            <w:r>
              <w:rPr>
                <w:rFonts w:ascii="Times New Roman" w:cs="Times New Roman" w:eastAsia="Times New Roman" w:hAnsi="Times New Roman"/>
                <w:sz w:val="22"/>
                <w:szCs w:val="22"/>
                <w:color w:val="auto"/>
                <w:vertAlign w:val="superscript"/>
              </w:rPr>
              <w:t>(3)(4)</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620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 valuation adjustment — Prior Periods</w:t>
            </w:r>
            <w:r>
              <w:rPr>
                <w:rFonts w:ascii="Times New Roman" w:cs="Times New Roman" w:eastAsia="Times New Roman" w:hAnsi="Times New Roman"/>
                <w:sz w:val="22"/>
                <w:szCs w:val="22"/>
                <w:color w:val="auto"/>
                <w:vertAlign w:val="superscript"/>
              </w:rPr>
              <w:t>(3)(5)</w:t>
            </w: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lease termination</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2"/>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Payroll tax on initial RSU release</w:t>
            </w:r>
          </w:p>
        </w:tc>
        <w:tc>
          <w:tcPr>
            <w:tcW w:w="3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contingency accrual and related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(6)</w:t>
            </w:r>
          </w:p>
        </w:tc>
        <w:tc>
          <w:tcPr>
            <w:tcW w:w="36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2"/>
                <w:szCs w:val="22"/>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1"/>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w:t>
            </w: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(36)</w:t>
            </w: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excluding amortization of</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intangibles and right of use assets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financing</w:t>
            </w:r>
            <w:r>
              <w:rPr>
                <w:rFonts w:ascii="Times New Roman" w:cs="Times New Roman" w:eastAsia="Times New Roman" w:hAnsi="Times New Roman"/>
                <w:sz w:val="22"/>
                <w:szCs w:val="22"/>
                <w:color w:val="auto"/>
                <w:vertAlign w:val="superscript"/>
              </w:rPr>
              <w:t>(7)</w:t>
            </w:r>
          </w:p>
        </w:tc>
        <w:tc>
          <w:tcPr>
            <w:tcW w:w="360" w:type="dxa"/>
            <w:vAlign w:val="bottom"/>
          </w:tcPr>
          <w:p>
            <w:pPr>
              <w:spacing w:after="0"/>
              <w:rPr>
                <w:sz w:val="22"/>
                <w:szCs w:val="22"/>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interest expense</w:t>
            </w:r>
            <w:r>
              <w:rPr>
                <w:rFonts w:ascii="Times New Roman" w:cs="Times New Roman" w:eastAsia="Times New Roman" w:hAnsi="Times New Roman"/>
                <w:sz w:val="22"/>
                <w:szCs w:val="22"/>
                <w:color w:val="auto"/>
                <w:vertAlign w:val="superscript"/>
              </w:rPr>
              <w:t>(8)</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r>
              <w:rPr>
                <w:rFonts w:ascii="Times New Roman" w:cs="Times New Roman" w:eastAsia="Times New Roman" w:hAnsi="Times New Roman"/>
                <w:sz w:val="22"/>
                <w:szCs w:val="22"/>
                <w:color w:val="auto"/>
                <w:vertAlign w:val="superscript"/>
              </w:rPr>
              <w:t>(9)</w:t>
            </w: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8"/>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(211)</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35</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183</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58</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Adjusted EBITDA Margin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5"/>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74"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gains and losses on certain financial instruments, which are marked to fair value at the end of each period.</w:t>
      </w:r>
    </w:p>
    <w:p>
      <w:pPr>
        <w:spacing w:after="0" w:line="86" w:lineRule="exact"/>
        <w:rPr>
          <w:rFonts w:ascii="Times New Roman" w:cs="Times New Roman" w:eastAsia="Times New Roman" w:hAnsi="Times New Roman"/>
          <w:sz w:val="22"/>
          <w:szCs w:val="22"/>
          <w:color w:val="auto"/>
          <w:vertAlign w:val="superscript"/>
        </w:rPr>
      </w:pPr>
    </w:p>
    <w:p>
      <w:pPr>
        <w:ind w:left="320" w:right="80" w:hanging="317"/>
        <w:spacing w:after="0" w:line="229"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amortization of acquisition-related intangible assets. The acquired intangible assets have useful lives ranging from 1 to 5 years and amortization is expected until the intangible assets are fully amortized.</w:t>
      </w:r>
    </w:p>
    <w:p>
      <w:pPr>
        <w:spacing w:after="0" w:line="57"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Inventory valuation adjustment includes adjustments to record real estate inventory at the lower of its carrying amount or its net realizable value.</w:t>
      </w:r>
    </w:p>
    <w:p>
      <w:pPr>
        <w:spacing w:after="0" w:line="86" w:lineRule="exact"/>
        <w:rPr>
          <w:rFonts w:ascii="Times New Roman" w:cs="Times New Roman" w:eastAsia="Times New Roman" w:hAnsi="Times New Roman"/>
          <w:sz w:val="22"/>
          <w:szCs w:val="22"/>
          <w:color w:val="auto"/>
          <w:vertAlign w:val="superscript"/>
        </w:rPr>
      </w:pPr>
    </w:p>
    <w:p>
      <w:pPr>
        <w:ind w:left="320" w:right="420" w:hanging="317"/>
        <w:spacing w:after="0" w:line="229"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Inventory valuation adjustment — Current Period is the inventory valuation adjustments recorded during the period presented associated with homes that remain in inventory at period end.</w:t>
      </w:r>
    </w:p>
    <w:p>
      <w:pPr>
        <w:spacing w:after="0" w:line="87" w:lineRule="exact"/>
        <w:rPr>
          <w:rFonts w:ascii="Times New Roman" w:cs="Times New Roman" w:eastAsia="Times New Roman" w:hAnsi="Times New Roman"/>
          <w:sz w:val="22"/>
          <w:szCs w:val="22"/>
          <w:color w:val="auto"/>
          <w:vertAlign w:val="superscript"/>
        </w:rPr>
      </w:pPr>
    </w:p>
    <w:p>
      <w:pPr>
        <w:ind w:left="320" w:right="120" w:hanging="317"/>
        <w:spacing w:after="0" w:line="229"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Inventory valuation adjustment — Prior Periods is the inventory valuation adjustments recorded in prior periods associated with homes that sold in the period presented.</w:t>
      </w:r>
    </w:p>
    <w:p>
      <w:pPr>
        <w:spacing w:after="0" w:line="87" w:lineRule="exact"/>
        <w:rPr>
          <w:rFonts w:ascii="Times New Roman" w:cs="Times New Roman" w:eastAsia="Times New Roman" w:hAnsi="Times New Roman"/>
          <w:sz w:val="22"/>
          <w:szCs w:val="22"/>
          <w:color w:val="auto"/>
          <w:vertAlign w:val="superscript"/>
        </w:rPr>
      </w:pPr>
    </w:p>
    <w:p>
      <w:pPr>
        <w:ind w:left="320" w:right="240" w:hanging="317"/>
        <w:spacing w:after="0" w:line="229"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primarily gain or loss on interest rate lock commitments, gain or loss on the sale of available for sale securities, sublease income, and income from equity method investments.</w:t>
      </w:r>
    </w:p>
    <w:p>
      <w:pPr>
        <w:spacing w:after="0" w:line="57"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 expense on our non-recourse asset-backed debt facilities.</w:t>
      </w:r>
    </w:p>
    <w:p>
      <w:pPr>
        <w:spacing w:after="0" w:line="86" w:lineRule="exact"/>
        <w:rPr>
          <w:rFonts w:ascii="Times New Roman" w:cs="Times New Roman" w:eastAsia="Times New Roman" w:hAnsi="Times New Roman"/>
          <w:sz w:val="22"/>
          <w:szCs w:val="22"/>
          <w:color w:val="auto"/>
          <w:vertAlign w:val="superscript"/>
        </w:rPr>
      </w:pPr>
    </w:p>
    <w:p>
      <w:pPr>
        <w:ind w:left="320" w:right="360" w:hanging="317"/>
        <w:spacing w:after="0" w:line="229"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spacing w:after="0" w:line="57"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mainly of interest earned on cash, cash equivalents and marketable securities.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ind w:right="80" w:firstLine="387"/>
        <w:spacing w:after="0" w:line="270" w:lineRule="auto"/>
        <w:rPr>
          <w:sz w:val="20"/>
          <w:szCs w:val="20"/>
          <w:color w:val="auto"/>
        </w:rPr>
      </w:pPr>
      <w:r>
        <w:rPr>
          <w:rFonts w:ascii="Times New Roman" w:cs="Times New Roman" w:eastAsia="Times New Roman" w:hAnsi="Times New Roman"/>
          <w:sz w:val="17"/>
          <w:szCs w:val="17"/>
          <w:color w:val="auto"/>
        </w:rPr>
        <w:t>We generate the majority of our revenue from the sale of homes that we previously acquired from homeowners. In addition, we generate revenue from additional services we provide to both home sellers and buyers, which consists primarily of title insurance and escrow services, Buy with Opendoor and mortgage financing services.</w:t>
      </w:r>
    </w:p>
    <w:p>
      <w:pPr>
        <w:spacing w:after="0" w:line="165" w:lineRule="exact"/>
        <w:rPr>
          <w:sz w:val="20"/>
          <w:szCs w:val="20"/>
          <w:color w:val="auto"/>
        </w:rPr>
      </w:pPr>
    </w:p>
    <w:p>
      <w:pPr>
        <w:ind w:right="40" w:firstLine="387"/>
        <w:spacing w:after="0" w:line="270" w:lineRule="auto"/>
        <w:rPr>
          <w:sz w:val="20"/>
          <w:szCs w:val="20"/>
          <w:color w:val="auto"/>
        </w:rPr>
      </w:pPr>
      <w:r>
        <w:rPr>
          <w:rFonts w:ascii="Times New Roman" w:cs="Times New Roman" w:eastAsia="Times New Roman" w:hAnsi="Times New Roman"/>
          <w:sz w:val="17"/>
          <w:szCs w:val="17"/>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3" w:lineRule="exact"/>
        <w:rPr>
          <w:sz w:val="20"/>
          <w:szCs w:val="20"/>
          <w:color w:val="auto"/>
        </w:rPr>
      </w:pPr>
    </w:p>
    <w:p>
      <w:pPr>
        <w:ind w:firstLine="387"/>
        <w:spacing w:after="0" w:line="260" w:lineRule="auto"/>
        <w:rPr>
          <w:sz w:val="20"/>
          <w:szCs w:val="20"/>
          <w:color w:val="auto"/>
        </w:rPr>
      </w:pPr>
      <w:r>
        <w:rPr>
          <w:rFonts w:ascii="Times New Roman" w:cs="Times New Roman" w:eastAsia="Times New Roman" w:hAnsi="Times New Roman"/>
          <w:sz w:val="17"/>
          <w:szCs w:val="17"/>
          <w:color w:val="auto"/>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or basis is not expected to be recovered, an inventory valuation adjustment is recorded to cost of revenue and the related assets are adjusted to their net realizable value. Additionally, for our revenue other than home sales revenue, cost of revenue consists of any costs incurred in delivering the service, including associated headcount expenses such as salaries, benefits and stock-based compensation.</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Marketing and Operations Expense</w:t>
      </w:r>
    </w:p>
    <w:p>
      <w:pPr>
        <w:spacing w:after="0" w:line="221" w:lineRule="exact"/>
        <w:rPr>
          <w:sz w:val="20"/>
          <w:szCs w:val="20"/>
          <w:color w:val="auto"/>
        </w:rPr>
      </w:pPr>
    </w:p>
    <w:p>
      <w:pPr>
        <w:ind w:right="60" w:firstLine="387"/>
        <w:spacing w:after="0" w:line="264" w:lineRule="auto"/>
        <w:rPr>
          <w:sz w:val="20"/>
          <w:szCs w:val="20"/>
          <w:color w:val="auto"/>
        </w:rPr>
      </w:pPr>
      <w:r>
        <w:rPr>
          <w:rFonts w:ascii="Times New Roman" w:cs="Times New Roman" w:eastAsia="Times New Roman" w:hAnsi="Times New Roman"/>
          <w:sz w:val="17"/>
          <w:szCs w:val="17"/>
          <w:color w:val="auto"/>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21" w:lineRule="exact"/>
        <w:rPr>
          <w:sz w:val="20"/>
          <w:szCs w:val="20"/>
          <w:color w:val="auto"/>
        </w:rPr>
      </w:pPr>
    </w:p>
    <w:p>
      <w:pPr>
        <w:ind w:right="180" w:firstLine="387"/>
        <w:spacing w:after="0" w:line="287" w:lineRule="auto"/>
        <w:rPr>
          <w:sz w:val="20"/>
          <w:szCs w:val="20"/>
          <w:color w:val="auto"/>
        </w:rPr>
      </w:pPr>
      <w:r>
        <w:rPr>
          <w:rFonts w:ascii="Times New Roman" w:cs="Times New Roman" w:eastAsia="Times New Roman" w:hAnsi="Times New Roman"/>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Development Expense</w:t>
      </w:r>
    </w:p>
    <w:p>
      <w:pPr>
        <w:spacing w:after="0" w:line="221"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Fair Value Adjustment</w:t>
      </w:r>
    </w:p>
    <w:p>
      <w:pPr>
        <w:spacing w:after="0" w:line="223" w:lineRule="exact"/>
        <w:rPr>
          <w:sz w:val="20"/>
          <w:szCs w:val="20"/>
          <w:color w:val="auto"/>
        </w:rPr>
      </w:pPr>
    </w:p>
    <w:p>
      <w:pPr>
        <w:ind w:right="20" w:firstLine="387"/>
        <w:spacing w:after="0" w:line="287" w:lineRule="auto"/>
        <w:rPr>
          <w:sz w:val="20"/>
          <w:szCs w:val="20"/>
          <w:color w:val="auto"/>
        </w:rPr>
      </w:pPr>
      <w:r>
        <w:rPr>
          <w:rFonts w:ascii="Times New Roman" w:cs="Times New Roman" w:eastAsia="Times New Roman" w:hAnsi="Times New Roman"/>
          <w:sz w:val="17"/>
          <w:szCs w:val="17"/>
          <w:color w:val="auto"/>
        </w:rPr>
        <w:t>Warrant fair value adjustment consists of unrealized gains and losses as a result of marking our Sponsor Warrants, assumed upon closing of the Business Combination, to fair value at the end of each reporting period. On July 9, 2021, the Company completed the redemption of all of its outstanding Sponsor Warrants.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3" w:lineRule="exact"/>
        <w:rPr>
          <w:sz w:val="20"/>
          <w:szCs w:val="20"/>
          <w:color w:val="auto"/>
        </w:rPr>
      </w:pPr>
    </w:p>
    <w:p>
      <w:pPr>
        <w:ind w:right="160" w:firstLine="387"/>
        <w:spacing w:after="0" w:line="287" w:lineRule="auto"/>
        <w:rPr>
          <w:sz w:val="20"/>
          <w:szCs w:val="20"/>
          <w:color w:val="auto"/>
        </w:rPr>
      </w:pPr>
      <w:r>
        <w:rPr>
          <w:rFonts w:ascii="Times New Roman" w:cs="Times New Roman" w:eastAsia="Times New Roman" w:hAnsi="Times New Roman"/>
          <w:sz w:val="17"/>
          <w:szCs w:val="17"/>
          <w:color w:val="auto"/>
        </w:rPr>
        <w:t>Interest expense consists primarily of interest paid or payable and the amortization of debt discounts and debt issuance costs. Interest expense varies period over period, primarily due to fluctuations in our inventory volumes and changes in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7"/>
          <w:szCs w:val="17"/>
          <w:color w:val="auto"/>
        </w:rPr>
        <w:t xml:space="preserve">Benchmark Rate, which impact the interest incurred on our senior revolving credit facilities (see “— </w:t>
      </w:r>
      <w:r>
        <w:rPr>
          <w:rFonts w:ascii="Times New Roman" w:cs="Times New Roman" w:eastAsia="Times New Roman" w:hAnsi="Times New Roman"/>
          <w:sz w:val="17"/>
          <w:szCs w:val="17"/>
          <w:i w:val="1"/>
          <w:iCs w:val="1"/>
          <w:color w:val="auto"/>
        </w:rPr>
        <w:t>Liquidity and Capital Resources — Debt and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80" w:firstLine="387"/>
        <w:spacing w:after="0" w:line="270" w:lineRule="auto"/>
        <w:rPr>
          <w:sz w:val="20"/>
          <w:szCs w:val="20"/>
          <w:color w:val="auto"/>
        </w:rPr>
      </w:pPr>
      <w:r>
        <w:rPr>
          <w:rFonts w:ascii="Times New Roman" w:cs="Times New Roman" w:eastAsia="Times New Roman" w:hAnsi="Times New Roman"/>
          <w:sz w:val="17"/>
          <w:szCs w:val="17"/>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(Loss) Income — Net</w:t>
      </w:r>
    </w:p>
    <w:p>
      <w:pPr>
        <w:spacing w:after="0" w:line="223" w:lineRule="exact"/>
        <w:rPr>
          <w:sz w:val="20"/>
          <w:szCs w:val="20"/>
          <w:color w:val="auto"/>
        </w:rPr>
      </w:pPr>
    </w:p>
    <w:p>
      <w:pPr>
        <w:ind w:right="460" w:firstLine="387"/>
        <w:spacing w:after="0" w:line="287" w:lineRule="auto"/>
        <w:rPr>
          <w:sz w:val="20"/>
          <w:szCs w:val="20"/>
          <w:color w:val="auto"/>
        </w:rPr>
      </w:pPr>
      <w:r>
        <w:rPr>
          <w:rFonts w:ascii="Times New Roman" w:cs="Times New Roman" w:eastAsia="Times New Roman" w:hAnsi="Times New Roman"/>
          <w:sz w:val="17"/>
          <w:szCs w:val="17"/>
          <w:color w:val="auto"/>
        </w:rPr>
        <w:t>Other (loss) income-net consists primarily of changes in fair value of, and dividend income from, our investment in equity securities as well as interest income from our investment in money market funds, time deposits, and debt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23" w:lineRule="exact"/>
        <w:rPr>
          <w:sz w:val="20"/>
          <w:szCs w:val="20"/>
          <w:color w:val="auto"/>
        </w:rPr>
      </w:pPr>
    </w:p>
    <w:p>
      <w:pPr>
        <w:ind w:firstLine="387"/>
        <w:spacing w:after="0" w:line="264" w:lineRule="auto"/>
        <w:rPr>
          <w:sz w:val="20"/>
          <w:szCs w:val="20"/>
          <w:color w:val="auto"/>
        </w:rPr>
      </w:pPr>
      <w:r>
        <w:rPr>
          <w:rFonts w:ascii="Times New Roman" w:cs="Times New Roman" w:eastAsia="Times New Roman" w:hAnsi="Times New Roman"/>
          <w:sz w:val="17"/>
          <w:szCs w:val="17"/>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71" w:lineRule="exact"/>
        <w:rPr>
          <w:sz w:val="20"/>
          <w:szCs w:val="20"/>
          <w:color w:val="auto"/>
        </w:rPr>
      </w:pPr>
    </w:p>
    <w:p>
      <w:pPr>
        <w:ind w:right="40" w:firstLine="387"/>
        <w:spacing w:after="0" w:line="270" w:lineRule="auto"/>
        <w:rPr>
          <w:sz w:val="20"/>
          <w:szCs w:val="20"/>
          <w:color w:val="auto"/>
        </w:rPr>
      </w:pPr>
      <w:r>
        <w:rPr>
          <w:rFonts w:ascii="Times New Roman" w:cs="Times New Roman" w:eastAsia="Times New Roman" w:hAnsi="Times New Roman"/>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5"/>
        </w:trPr>
        <w:tc>
          <w:tcPr>
            <w:tcW w:w="5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1,095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1,722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(loss)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(627)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107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114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(741)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fair value adjustment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(72)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(loss) income-net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(55)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(871)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(871)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3561080" cy="172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-703580</wp:posOffset>
            </wp:positionV>
            <wp:extent cx="3561080" cy="172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-1374775</wp:posOffset>
            </wp:positionV>
            <wp:extent cx="356108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108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3561080" cy="172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-2545080</wp:posOffset>
            </wp:positionV>
            <wp:extent cx="3561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5"/>
        </w:trPr>
        <w:tc>
          <w:tcPr>
            <w:tcW w:w="5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8,511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8,373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138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493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(180)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332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(194)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fair value adjustment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(12)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(202)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(loss) income-net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(74)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(482)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(483)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3561080" cy="172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-703580</wp:posOffset>
            </wp:positionV>
            <wp:extent cx="3561080" cy="172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-1374775</wp:posOffset>
            </wp:positionV>
            <wp:extent cx="356108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108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3561080" cy="1720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-2545080</wp:posOffset>
            </wp:positionV>
            <wp:extent cx="3561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1" w:lineRule="exact"/>
        <w:rPr>
          <w:sz w:val="20"/>
          <w:szCs w:val="20"/>
          <w:color w:val="auto"/>
        </w:rPr>
      </w:pPr>
    </w:p>
    <w:p>
      <w:pPr>
        <w:ind w:right="220" w:firstLine="387"/>
        <w:spacing w:after="0" w:line="264" w:lineRule="auto"/>
        <w:rPr>
          <w:sz w:val="20"/>
          <w:szCs w:val="20"/>
          <w:color w:val="auto"/>
        </w:rPr>
      </w:pPr>
      <w:r>
        <w:rPr>
          <w:rFonts w:ascii="Times New Roman" w:cs="Times New Roman" w:eastAsia="Times New Roman" w:hAnsi="Times New Roman"/>
          <w:sz w:val="17"/>
          <w:szCs w:val="17"/>
          <w:color w:val="auto"/>
        </w:rPr>
        <w:t>Revenue increased by $1.1 billion, or 48%, for the three months ended September 30, 2022 compared to the three months ended September 30, 2021. The increase in revenue was primarily attributable to higher sales volumes as well as higher revenue per home. We sold 8,520 homes during the three months ended September 30, 2022, compared to 5,988 homes during the three months ended September 30, 2021, representing an increase of 42%. Revenue per home sold increased 4% between periods.</w:t>
      </w:r>
    </w:p>
    <w:p>
      <w:pPr>
        <w:spacing w:after="0" w:line="171" w:lineRule="exact"/>
        <w:rPr>
          <w:sz w:val="20"/>
          <w:szCs w:val="20"/>
          <w:color w:val="auto"/>
        </w:rPr>
      </w:pPr>
    </w:p>
    <w:p>
      <w:pPr>
        <w:ind w:right="200" w:firstLine="387"/>
        <w:spacing w:after="0" w:line="264" w:lineRule="auto"/>
        <w:rPr>
          <w:sz w:val="20"/>
          <w:szCs w:val="20"/>
          <w:color w:val="auto"/>
        </w:rPr>
      </w:pPr>
      <w:r>
        <w:rPr>
          <w:rFonts w:ascii="Times New Roman" w:cs="Times New Roman" w:eastAsia="Times New Roman" w:hAnsi="Times New Roman"/>
          <w:sz w:val="17"/>
          <w:szCs w:val="17"/>
          <w:color w:val="auto"/>
        </w:rPr>
        <w:t>Revenue increased by $8.5 billion, or 203%, for the nine months ended September 30, 2022 compared to the nine months ended September 30, 2021. The increase in revenue was primarily attributable to higher sales volumes as well as higher revenue per home. We sold 31,671 homes during the nine months ended September 30, 2022, compared to 11,931 homes during the nine months ended September 30, 2021, representing an increase of 165%. Revenue per home sold increased 14% between periods due to price mix within markets and buybox expansion.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and Gross (Loss) Profit</w:t>
      </w:r>
    </w:p>
    <w:p>
      <w:pPr>
        <w:spacing w:after="0" w:line="221" w:lineRule="exact"/>
        <w:rPr>
          <w:sz w:val="20"/>
          <w:szCs w:val="20"/>
          <w:color w:val="auto"/>
        </w:rPr>
      </w:pPr>
    </w:p>
    <w:p>
      <w:pPr>
        <w:jc w:val="both"/>
        <w:ind w:right="40" w:firstLine="387"/>
        <w:spacing w:after="0" w:line="260" w:lineRule="auto"/>
        <w:rPr>
          <w:sz w:val="20"/>
          <w:szCs w:val="20"/>
          <w:color w:val="auto"/>
        </w:rPr>
      </w:pPr>
      <w:r>
        <w:rPr>
          <w:rFonts w:ascii="Times New Roman" w:cs="Times New Roman" w:eastAsia="Times New Roman" w:hAnsi="Times New Roman"/>
          <w:sz w:val="17"/>
          <w:szCs w:val="17"/>
          <w:color w:val="auto"/>
        </w:rPr>
        <w:t>Cost of revenue increased by $1.7 billion, or 83%, for the three months ended September 30, 2022 compared to the three months ended September 30, 2021. The increase in cost of revenue was primarily attributable to higher sales volumes and a 11% increase in cost of revenue per home, excluding inventory valuation adjustments, as a result of inventory mix, buybox expansion and home price appreciation at the time of inventory acquisition. In addition, we recorded</w:t>
      </w:r>
    </w:p>
    <w:p>
      <w:pPr>
        <w:ind w:right="280"/>
        <w:spacing w:after="0" w:line="259" w:lineRule="auto"/>
        <w:rPr>
          <w:sz w:val="20"/>
          <w:szCs w:val="20"/>
          <w:color w:val="auto"/>
        </w:rPr>
      </w:pPr>
      <w:r>
        <w:rPr>
          <w:rFonts w:ascii="Times New Roman" w:cs="Times New Roman" w:eastAsia="Times New Roman" w:hAnsi="Times New Roman"/>
          <w:sz w:val="17"/>
          <w:szCs w:val="17"/>
          <w:color w:val="auto"/>
        </w:rPr>
        <w:t>$573 million of inventory valuation adjustments during the three months ended September 30, 2022 to adjust the cost basis of homes remaining in inventory at September 30, 2022 to their net realizable value as compared to $31 million of inventory valuation adjustments during the three months ended September 30, 2021.</w:t>
      </w:r>
    </w:p>
    <w:p>
      <w:pPr>
        <w:spacing w:after="0" w:line="175" w:lineRule="exact"/>
        <w:rPr>
          <w:sz w:val="20"/>
          <w:szCs w:val="20"/>
          <w:color w:val="auto"/>
        </w:rPr>
      </w:pPr>
    </w:p>
    <w:p>
      <w:pPr>
        <w:jc w:val="both"/>
        <w:ind w:right="40" w:firstLine="387"/>
        <w:spacing w:after="0" w:line="260" w:lineRule="auto"/>
        <w:rPr>
          <w:sz w:val="20"/>
          <w:szCs w:val="20"/>
          <w:color w:val="auto"/>
        </w:rPr>
      </w:pPr>
      <w:r>
        <w:rPr>
          <w:rFonts w:ascii="Times New Roman" w:cs="Times New Roman" w:eastAsia="Times New Roman" w:hAnsi="Times New Roman"/>
          <w:sz w:val="17"/>
          <w:szCs w:val="17"/>
          <w:color w:val="auto"/>
        </w:rPr>
        <w:t>Cost of revenue increased by $8.4 billion, or 224%, for the nine months ended September 30, 2022 compared to the nine months ended September 30, 2021. The increase in cost of revenue was primarily attributable to higher sales volumes and a 17% increase in cost of revenue per home, excluding inventory valuation adjustments, as a result of inventory mix, buybox expansion and home price appreciation at the time of inventory acquisition. In addition, we recorded</w:t>
      </w:r>
    </w:p>
    <w:p>
      <w:pPr>
        <w:spacing w:after="0" w:line="266" w:lineRule="auto"/>
        <w:rPr>
          <w:sz w:val="20"/>
          <w:szCs w:val="20"/>
          <w:color w:val="auto"/>
        </w:rPr>
      </w:pPr>
      <w:r>
        <w:rPr>
          <w:rFonts w:ascii="Times New Roman" w:cs="Times New Roman" w:eastAsia="Times New Roman" w:hAnsi="Times New Roman"/>
          <w:sz w:val="17"/>
          <w:szCs w:val="17"/>
          <w:color w:val="auto"/>
        </w:rPr>
        <w:t>$620 million of inventory valuation adjustments during the nine months ended September 30, 2022 to adjust the cost basis of homes remaining in inventory at September 30, 2022 to their net realizable value as compared to $32 million of inventory valuation adjustments during the nine months ended September 30, 2021.</w:t>
      </w:r>
    </w:p>
    <w:p>
      <w:pPr>
        <w:spacing w:after="0" w:line="169" w:lineRule="exact"/>
        <w:rPr>
          <w:sz w:val="20"/>
          <w:szCs w:val="20"/>
          <w:color w:val="auto"/>
        </w:rPr>
      </w:pPr>
    </w:p>
    <w:p>
      <w:pPr>
        <w:ind w:right="260" w:firstLine="387"/>
        <w:spacing w:after="0" w:line="264" w:lineRule="auto"/>
        <w:rPr>
          <w:sz w:val="20"/>
          <w:szCs w:val="20"/>
          <w:color w:val="auto"/>
        </w:rPr>
      </w:pPr>
      <w:r>
        <w:rPr>
          <w:rFonts w:ascii="Times New Roman" w:cs="Times New Roman" w:eastAsia="Times New Roman" w:hAnsi="Times New Roman"/>
          <w:sz w:val="17"/>
          <w:szCs w:val="17"/>
          <w:color w:val="auto"/>
        </w:rPr>
        <w:t>Gross (loss) profit decreased from $202 million to $(425) million and gross margin decreased from 8.9% to (12.6)% for the three months ended September 30, 2021 and September 30, 2022, respectively. For the same periods, Adjusted Gross Margin decreased from 10.3% to 3.3%. The decrease in gross margin and Adjusted Gross Margin reflects our decision to prioritize risk management and resale clearance at the expense of resale margin performance. As a result of the faster downturn</w:t>
      </w:r>
    </w:p>
    <w:p>
      <w:pPr>
        <w:sectPr>
          <w:pgSz w:w="11900" w:h="16838" w:orient="portrait"/>
          <w:cols w:equalWidth="0" w:num="1">
            <w:col w:w="11200"/>
          </w:cols>
          <w:pgMar w:left="320" w:top="136" w:right="37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 xml:space="preserve">in the housing market than we had forecast, market conditions at the time of sale were weaker than we believed they would be at the time of acquisition pricing. Contribution Margin decreased from 7.5% to (0.7)%, due to the reasons noted above as well as increased direct selling and holding costs. See “— </w:t>
      </w:r>
      <w:r>
        <w:rPr>
          <w:rFonts w:ascii="Times New Roman" w:cs="Times New Roman" w:eastAsia="Times New Roman" w:hAnsi="Times New Roman"/>
          <w:sz w:val="17"/>
          <w:szCs w:val="17"/>
          <w:i w:val="1"/>
          <w:iCs w:val="1"/>
          <w:color w:val="auto"/>
        </w:rPr>
        <w:t>Non-GAAP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Measures</w:t>
      </w:r>
      <w:r>
        <w:rPr>
          <w:rFonts w:ascii="Times New Roman" w:cs="Times New Roman" w:eastAsia="Times New Roman" w:hAnsi="Times New Roman"/>
          <w:sz w:val="17"/>
          <w:szCs w:val="17"/>
          <w:color w:val="auto"/>
        </w:rPr>
        <w:t>.” Gross margin was also impacted by $573 million of inventory valuation adjustments recorded during the three months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to adjust homes remaining in inventory at September 30, 2022 to their net realizable value. We recorded inventory valuation adjustments of $31 million during the three months ended September 30, 2021. The inventory valuation adjustments recorded during the three months ended September 30, 2022 are equal to 17% of revenue recorded during the same time period and represent losses we expect to incur on homes that will be sold, and revenue that will be recorded, in future periods.</w:t>
      </w:r>
    </w:p>
    <w:p>
      <w:pPr>
        <w:spacing w:after="0" w:line="179" w:lineRule="exact"/>
        <w:rPr>
          <w:sz w:val="20"/>
          <w:szCs w:val="20"/>
          <w:color w:val="auto"/>
        </w:rPr>
      </w:pPr>
    </w:p>
    <w:p>
      <w:pPr>
        <w:ind w:firstLine="387"/>
        <w:spacing w:after="0" w:line="256" w:lineRule="auto"/>
        <w:rPr>
          <w:sz w:val="20"/>
          <w:szCs w:val="20"/>
          <w:color w:val="auto"/>
        </w:rPr>
      </w:pPr>
      <w:r>
        <w:rPr>
          <w:rFonts w:ascii="Times New Roman" w:cs="Times New Roman" w:eastAsia="Times New Roman" w:hAnsi="Times New Roman"/>
          <w:sz w:val="17"/>
          <w:szCs w:val="17"/>
          <w:color w:val="auto"/>
        </w:rPr>
        <w:t xml:space="preserve">Gross profit increased from $458 million to $596 million for the nine months ended September 30, 2021 and September 30, 2022, respectively, due to higher sales volumes. For the same periods, gross margin decreased from 10.9% to 4.7% and Adjusted Gross Margin decreased from 11.7% to 9.3%. The decrease in gross margin and Adjusted Gross Margin reflects our decision to prioritize risk management and resale clearance at the expense of resale margin performance. In addition, gross margin and Adjusted Gross Margin for the nine months ended September 30, 2021 benefited from a fresh book of inventory after the Company sold down its inventory to a low point of $152 million as of September 30, 2020 in response to the COVID-19 pandemic and more favorable macroeconomic conditions as compared to the nine months ended September 30, 2022. Contribution Margin decreased from 8.9% to 5.8% due to the reasons noted above as well as increased direct selling and holding costs. See “— </w:t>
      </w:r>
      <w:r>
        <w:rPr>
          <w:rFonts w:ascii="Times New Roman" w:cs="Times New Roman" w:eastAsia="Times New Roman" w:hAnsi="Times New Roman"/>
          <w:sz w:val="17"/>
          <w:szCs w:val="17"/>
          <w:i w:val="1"/>
          <w:iCs w:val="1"/>
          <w:color w:val="auto"/>
        </w:rPr>
        <w:t>Non-GAAP Financial Measures</w:t>
      </w:r>
      <w:r>
        <w:rPr>
          <w:rFonts w:ascii="Times New Roman" w:cs="Times New Roman" w:eastAsia="Times New Roman" w:hAnsi="Times New Roman"/>
          <w:sz w:val="17"/>
          <w:szCs w:val="17"/>
          <w:color w:val="auto"/>
        </w:rPr>
        <w:t>.” Gross margin was also impacted by $620 million of inventory valuation adjustments recorded during the nine months ended September 30, 2022 to adjust homes remaining in inventory at September 30, 2022 to their net realizable value. We recorded inventory valuation adjustments of $32 million during the nine months ended September 30, 2021. The inventory valuation adjustments recorded during the nine months ended September 30, 2022 are equal to 5% of revenue recorded during the same time period and represent losses we expect to incur on homes that will be sold, and revenue that will be recorded,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17" w:lineRule="exact"/>
        <w:rPr>
          <w:sz w:val="20"/>
          <w:szCs w:val="20"/>
          <w:color w:val="auto"/>
        </w:rPr>
      </w:pPr>
    </w:p>
    <w:p>
      <w:pPr>
        <w:ind w:right="20" w:firstLine="387"/>
        <w:spacing w:after="0" w:line="259" w:lineRule="auto"/>
        <w:rPr>
          <w:sz w:val="20"/>
          <w:szCs w:val="20"/>
          <w:color w:val="auto"/>
        </w:rPr>
      </w:pPr>
      <w:r>
        <w:rPr>
          <w:rFonts w:ascii="Times New Roman" w:cs="Times New Roman" w:eastAsia="Times New Roman" w:hAnsi="Times New Roman"/>
          <w:sz w:val="17"/>
          <w:szCs w:val="17"/>
          <w:i w:val="1"/>
          <w:iCs w:val="1"/>
          <w:color w:val="auto"/>
        </w:rPr>
        <w:t>Sales, Marketing and Operations</w:t>
      </w:r>
      <w:r>
        <w:rPr>
          <w:rFonts w:ascii="Times New Roman" w:cs="Times New Roman" w:eastAsia="Times New Roman" w:hAnsi="Times New Roman"/>
          <w:sz w:val="17"/>
          <w:szCs w:val="17"/>
          <w:color w:val="auto"/>
        </w:rPr>
        <w:t>. Sales, marketing and operations increased by $107 million, or 70%, for the three months ended September 30,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September 30, 2021. The increase was primarily attributable to a $48 million increase in resale transaction costs and broker commissions, consistent with the 42% increase in the number of homes sold and inclusive of temporary agent commission bonuses in order to drive sales. Property holding costs increased by $28 million, consistent with increased inventory levels and longer inventory holding periods compared to the three months ended September 30, 2021. Advertising expense increased $11 million, from $34 million for the three months ended September 30, 2021 to $45 million for the three months ended September 30, 2022 as we increased marketing to drive acquisition volumes in both existing and new markets. Headcount expenses, including salaries and benefits, increased $14 million consistent with the increase in headcount.</w:t>
      </w:r>
    </w:p>
    <w:p>
      <w:pPr>
        <w:spacing w:after="0" w:line="177" w:lineRule="exact"/>
        <w:rPr>
          <w:sz w:val="20"/>
          <w:szCs w:val="20"/>
          <w:color w:val="auto"/>
        </w:rPr>
      </w:pPr>
    </w:p>
    <w:p>
      <w:pPr>
        <w:ind w:right="80" w:firstLine="387"/>
        <w:spacing w:after="0" w:line="258" w:lineRule="auto"/>
        <w:rPr>
          <w:sz w:val="20"/>
          <w:szCs w:val="20"/>
          <w:color w:val="auto"/>
        </w:rPr>
      </w:pPr>
      <w:r>
        <w:rPr>
          <w:rFonts w:ascii="Times New Roman" w:cs="Times New Roman" w:eastAsia="Times New Roman" w:hAnsi="Times New Roman"/>
          <w:sz w:val="17"/>
          <w:szCs w:val="17"/>
          <w:color w:val="auto"/>
        </w:rPr>
        <w:t>Sales, marketing and operations increased by $493 million, or 155%, for the nine months ended September 30, 2022 compared to the nine months ended September 30, 2021. The increase was primarily attributable to a $240 million increase in resale transaction costs and broker commissions, consistent with the 165% increase in the number of homes sold and inclusive of temporary agent commission bonuses paid on homes that closed in August and September in order to drive sales. Property holding costs increased by $88 million, consistent with increased inventory levels and longer inventory holding periods compared to the nine months ended September 30, 2021 when we held a fresh book of inventory. Advertising expense increased $82 million, from $90 million for the nine months ended September 30, 2021 to $172 million for the nine months ended September 30, 2022 as we increased marketing to drive acquisition volumes in both existing and new markets. Headcount expenses, including salaries and benefits, increased $49 million consistent with the increase in headcount.</w:t>
      </w:r>
    </w:p>
    <w:p>
      <w:pPr>
        <w:spacing w:after="0" w:line="175" w:lineRule="exact"/>
        <w:rPr>
          <w:sz w:val="20"/>
          <w:szCs w:val="20"/>
          <w:color w:val="auto"/>
        </w:rPr>
      </w:pPr>
    </w:p>
    <w:p>
      <w:pPr>
        <w:ind w:right="300" w:firstLine="387"/>
        <w:spacing w:after="0" w:line="292"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decreased by $6 million, or 7%, for the three months ended September 30, 2022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September 30, 2021 primarily attributable to a reduction in stock-based compensation.</w:t>
      </w:r>
    </w:p>
    <w:p>
      <w:pPr>
        <w:spacing w:after="0" w:line="147"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General and administrative decreased by $180 million, or 36%, for the nine months ended September 30, 2022 compared to the nine months ended September 30, 2021. The decrease was primarily attributable to a $273 million reduction in stock-based compensation due to the expense recognition of certain performance awards during the nine months ended September 30, 2021 following the consummation of the Business Combination in December 2020 as well as the recognition of expense related to certain restricted stock units ("RSUs") upon the fulfillment of the liquidity event vesting condition satisfied by the February 2021 Offering. The reduction in stock-based compensation is partially offset by a $45 million legal contingency accrual</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recorded during the nine months ended September 30, 2022. Headcount expenses, including salaries and benefits, increased $20 million consistent with the increase in headcount. In addition, depreciation expense primarily related to an increase in home security systems and employee laptops increased by $8 million.</w:t>
      </w:r>
    </w:p>
    <w:p>
      <w:pPr>
        <w:spacing w:after="0" w:line="147" w:lineRule="exact"/>
        <w:rPr>
          <w:sz w:val="20"/>
          <w:szCs w:val="20"/>
          <w:color w:val="auto"/>
        </w:rPr>
      </w:pPr>
    </w:p>
    <w:p>
      <w:pPr>
        <w:ind w:right="100" w:firstLine="387"/>
        <w:spacing w:after="0" w:line="272" w:lineRule="auto"/>
        <w:rPr>
          <w:sz w:val="20"/>
          <w:szCs w:val="20"/>
          <w:color w:val="auto"/>
        </w:rPr>
      </w:pPr>
      <w:r>
        <w:rPr>
          <w:rFonts w:ascii="Times New Roman" w:cs="Times New Roman" w:eastAsia="Times New Roman" w:hAnsi="Times New Roman"/>
          <w:sz w:val="17"/>
          <w:szCs w:val="17"/>
          <w:i w:val="1"/>
          <w:iCs w:val="1"/>
          <w:color w:val="auto"/>
        </w:rPr>
        <w:t>Technology and Development</w:t>
      </w:r>
      <w:r>
        <w:rPr>
          <w:rFonts w:ascii="Times New Roman" w:cs="Times New Roman" w:eastAsia="Times New Roman" w:hAnsi="Times New Roman"/>
          <w:sz w:val="17"/>
          <w:szCs w:val="17"/>
          <w:color w:val="auto"/>
        </w:rPr>
        <w:t>. Technology and development increased by $13 million, or 48%, for the three months ended September 30, 2022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September 30, 2021. The increase was primarily attributable to a $8 million increase in headcount expenses, including salaries and benefits, and stock-based compensation consistent with the increase in headcount.</w:t>
      </w:r>
    </w:p>
    <w:p>
      <w:pPr>
        <w:spacing w:after="0" w:line="164" w:lineRule="exact"/>
        <w:rPr>
          <w:sz w:val="20"/>
          <w:szCs w:val="20"/>
          <w:color w:val="auto"/>
        </w:rPr>
      </w:pPr>
    </w:p>
    <w:p>
      <w:pPr>
        <w:ind w:right="180" w:firstLine="387"/>
        <w:spacing w:after="0" w:line="270" w:lineRule="auto"/>
        <w:rPr>
          <w:sz w:val="20"/>
          <w:szCs w:val="20"/>
          <w:color w:val="auto"/>
        </w:rPr>
      </w:pPr>
      <w:r>
        <w:rPr>
          <w:rFonts w:ascii="Times New Roman" w:cs="Times New Roman" w:eastAsia="Times New Roman" w:hAnsi="Times New Roman"/>
          <w:sz w:val="17"/>
          <w:szCs w:val="17"/>
          <w:color w:val="auto"/>
        </w:rPr>
        <w:t>Technology and development increased by $19 million, or 19%, for the nine months ended September 30, 2022 compared to the nine months ended September 30, 2021. The increase was primarily attributable to a $22 million increase in headcount expenses, including salaries and benefits, consistent with the increase in headcount.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Fair Value Adjustment</w:t>
      </w:r>
    </w:p>
    <w:p>
      <w:pPr>
        <w:spacing w:after="0" w:line="221" w:lineRule="exact"/>
        <w:rPr>
          <w:sz w:val="20"/>
          <w:szCs w:val="20"/>
          <w:color w:val="auto"/>
        </w:rPr>
      </w:pPr>
    </w:p>
    <w:p>
      <w:pPr>
        <w:ind w:right="40" w:firstLine="387"/>
        <w:spacing w:after="0" w:line="264" w:lineRule="auto"/>
        <w:rPr>
          <w:sz w:val="20"/>
          <w:szCs w:val="20"/>
          <w:color w:val="auto"/>
        </w:rPr>
      </w:pPr>
      <w:r>
        <w:rPr>
          <w:rFonts w:ascii="Times New Roman" w:cs="Times New Roman" w:eastAsia="Times New Roman" w:hAnsi="Times New Roman"/>
          <w:sz w:val="17"/>
          <w:szCs w:val="17"/>
          <w:color w:val="auto"/>
        </w:rPr>
        <w:t>Warrant fair value adjustment decreased by $3 million, or 100%, and $12 million, or 100% for the three and nine months ended September 30, 2022 compared to the three and nine months ended September 30, 2021, respectively. The gains recorded for the three and nine months ended September 30, 2021 were attributable to a decrease in the fair value of the Sponsor Warrants, which were fully redeemed as of July 9, 2021. The Company did not record warrant fair value adjustments after September 30,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21"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Interest expense increased by $72 million, or 167%, for the three months ended September 30, 2022 compared to the three months ended September 30, 2021. The increase was primarily attributable to increases in the average outstanding balance of our asset-backed senior debt facilities, which is consistent with our increase in inventory over the same periods, and increases in the average outstanding balance of mezzanine term debt facilities. In addition, interest expense from our Asset-backed Senior Revolving Credit Facilities, which bear interest at a floating reference rate based on LIBOR or SOFR, has increased due to higher reference rates during the three months ended September 30, 2022 as compared to the three months ended September 30, 2021.</w:t>
      </w:r>
    </w:p>
    <w:p>
      <w:pPr>
        <w:spacing w:after="0" w:line="175" w:lineRule="exact"/>
        <w:rPr>
          <w:sz w:val="20"/>
          <w:szCs w:val="20"/>
          <w:color w:val="auto"/>
        </w:rPr>
      </w:pPr>
    </w:p>
    <w:p>
      <w:pPr>
        <w:ind w:firstLine="387"/>
        <w:spacing w:after="0" w:line="261" w:lineRule="auto"/>
        <w:rPr>
          <w:sz w:val="20"/>
          <w:szCs w:val="20"/>
          <w:color w:val="auto"/>
        </w:rPr>
      </w:pPr>
      <w:r>
        <w:rPr>
          <w:rFonts w:ascii="Times New Roman" w:cs="Times New Roman" w:eastAsia="Times New Roman" w:hAnsi="Times New Roman"/>
          <w:sz w:val="17"/>
          <w:szCs w:val="17"/>
          <w:color w:val="auto"/>
        </w:rPr>
        <w:t>Interest expense increased by $202 million, or 289%, for the nine months ended September 30, 2022 compared to the nine months ended September 30, 2021. The increase was primarily attributable to increases in the average outstanding balance of our asset-backed senior debt facilities, which is consistent with our increase in inventory over the same periods, and increases in the average outstanding balance of mezzanine term debt facilities. In addition, interest expense from our Asset-backed Senior Revolving Credit Facilities, which bear interest at a floating reference rate based on LIBOR or SOFR, has increased due to higher reference rates during the nine months ended September 30, 2022 compared to the nine months ended September 30,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(Loss) Income — Net</w:t>
      </w:r>
    </w:p>
    <w:p>
      <w:pPr>
        <w:spacing w:after="0" w:line="221" w:lineRule="exact"/>
        <w:rPr>
          <w:sz w:val="20"/>
          <w:szCs w:val="20"/>
          <w:color w:val="auto"/>
        </w:rPr>
      </w:pPr>
    </w:p>
    <w:p>
      <w:pPr>
        <w:ind w:right="120" w:firstLine="387"/>
        <w:spacing w:after="0" w:line="270" w:lineRule="auto"/>
        <w:rPr>
          <w:sz w:val="20"/>
          <w:szCs w:val="20"/>
          <w:color w:val="auto"/>
        </w:rPr>
      </w:pPr>
      <w:r>
        <w:rPr>
          <w:rFonts w:ascii="Times New Roman" w:cs="Times New Roman" w:eastAsia="Times New Roman" w:hAnsi="Times New Roman"/>
          <w:sz w:val="17"/>
          <w:szCs w:val="17"/>
          <w:color w:val="auto"/>
        </w:rPr>
        <w:t>Other (loss) income – net decreased to $(2) million from $53 million for the three months ended September 30, 2022 compared to the three months ended September 30, 2021. The decrease is primarily related to a $62 million unrealized fair value adjustment recorded to our investment in equity securities offset by a $7 million increase in interest income during the three months ended September 30, 2022.</w:t>
      </w:r>
    </w:p>
    <w:p>
      <w:pPr>
        <w:spacing w:after="0" w:line="165" w:lineRule="exact"/>
        <w:rPr>
          <w:sz w:val="20"/>
          <w:szCs w:val="20"/>
          <w:color w:val="auto"/>
        </w:rPr>
      </w:pPr>
    </w:p>
    <w:p>
      <w:pPr>
        <w:ind w:right="40" w:firstLine="387"/>
        <w:spacing w:after="0" w:line="270" w:lineRule="auto"/>
        <w:rPr>
          <w:sz w:val="20"/>
          <w:szCs w:val="20"/>
          <w:color w:val="auto"/>
        </w:rPr>
      </w:pPr>
      <w:r>
        <w:rPr>
          <w:rFonts w:ascii="Times New Roman" w:cs="Times New Roman" w:eastAsia="Times New Roman" w:hAnsi="Times New Roman"/>
          <w:sz w:val="17"/>
          <w:szCs w:val="17"/>
          <w:color w:val="auto"/>
        </w:rPr>
        <w:t>Other (loss) income – net decreased to $(20) million from $54 million for the nine months ended September 30, 2022 compared to the nine months ended September 30, 2021. The decrease is primarily related to an $87 million unrealized fair value adjustment recorded to our investment in equity securities offset by a $13 million increase in interest income during the nine months ended September 30,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221" w:lineRule="exact"/>
        <w:rPr>
          <w:sz w:val="20"/>
          <w:szCs w:val="20"/>
          <w:color w:val="auto"/>
        </w:rPr>
      </w:pPr>
    </w:p>
    <w:p>
      <w:pPr>
        <w:ind w:right="240" w:firstLine="387"/>
        <w:spacing w:after="0" w:line="287" w:lineRule="auto"/>
        <w:rPr>
          <w:sz w:val="20"/>
          <w:szCs w:val="20"/>
          <w:color w:val="auto"/>
        </w:rPr>
      </w:pPr>
      <w:r>
        <w:rPr>
          <w:rFonts w:ascii="Times New Roman" w:cs="Times New Roman" w:eastAsia="Times New Roman" w:hAnsi="Times New Roman"/>
          <w:sz w:val="17"/>
          <w:szCs w:val="17"/>
          <w:color w:val="auto"/>
        </w:rPr>
        <w:t>Income tax expense changed by a nominal amount for the three and nine months ended September 30, 2022 compared to the three and nine months ended September 30, 2021.</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20" w:lineRule="exact"/>
        <w:rPr>
          <w:sz w:val="20"/>
          <w:szCs w:val="20"/>
          <w:color w:val="auto"/>
        </w:rPr>
      </w:pPr>
    </w:p>
    <w:p>
      <w:pPr>
        <w:ind w:right="60" w:firstLine="387"/>
        <w:spacing w:after="0" w:line="239" w:lineRule="auto"/>
        <w:rPr>
          <w:sz w:val="20"/>
          <w:szCs w:val="20"/>
          <w:color w:val="auto"/>
        </w:rPr>
      </w:pPr>
      <w:r>
        <w:rPr>
          <w:rFonts w:ascii="Times New Roman" w:cs="Times New Roman" w:eastAsia="Times New Roman" w:hAnsi="Times New Roman"/>
          <w:sz w:val="17"/>
          <w:szCs w:val="17"/>
          <w:color w:val="auto"/>
        </w:rPr>
        <w:t>Our principal sources of liquidity have historically consisted of cash generated from our operations and from financing activities. As of September 30, 2022, we had cash and cash equivalents of $1.3 billion, restricted cash of $1.8 billion, and marketable securities of $178 million. The decline in our cash, cash equivalents and marketable securities balance of $710 million as compared to December 31, 2021 was a result, in part, of us borrowing less from our senior revolving credit facilities relative to our real estate inventory as part of an incremental deleveraging of our inventory. The increase in our restricted cash balance of $905 million as compared to December 31, 2021 was a result of the proactive reduction of our acquisition pace via higher spreads embedded in our offers and lower marketing investment, resulting in greater restricted cash available for the future acquisition of real estate inventory.</w:t>
      </w:r>
    </w:p>
    <w:p>
      <w:pPr>
        <w:spacing w:after="0" w:line="19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had total outstanding balances on our asset-backed debt and other secured borrowings of $7.1 billion and aggregate principal outstanding from Convertible Senior Notes of $978 million. In addition, we had undrawn borrowing capacity of $4.7 billion under our non-recourse asset-backed debt facilities (as described further below), of which $1.7 billion was committed.</w:t>
      </w:r>
    </w:p>
    <w:p>
      <w:pPr>
        <w:spacing w:after="0" w:line="165" w:lineRule="exact"/>
        <w:rPr>
          <w:sz w:val="20"/>
          <w:szCs w:val="20"/>
          <w:color w:val="auto"/>
        </w:rPr>
      </w:pPr>
    </w:p>
    <w:p>
      <w:pPr>
        <w:ind w:right="160" w:firstLine="387"/>
        <w:spacing w:after="0" w:line="264" w:lineRule="auto"/>
        <w:rPr>
          <w:sz w:val="20"/>
          <w:szCs w:val="20"/>
          <w:color w:val="auto"/>
        </w:rPr>
      </w:pPr>
      <w:r>
        <w:rPr>
          <w:rFonts w:ascii="Times New Roman" w:cs="Times New Roman" w:eastAsia="Times New Roman" w:hAnsi="Times New Roman"/>
          <w:sz w:val="17"/>
          <w:szCs w:val="17"/>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 February 11, 2021. We received aggregate net proceeds from the February 2021 Offering of approximately $859 million after deducting underwriting discounts and commissions and offering expenses payable by us.</w:t>
      </w:r>
    </w:p>
    <w:p>
      <w:pPr>
        <w:spacing w:after="0" w:line="171" w:lineRule="exact"/>
        <w:rPr>
          <w:sz w:val="20"/>
          <w:szCs w:val="20"/>
          <w:color w:val="auto"/>
        </w:rPr>
      </w:pPr>
    </w:p>
    <w:p>
      <w:pPr>
        <w:ind w:right="420" w:firstLine="387"/>
        <w:spacing w:after="0" w:line="270" w:lineRule="auto"/>
        <w:rPr>
          <w:sz w:val="20"/>
          <w:szCs w:val="20"/>
          <w:color w:val="auto"/>
        </w:rPr>
      </w:pPr>
      <w:r>
        <w:rPr>
          <w:rFonts w:ascii="Times New Roman" w:cs="Times New Roman" w:eastAsia="Times New Roman" w:hAnsi="Times New Roman"/>
          <w:sz w:val="17"/>
          <w:szCs w:val="17"/>
          <w:color w:val="auto"/>
        </w:rPr>
        <w:t>In August 2021, we issued 0.25% convertible senior notes due in 2026 (the “2026 Notes”) with an aggregate principal amount of $978 million, which resulted in net proceeds after underwriting fees and other transactions costs of $953 million. In connection with the issuance of the 2026 Notes, the Company purchased capped calls from certain financial institutions at a cost of $119 million.</w:t>
      </w:r>
    </w:p>
    <w:p>
      <w:pPr>
        <w:spacing w:after="0" w:line="165" w:lineRule="exact"/>
        <w:rPr>
          <w:sz w:val="20"/>
          <w:szCs w:val="20"/>
          <w:color w:val="auto"/>
        </w:rPr>
      </w:pPr>
    </w:p>
    <w:p>
      <w:pPr>
        <w:ind w:right="40" w:firstLine="387"/>
        <w:spacing w:after="0" w:line="261" w:lineRule="auto"/>
        <w:rPr>
          <w:sz w:val="20"/>
          <w:szCs w:val="20"/>
          <w:color w:val="auto"/>
        </w:rPr>
      </w:pPr>
      <w:r>
        <w:rPr>
          <w:rFonts w:ascii="Times New Roman" w:cs="Times New Roman" w:eastAsia="Times New Roman" w:hAnsi="Times New Roman"/>
          <w:sz w:val="17"/>
          <w:szCs w:val="17"/>
          <w:color w:val="auto"/>
        </w:rPr>
        <w:t>We have incurred losses from inception through December 31, 2021 and had net income for the first time during the three months ended March 31, 2022. We incurred a net loss during the three and nine months ended September 30, 2022 and expect to incur additional losses in the future. Our ability to service our debt, fund working capital, business operations and capital expenditures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75" w:lineRule="exact"/>
        <w:rPr>
          <w:sz w:val="20"/>
          <w:szCs w:val="20"/>
          <w:color w:val="auto"/>
        </w:rPr>
      </w:pPr>
    </w:p>
    <w:p>
      <w:pPr>
        <w:ind w:right="100" w:firstLine="387"/>
        <w:spacing w:after="0" w:line="270" w:lineRule="auto"/>
        <w:rPr>
          <w:sz w:val="20"/>
          <w:szCs w:val="20"/>
          <w:color w:val="auto"/>
        </w:rPr>
      </w:pPr>
      <w:r>
        <w:rPr>
          <w:rFonts w:ascii="Times New Roman" w:cs="Times New Roman" w:eastAsia="Times New Roman" w:hAnsi="Times New Roman"/>
          <w:sz w:val="17"/>
          <w:szCs w:val="17"/>
          <w:color w:val="auto"/>
        </w:rPr>
        <w:t>Our working capital requirements may increase should our inventory balance increase over the remainder of the year. We believe our cash, cash equivalents, and marketable securities together with cash we expect to generate from future operations and borrowings, will be sufficient to meet our working capital and capital expenditure requirements for a period of at least twelve months from the date of this Quarterly Report on 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and Financing Arrangements</w:t>
      </w:r>
    </w:p>
    <w:p>
      <w:pPr>
        <w:spacing w:after="0" w:line="221" w:lineRule="exact"/>
        <w:rPr>
          <w:sz w:val="20"/>
          <w:szCs w:val="20"/>
          <w:color w:val="auto"/>
        </w:rPr>
      </w:pPr>
    </w:p>
    <w:p>
      <w:pPr>
        <w:jc w:val="both"/>
        <w:ind w:right="160" w:firstLine="387"/>
        <w:spacing w:after="0" w:line="264" w:lineRule="auto"/>
        <w:rPr>
          <w:sz w:val="20"/>
          <w:szCs w:val="20"/>
          <w:color w:val="auto"/>
        </w:rPr>
      </w:pPr>
      <w:r>
        <w:rPr>
          <w:rFonts w:ascii="Times New Roman" w:cs="Times New Roman" w:eastAsia="Times New Roman" w:hAnsi="Times New Roman"/>
          <w:sz w:val="17"/>
          <w:szCs w:val="17"/>
          <w:color w:val="auto"/>
        </w:rPr>
        <w:t>Our financing activities include: short-term borrowings under our asset-backed senior revolving credit facilities and our mortgage repurchase financing;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71" w:lineRule="exact"/>
        <w:rPr>
          <w:sz w:val="20"/>
          <w:szCs w:val="20"/>
          <w:color w:val="auto"/>
        </w:rPr>
      </w:pPr>
    </w:p>
    <w:p>
      <w:pPr>
        <w:ind w:right="40" w:firstLine="387"/>
        <w:spacing w:after="0" w:line="261" w:lineRule="auto"/>
        <w:rPr>
          <w:sz w:val="20"/>
          <w:szCs w:val="20"/>
          <w:color w:val="auto"/>
        </w:rPr>
      </w:pPr>
      <w:r>
        <w:rPr>
          <w:rFonts w:ascii="Times New Roman" w:cs="Times New Roman" w:eastAsia="Times New Roman" w:hAnsi="Times New Roman"/>
          <w:sz w:val="17"/>
          <w:szCs w:val="17"/>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firstLine="387"/>
        <w:spacing w:after="0" w:line="264" w:lineRule="auto"/>
        <w:rPr>
          <w:sz w:val="20"/>
          <w:szCs w:val="20"/>
          <w:color w:val="auto"/>
        </w:rPr>
      </w:pPr>
      <w:r>
        <w:rPr>
          <w:rFonts w:ascii="Times New Roman" w:cs="Times New Roman" w:eastAsia="Times New Roman" w:hAnsi="Times New Roman"/>
          <w:sz w:val="17"/>
          <w:szCs w:val="17"/>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equity). As of September 30, 2022, the Company was in compliance with all financial covenants.</w:t>
      </w:r>
    </w:p>
    <w:p>
      <w:pPr>
        <w:spacing w:after="0" w:line="171" w:lineRule="exact"/>
        <w:rPr>
          <w:sz w:val="20"/>
          <w:szCs w:val="20"/>
          <w:color w:val="auto"/>
        </w:rPr>
      </w:pPr>
    </w:p>
    <w:p>
      <w:pPr>
        <w:ind w:firstLine="387"/>
        <w:spacing w:after="0" w:line="270" w:lineRule="auto"/>
        <w:rPr>
          <w:sz w:val="20"/>
          <w:szCs w:val="20"/>
          <w:color w:val="auto"/>
        </w:rPr>
      </w:pPr>
      <w:r>
        <w:rPr>
          <w:rFonts w:ascii="Times New Roman" w:cs="Times New Roman" w:eastAsia="Times New Roman" w:hAnsi="Times New Roman"/>
          <w:sz w:val="17"/>
          <w:szCs w:val="17"/>
          <w:color w:val="auto"/>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spacing w:after="0" w:line="165" w:lineRule="exact"/>
        <w:rPr>
          <w:sz w:val="20"/>
          <w:szCs w:val="20"/>
          <w:color w:val="auto"/>
        </w:rPr>
      </w:pPr>
    </w:p>
    <w:p>
      <w:pPr>
        <w:ind w:firstLine="387"/>
        <w:spacing w:after="0" w:line="264" w:lineRule="auto"/>
        <w:rPr>
          <w:sz w:val="20"/>
          <w:szCs w:val="20"/>
          <w:color w:val="auto"/>
        </w:rPr>
      </w:pPr>
      <w:r>
        <w:rPr>
          <w:rFonts w:ascii="Times New Roman" w:cs="Times New Roman" w:eastAsia="Times New Roman" w:hAnsi="Times New Roman"/>
          <w:sz w:val="17"/>
          <w:szCs w:val="17"/>
          <w:color w:val="auto"/>
        </w:rPr>
        <w:t>Our asset-backed senior debt facilities generally provide for advance rates of 70% to 90% against our cost basis in the underlying properties upon acquisition. Our mezzanine term facilities may finance 95% to 100% of our cost basis in the underlying properties upon acquisition depending on the performance of the properties financed under a given facility. The maximum initial advance rates vary by facility and generally decrease on a fixed timeline that varies by facility based on the length of time a given property has been financed and other facility-specific adjustments.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60" w:firstLine="387"/>
        <w:spacing w:after="0" w:line="287" w:lineRule="auto"/>
        <w:rPr>
          <w:sz w:val="20"/>
          <w:szCs w:val="20"/>
          <w:color w:val="auto"/>
        </w:rPr>
      </w:pPr>
      <w:r>
        <w:rPr>
          <w:rFonts w:ascii="Times New Roman" w:cs="Times New Roman" w:eastAsia="Times New Roman" w:hAnsi="Times New Roman"/>
          <w:sz w:val="17"/>
          <w:szCs w:val="17"/>
          <w:color w:val="auto"/>
        </w:rPr>
        <w:t>The following table summarizes certain details related to our non-recourse asset-backed debt and other secured borrowings as of September 30, 2022 (in millions, except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Borrowing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End of Revolving /</w:t>
            </w:r>
          </w:p>
        </w:tc>
        <w:tc>
          <w:tcPr>
            <w:tcW w:w="18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160" w:type="dxa"/>
            <w:vAlign w:val="bottom"/>
          </w:tcPr>
          <w:p>
            <w:pPr>
              <w:spacing w:after="0"/>
              <w:rPr>
                <w:sz w:val="3"/>
                <w:szCs w:val="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900" w:type="dxa"/>
            <w:vAlign w:val="bottom"/>
            <w:gridSpan w:val="2"/>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Withdrawal Period</w:t>
            </w:r>
          </w:p>
        </w:tc>
        <w:tc>
          <w:tcPr>
            <w:tcW w:w="186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5"/>
        </w:trPr>
        <w:tc>
          <w:tcPr>
            <w:tcW w:w="27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Asset-backed Senior Revolving Credit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Facilities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2018-2</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7,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7, 2024</w:t>
            </w: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Revolving Facility 2018-3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May 26,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26, 2024</w:t>
            </w: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2019-1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30, 2023</w:t>
            </w: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Revolving Facility 2019-2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July 8,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8, 2024</w:t>
            </w: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Facility 2019-3</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5,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5, 2025</w:t>
            </w: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Revolving Facility 2021-1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31,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31, 2022</w:t>
            </w:r>
          </w:p>
        </w:tc>
        <w:tc>
          <w:tcPr>
            <w:tcW w:w="0" w:type="dxa"/>
            <w:vAlign w:val="bottom"/>
          </w:tcPr>
          <w:p>
            <w:pPr>
              <w:spacing w:after="0"/>
              <w:rPr>
                <w:sz w:val="1"/>
                <w:szCs w:val="1"/>
                <w:color w:val="auto"/>
              </w:rPr>
            </w:pPr>
          </w:p>
        </w:tc>
      </w:tr>
      <w:tr>
        <w:trPr>
          <w:trHeight w:val="35"/>
        </w:trPr>
        <w:tc>
          <w:tcPr>
            <w:tcW w:w="2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 2025</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2021-S2</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10,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10, 2025</w:t>
            </w: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31, 2027</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2022-S1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March 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 2025</w:t>
            </w: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2022-S2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8"/>
              </w:rPr>
              <w:t>Issuance Costs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4"/>
              </w:rPr>
              <w:t>Carrying Value</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2020-M1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April 1, 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 2026</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6"/>
              </w:rPr>
              <w:t>Term Debt Facility</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2022-M1</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15,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15, 2026</w:t>
            </w:r>
          </w:p>
        </w:tc>
        <w:tc>
          <w:tcPr>
            <w:tcW w:w="0" w:type="dxa"/>
            <w:vAlign w:val="bottom"/>
          </w:tcPr>
          <w:p>
            <w:pPr>
              <w:spacing w:after="0"/>
              <w:rPr>
                <w:sz w:val="1"/>
                <w:szCs w:val="1"/>
                <w:color w:val="auto"/>
              </w:rPr>
            </w:pPr>
          </w:p>
        </w:tc>
      </w:tr>
      <w:tr>
        <w:trPr>
          <w:trHeight w:val="177"/>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8"/>
              </w:rPr>
              <w:t>Issuance Costs</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4"/>
              </w:rPr>
              <w:t>Carrying Value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80" w:type="dxa"/>
            <w:vAlign w:val="bottom"/>
            <w:tcBorders>
              <w:bottom w:val="single" w:sz="8" w:color="CCEEFF"/>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Recourse Debt - Other Secured Borrowings: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Mortgage Financing</w:t>
            </w:r>
          </w:p>
        </w:tc>
        <w:tc>
          <w:tcPr>
            <w:tcW w:w="1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Repo Facility 2019-R1</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May 25,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25, 2023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Recourse Debt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Asset-backed Senior Revolving Credit Facilities</w:t>
      </w:r>
    </w:p>
    <w:p>
      <w:pPr>
        <w:spacing w:after="0" w:line="221" w:lineRule="exact"/>
        <w:rPr>
          <w:sz w:val="20"/>
          <w:szCs w:val="20"/>
          <w:color w:val="auto"/>
        </w:rPr>
      </w:pPr>
    </w:p>
    <w:p>
      <w:pPr>
        <w:ind w:firstLine="387"/>
        <w:spacing w:after="0" w:line="264" w:lineRule="auto"/>
        <w:rPr>
          <w:sz w:val="20"/>
          <w:szCs w:val="20"/>
          <w:color w:val="auto"/>
        </w:rPr>
      </w:pPr>
      <w:r>
        <w:rPr>
          <w:rFonts w:ascii="Times New Roman" w:cs="Times New Roman" w:eastAsia="Times New Roman" w:hAnsi="Times New Roman"/>
          <w:sz w:val="17"/>
          <w:szCs w:val="17"/>
          <w:color w:val="auto"/>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September 30, 2022, we had committed borrowing capacity with respect to asset-backed senior revolving credit facilities of $4.0 billion.</w:t>
      </w:r>
    </w:p>
    <w:p>
      <w:pPr>
        <w:spacing w:after="0" w:line="171" w:lineRule="exact"/>
        <w:rPr>
          <w:sz w:val="20"/>
          <w:szCs w:val="20"/>
          <w:color w:val="auto"/>
        </w:rPr>
      </w:pPr>
    </w:p>
    <w:p>
      <w:pPr>
        <w:jc w:val="both"/>
        <w:ind w:right="520" w:firstLine="387"/>
        <w:spacing w:after="0" w:line="270" w:lineRule="auto"/>
        <w:rPr>
          <w:sz w:val="20"/>
          <w:szCs w:val="20"/>
          <w:color w:val="auto"/>
        </w:rPr>
      </w:pPr>
      <w:r>
        <w:rPr>
          <w:rFonts w:ascii="Times New Roman" w:cs="Times New Roman" w:eastAsia="Times New Roman" w:hAnsi="Times New Roman"/>
          <w:sz w:val="17"/>
          <w:szCs w:val="17"/>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Asset-backed Senior Term Debt Facilities</w:t>
      </w:r>
    </w:p>
    <w:p>
      <w:pPr>
        <w:spacing w:after="0" w:line="221" w:lineRule="exact"/>
        <w:rPr>
          <w:sz w:val="20"/>
          <w:szCs w:val="20"/>
          <w:color w:val="auto"/>
        </w:rPr>
      </w:pPr>
    </w:p>
    <w:p>
      <w:pPr>
        <w:ind w:right="40" w:firstLine="387"/>
        <w:spacing w:after="0" w:line="264" w:lineRule="auto"/>
        <w:rPr>
          <w:sz w:val="20"/>
          <w:szCs w:val="20"/>
          <w:color w:val="auto"/>
        </w:rPr>
      </w:pPr>
      <w:r>
        <w:rPr>
          <w:rFonts w:ascii="Times New Roman" w:cs="Times New Roman" w:eastAsia="Times New Roman" w:hAnsi="Times New Roman"/>
          <w:sz w:val="17"/>
          <w:szCs w:val="17"/>
          <w:color w:val="auto"/>
        </w:rPr>
        <w:t>We classify our senior term debt facilities as non-current liabilities in our condensed consolidated balance sheets. The carrying value of the non-current liabilities is reduced by issuance costs of $21 million. In some cases, the borrowing capacity amounts under the asset-backed senior term debt facilities as reflected in the table are not fully committed and any borrowings above the committed amounts are subject to the applicable lender’s discretion. As of September 30, 2022, we had committed borrowing capacity with respect to asset-backed senior term debt facilities of $2.1 billion.</w:t>
      </w:r>
    </w:p>
    <w:p>
      <w:pPr>
        <w:spacing w:after="0" w:line="171" w:lineRule="exact"/>
        <w:rPr>
          <w:sz w:val="20"/>
          <w:szCs w:val="20"/>
          <w:color w:val="auto"/>
        </w:rPr>
      </w:pPr>
    </w:p>
    <w:p>
      <w:pPr>
        <w:ind w:right="140" w:firstLine="387"/>
        <w:spacing w:after="0" w:line="270" w:lineRule="auto"/>
        <w:rPr>
          <w:sz w:val="20"/>
          <w:szCs w:val="20"/>
          <w:color w:val="auto"/>
        </w:rPr>
      </w:pPr>
      <w:r>
        <w:rPr>
          <w:rFonts w:ascii="Times New Roman" w:cs="Times New Roman" w:eastAsia="Times New Roman" w:hAnsi="Times New Roman"/>
          <w:sz w:val="17"/>
          <w:szCs w:val="17"/>
          <w:color w:val="auto"/>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Asset-backed Mezzanine Term Debt Facilities</w:t>
      </w:r>
    </w:p>
    <w:p>
      <w:pPr>
        <w:spacing w:after="0" w:line="221" w:lineRule="exact"/>
        <w:rPr>
          <w:sz w:val="20"/>
          <w:szCs w:val="20"/>
          <w:color w:val="auto"/>
        </w:rPr>
      </w:pPr>
    </w:p>
    <w:p>
      <w:pPr>
        <w:ind w:right="320" w:firstLine="387"/>
        <w:spacing w:after="0" w:line="264" w:lineRule="auto"/>
        <w:rPr>
          <w:sz w:val="20"/>
          <w:szCs w:val="20"/>
          <w:color w:val="auto"/>
        </w:rPr>
      </w:pPr>
      <w:r>
        <w:rPr>
          <w:rFonts w:ascii="Times New Roman" w:cs="Times New Roman" w:eastAsia="Times New Roman" w:hAnsi="Times New Roman"/>
          <w:sz w:val="17"/>
          <w:szCs w:val="17"/>
          <w:color w:val="auto"/>
        </w:rPr>
        <w:t>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September 30, 2022, we had committed borrowing capacity with respect to asset-backed mezzanine term debt facilities of $2.5 billion.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Mortgage Financing</w:t>
      </w:r>
    </w:p>
    <w:p>
      <w:pPr>
        <w:spacing w:after="0" w:line="221" w:lineRule="exact"/>
        <w:rPr>
          <w:sz w:val="20"/>
          <w:szCs w:val="20"/>
          <w:color w:val="auto"/>
        </w:rPr>
      </w:pPr>
    </w:p>
    <w:p>
      <w:pPr>
        <w:ind w:right="80" w:firstLine="387"/>
        <w:spacing w:after="0" w:line="264" w:lineRule="auto"/>
        <w:rPr>
          <w:sz w:val="20"/>
          <w:szCs w:val="20"/>
          <w:color w:val="auto"/>
        </w:rPr>
      </w:pPr>
      <w:r>
        <w:rPr>
          <w:rFonts w:ascii="Times New Roman" w:cs="Times New Roman" w:eastAsia="Times New Roman" w:hAnsi="Times New Roman"/>
          <w:sz w:val="17"/>
          <w:szCs w:val="17"/>
          <w:color w:val="auto"/>
        </w:rPr>
        <w:t>We have primarily used debt financing to fund our mortgage loan originations. In 2019 we entered into a master repurchase agreement (the "Repurchase Agreement") to finance substantially all of the mortgage loans that we originate. Once our mortgage business sold a loan in the secondary mortgage market, we used the sale proceeds to reduce the outstanding balance under the repurchase facility. As of September 30, 2022, no mortgage loans were financed under the repurchase facility due to a change in the manner in which the Company delivers mortgage services. The Repurchase Agreement was terminated in October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Senior Notes</w:t>
      </w:r>
    </w:p>
    <w:p>
      <w:pPr>
        <w:spacing w:after="0" w:line="221" w:lineRule="exact"/>
        <w:rPr>
          <w:sz w:val="20"/>
          <w:szCs w:val="20"/>
          <w:color w:val="auto"/>
        </w:rPr>
      </w:pPr>
    </w:p>
    <w:p>
      <w:pPr>
        <w:ind w:right="340" w:firstLine="387"/>
        <w:spacing w:after="0" w:line="287" w:lineRule="auto"/>
        <w:rPr>
          <w:sz w:val="20"/>
          <w:szCs w:val="20"/>
          <w:color w:val="auto"/>
        </w:rPr>
      </w:pPr>
      <w:r>
        <w:rPr>
          <w:rFonts w:ascii="Times New Roman" w:cs="Times New Roman" w:eastAsia="Times New Roman" w:hAnsi="Times New Roman"/>
          <w:sz w:val="17"/>
          <w:szCs w:val="17"/>
          <w:color w:val="auto"/>
        </w:rPr>
        <w:t>In August 2021, we issued the 2026 Notes with an aggregate principal amount of $978 million. The table below summarizes certain details related to our 2026 Notes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Aggregate Principal</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Unamortized Debt</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Issuance Costs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5"/>
        </w:trPr>
        <w:tc>
          <w:tcPr>
            <w:tcW w:w="6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5"/>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5"/>
        </w:trPr>
        <w:tc>
          <w:tcPr>
            <w:tcW w:w="6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76" w:lineRule="exact"/>
        <w:rPr>
          <w:sz w:val="20"/>
          <w:szCs w:val="20"/>
          <w:color w:val="auto"/>
        </w:rPr>
      </w:pPr>
    </w:p>
    <w:p>
      <w:pPr>
        <w:ind w:right="300" w:firstLine="387"/>
        <w:spacing w:after="0" w:line="292"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Part I – Item 1. Financial Statements – Notes to Condensed Consolidated Financial Statements – Note 6. Credit Facilities and Long-Term Debt</w:t>
      </w:r>
      <w:r>
        <w:rPr>
          <w:rFonts w:ascii="Times New Roman" w:cs="Times New Roman" w:eastAsia="Times New Roman" w:hAnsi="Times New Roman"/>
          <w:sz w:val="17"/>
          <w:szCs w:val="17"/>
          <w:color w:val="auto"/>
        </w:rPr>
        <w:t>” for additional information regarding our debt and financing arrangements.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720" w:type="dxa"/>
            <w:vAlign w:val="bottom"/>
            <w:gridSpan w:val="5"/>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7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5"/>
        </w:trPr>
        <w:tc>
          <w:tcPr>
            <w:tcW w:w="4760" w:type="dxa"/>
            <w:vAlign w:val="bottom"/>
            <w:tcBorders>
              <w:bottom w:val="single" w:sz="8" w:color="CCEEFF"/>
            </w:tcBorders>
          </w:tcPr>
          <w:p>
            <w:pPr>
              <w:spacing w:after="0"/>
              <w:rPr>
                <w:sz w:val="3"/>
                <w:szCs w:val="3"/>
                <w:color w:val="auto"/>
              </w:rPr>
            </w:pPr>
          </w:p>
        </w:tc>
        <w:tc>
          <w:tcPr>
            <w:tcW w:w="37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4620" w:type="dxa"/>
            <w:vAlign w:val="bottom"/>
            <w:tcBorders>
              <w:bottom w:val="single" w:sz="8" w:color="CCEEFF"/>
            </w:tcBorders>
            <w:gridSpan w:val="2"/>
            <w:shd w:val="clear" w:color="auto" w:fill="CCEEFF"/>
          </w:tcPr>
          <w:p>
            <w:pPr>
              <w:jc w:val="right"/>
              <w:ind w:right="69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620" w:type="dxa"/>
            <w:vAlign w:val="bottom"/>
            <w:gridSpan w:val="2"/>
          </w:tcPr>
          <w:p>
            <w:pPr>
              <w:jc w:val="right"/>
              <w:ind w:right="69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620" w:type="dxa"/>
            <w:vAlign w:val="bottom"/>
            <w:tcBorders>
              <w:bottom w:val="single" w:sz="8" w:color="CCEEFF"/>
            </w:tcBorders>
            <w:gridSpan w:val="2"/>
            <w:shd w:val="clear" w:color="auto" w:fill="CCEEFF"/>
          </w:tcPr>
          <w:p>
            <w:pPr>
              <w:jc w:val="right"/>
              <w:ind w:right="69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4620" w:type="dxa"/>
            <w:vAlign w:val="bottom"/>
            <w:gridSpan w:val="2"/>
          </w:tcPr>
          <w:p>
            <w:pPr>
              <w:jc w:val="right"/>
              <w:ind w:right="69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501</w:t>
            </w:r>
          </w:p>
        </w:tc>
        <w:tc>
          <w:tcPr>
            <w:tcW w:w="8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864"/>
        </w:trPr>
        <w:tc>
          <w:tcPr>
            <w:tcW w:w="4760" w:type="dxa"/>
            <w:vAlign w:val="bottom"/>
          </w:tcPr>
          <w:p>
            <w:pPr>
              <w:spacing w:after="0"/>
              <w:rPr>
                <w:sz w:val="24"/>
                <w:szCs w:val="24"/>
                <w:color w:val="auto"/>
              </w:rPr>
            </w:pPr>
          </w:p>
        </w:tc>
        <w:tc>
          <w:tcPr>
            <w:tcW w:w="3760" w:type="dxa"/>
            <w:vAlign w:val="bottom"/>
          </w:tcPr>
          <w:p>
            <w:pPr>
              <w:jc w:val="right"/>
              <w:ind w:right="2737"/>
              <w:spacing w:after="0"/>
              <w:rPr>
                <w:sz w:val="20"/>
                <w:szCs w:val="20"/>
                <w:color w:val="auto"/>
              </w:rPr>
            </w:pPr>
            <w:r>
              <w:rPr>
                <w:rFonts w:ascii="Times New Roman" w:cs="Times New Roman" w:eastAsia="Times New Roman" w:hAnsi="Times New Roman"/>
                <w:sz w:val="17"/>
                <w:szCs w:val="17"/>
                <w:color w:val="auto"/>
              </w:rPr>
              <w:t>48</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7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223" w:lineRule="exact"/>
        <w:rPr>
          <w:sz w:val="20"/>
          <w:szCs w:val="20"/>
          <w:color w:val="auto"/>
        </w:rPr>
      </w:pPr>
    </w:p>
    <w:p>
      <w:pPr>
        <w:ind w:right="40" w:firstLine="387"/>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was $665 million and $5.9 billion for the nine months ended September 30, 2022 and 2021, respectively. For the nine months ended September 30, 2022, cash used in operating activities was primarily driven by the $663 million increase in real estate inventory. For the nine months ended September 30, 2021, cash used in operating activities was primarily driven by a $5.8 billion increase in real estate inventory and a $120 million increase in escrow receivable correlated to the increase in revenue during the first nine months of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(Used in) Investing Activities</w:t>
      </w:r>
    </w:p>
    <w:p>
      <w:pPr>
        <w:spacing w:after="0" w:line="223" w:lineRule="exact"/>
        <w:rPr>
          <w:sz w:val="20"/>
          <w:szCs w:val="20"/>
          <w:color w:val="auto"/>
        </w:rPr>
      </w:pPr>
    </w:p>
    <w:p>
      <w:pPr>
        <w:ind w:right="60" w:firstLine="387"/>
        <w:spacing w:after="0" w:line="258" w:lineRule="auto"/>
        <w:rPr>
          <w:sz w:val="20"/>
          <w:szCs w:val="20"/>
          <w:color w:val="auto"/>
        </w:rPr>
      </w:pPr>
      <w:r>
        <w:rPr>
          <w:rFonts w:ascii="Times New Roman" w:cs="Times New Roman" w:eastAsia="Times New Roman" w:hAnsi="Times New Roman"/>
          <w:sz w:val="17"/>
          <w:szCs w:val="17"/>
          <w:color w:val="auto"/>
        </w:rPr>
        <w:t>Net cash provided by (used in) investing activities was $210 million and $(432) million for the nine months ended September 30, 2022 and 2021, respectively. For the nine months ended September 30, 2022, cash provided by investing activities primarily consisted of a net decrease in marketable securities of $265 million, partially offset by $19 million for strategic investments in certain privately held companies and a $33 million increase in property and equipment. For the nine months ended September 30, 2021, cash used in investing activities primarily consisted of the $373 million increase in marketable securities,</w:t>
      </w:r>
    </w:p>
    <w:p>
      <w:pPr>
        <w:spacing w:after="0" w:line="1"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7"/>
          <w:szCs w:val="17"/>
          <w:color w:val="auto"/>
        </w:rPr>
        <w:t>$20 million for the purchase of Pro.com, net of cash acquired, and the $15 million strategic investment in a privately held company. In addition, we used $23 million for capital expenditures, including internally developed software, employee computers and leasehold improvements.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223" w:lineRule="exact"/>
        <w:rPr>
          <w:sz w:val="20"/>
          <w:szCs w:val="20"/>
          <w:color w:val="auto"/>
        </w:rPr>
      </w:pPr>
    </w:p>
    <w:p>
      <w:pPr>
        <w:ind w:firstLine="387"/>
        <w:spacing w:after="0" w:line="260" w:lineRule="auto"/>
        <w:rPr>
          <w:sz w:val="20"/>
          <w:szCs w:val="20"/>
          <w:color w:val="auto"/>
        </w:rPr>
      </w:pPr>
      <w:r>
        <w:rPr>
          <w:rFonts w:ascii="Times New Roman" w:cs="Times New Roman" w:eastAsia="Times New Roman" w:hAnsi="Times New Roman"/>
          <w:sz w:val="17"/>
          <w:szCs w:val="17"/>
          <w:color w:val="auto"/>
        </w:rPr>
        <w:t>Net cash provided by financing activities was $956 million and $6.7 billion for the nine months ended September 30, 2022 and 2021, respectively. For the nine months ended September 30, 2022, cash provided by financing activities was primarily attributable to $981 million net proceeds on non-recourse asset-backed debt. For the nine months ended September 30, 2021, cash provided by financing activities was primarily attributable to $4.9 billion net proceeds from non-recourse asset-backed debt and $886 million in proceeds from the February 2021 Offering, net of $29 million issuance costs. In addition, we received $978 million in proceeds from the issuance of the 2026 Notes, net of $25 million of issuance costs and offset by $119 million purchase of the Capped Calls related to the 2026 Notes.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1" w:lineRule="exact"/>
        <w:rPr>
          <w:sz w:val="20"/>
          <w:szCs w:val="20"/>
          <w:color w:val="auto"/>
        </w:rPr>
      </w:pPr>
    </w:p>
    <w:p>
      <w:pPr>
        <w:ind w:right="20" w:firstLine="387"/>
        <w:spacing w:after="0" w:line="270" w:lineRule="auto"/>
        <w:rPr>
          <w:sz w:val="20"/>
          <w:szCs w:val="20"/>
          <w:color w:val="auto"/>
        </w:rPr>
      </w:pPr>
      <w:r>
        <w:rPr>
          <w:rFonts w:ascii="Times New Roman" w:cs="Times New Roman" w:eastAsia="Times New Roman" w:hAnsi="Times New Roman"/>
          <w:sz w:val="17"/>
          <w:szCs w:val="17"/>
          <w:color w:val="auto"/>
        </w:rPr>
        <w:t>There have been no material changes outside the ordinary course of business in our commitments under contractual obligations as previously disclosed in our Annual Report on Form 10-K for the year ended December 31, 2021, except for the categories of contractual obligations included in the table below, which have been updated to reflect our contractual obligations as of September 30,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Due by Year</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
        </w:trPr>
        <w:tc>
          <w:tcPr>
            <w:tcW w:w="43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2"/>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82"/>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40" w:type="dxa"/>
            <w:vAlign w:val="bottom"/>
          </w:tcPr>
          <w:p>
            <w:pPr>
              <w:spacing w:after="0"/>
              <w:rPr>
                <w:sz w:val="15"/>
                <w:szCs w:val="15"/>
                <w:color w:val="auto"/>
              </w:rPr>
            </w:pPr>
          </w:p>
        </w:tc>
        <w:tc>
          <w:tcPr>
            <w:tcW w:w="10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35"/>
        </w:trPr>
        <w:tc>
          <w:tcPr>
            <w:tcW w:w="43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1"/>
        </w:trPr>
        <w:tc>
          <w:tcPr>
            <w:tcW w:w="43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Senior revolving credit facilities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and mezzanine term debt facilities</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5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w:t>
      </w:r>
    </w:p>
    <w:p>
      <w:pPr>
        <w:spacing w:after="0" w:line="103" w:lineRule="exact"/>
        <w:rPr>
          <w:sz w:val="20"/>
          <w:szCs w:val="20"/>
          <w:color w:val="auto"/>
        </w:rPr>
      </w:pPr>
    </w:p>
    <w:p>
      <w:pPr>
        <w:jc w:val="both"/>
        <w:ind w:left="320" w:right="20" w:hanging="317"/>
        <w:spacing w:after="0" w:line="236"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principal amounts outstanding as of September 30, 2022.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September 30, 2022.</w:t>
      </w:r>
    </w:p>
    <w:p>
      <w:pPr>
        <w:spacing w:after="0" w:line="88" w:lineRule="exact"/>
        <w:rPr>
          <w:rFonts w:ascii="Times New Roman" w:cs="Times New Roman" w:eastAsia="Times New Roman" w:hAnsi="Times New Roman"/>
          <w:sz w:val="22"/>
          <w:szCs w:val="22"/>
          <w:color w:val="auto"/>
          <w:vertAlign w:val="superscript"/>
        </w:rPr>
      </w:pPr>
    </w:p>
    <w:p>
      <w:pPr>
        <w:ind w:left="320" w:right="520" w:hanging="317"/>
        <w:spacing w:after="0" w:line="229"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principal amounts outstanding as of September 30, 2022 and interest payments assuming the principal balances remain outstanding until maturity. The final maturity dates of the senior and mezzanine term debt facilities vary, as discussed above.</w:t>
      </w:r>
    </w:p>
    <w:p>
      <w:pPr>
        <w:spacing w:after="0" w:line="57"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2022, we were under contract to purchase 2,259 homes for an aggregate purchase price of $802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ind w:right="40" w:firstLine="387"/>
        <w:spacing w:after="0" w:line="261" w:lineRule="auto"/>
        <w:rPr>
          <w:sz w:val="20"/>
          <w:szCs w:val="20"/>
          <w:color w:val="auto"/>
        </w:rPr>
      </w:pPr>
      <w:r>
        <w:rPr>
          <w:rFonts w:ascii="Times New Roman" w:cs="Times New Roman" w:eastAsia="Times New Roman" w:hAnsi="Times New Roman"/>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5"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Times New Roman" w:cs="Times New Roman" w:eastAsia="Times New Roman" w:hAnsi="Times New Roman"/>
          <w:sz w:val="17"/>
          <w:szCs w:val="17"/>
          <w:i w:val="1"/>
          <w:iCs w:val="1"/>
          <w:color w:val="auto"/>
        </w:rPr>
        <w:t>Part II – Item 7. 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 and Results of Operations – Critical Accounting Policies and Estimates</w:t>
      </w:r>
      <w:r>
        <w:rPr>
          <w:rFonts w:ascii="Times New Roman" w:cs="Times New Roman" w:eastAsia="Times New Roman" w:hAnsi="Times New Roman"/>
          <w:sz w:val="17"/>
          <w:szCs w:val="17"/>
          <w:color w:val="auto"/>
        </w:rPr>
        <w:t>” in the Annual Report. There have been no significant changes to these critical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estimates during the first nine months of 2022. In addition, we have other key accounting policies and estimates that are described in “</w:t>
      </w:r>
      <w:r>
        <w:rPr>
          <w:rFonts w:ascii="Times New Roman" w:cs="Times New Roman" w:eastAsia="Times New Roman" w:hAnsi="Times New Roman"/>
          <w:sz w:val="17"/>
          <w:szCs w:val="17"/>
          <w:i w:val="1"/>
          <w:iCs w:val="1"/>
          <w:color w:val="auto"/>
        </w:rPr>
        <w:t>Part I – Item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Statements –Notes to Condensed Consolidated Financial Statements – Note 1. Description of Business and Accounting Policies</w:t>
      </w:r>
      <w:r>
        <w:rPr>
          <w:rFonts w:ascii="Times New Roman" w:cs="Times New Roman" w:eastAsia="Times New Roman" w:hAnsi="Times New Roman"/>
          <w:sz w:val="17"/>
          <w:szCs w:val="17"/>
          <w:color w:val="auto"/>
        </w:rPr>
        <w:t>” in this Quarterly Report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Inventory</w:t>
      </w:r>
    </w:p>
    <w:p>
      <w:pPr>
        <w:spacing w:after="0" w:line="221" w:lineRule="exact"/>
        <w:rPr>
          <w:sz w:val="20"/>
          <w:szCs w:val="20"/>
          <w:color w:val="auto"/>
        </w:rPr>
      </w:pPr>
    </w:p>
    <w:p>
      <w:pPr>
        <w:ind w:right="20" w:firstLine="387"/>
        <w:spacing w:after="0" w:line="257" w:lineRule="auto"/>
        <w:rPr>
          <w:sz w:val="20"/>
          <w:szCs w:val="20"/>
          <w:color w:val="auto"/>
        </w:rPr>
      </w:pPr>
      <w:r>
        <w:rPr>
          <w:rFonts w:ascii="Times New Roman" w:cs="Times New Roman" w:eastAsia="Times New Roman" w:hAnsi="Times New Roman"/>
          <w:sz w:val="17"/>
          <w:szCs w:val="17"/>
          <w:color w:val="auto"/>
        </w:rPr>
        <w:t>Real estate inventory carrying value is equal to the lower of cost or net realizable value and each home constitutes the unit of account. Real estate inventory cost includes but is not limited to the property purchase price, acquisition costs and direct costs to renovate or repair the home, less inventory valuation adjustments, if any. The property purchase price is net of our service fee and represents the cash proceeds paid to the home seller. 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Inventory valuation adjustments are not offset by any expected gains and are not reversed or adjusted should the expected net realizable value subsequently increase. For homes under contract, the net realizable value is the contract price less expected selling costs and any expected concessions. For all other homes, the net realizable value is our internal projection price less expected selling costs. Changes in our pricing assumptions may lead to a change in the outcome of our inventory valuation adjustment, and actual results may also differ from our assumptions.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7" w:lineRule="exact"/>
        <w:rPr>
          <w:sz w:val="20"/>
          <w:szCs w:val="20"/>
          <w:color w:val="auto"/>
        </w:rPr>
      </w:pPr>
    </w:p>
    <w:p>
      <w:pPr>
        <w:ind w:right="480" w:firstLine="387"/>
        <w:spacing w:after="0" w:line="292" w:lineRule="auto"/>
        <w:rPr>
          <w:sz w:val="20"/>
          <w:szCs w:val="20"/>
          <w:color w:val="auto"/>
        </w:rPr>
      </w:pPr>
      <w:r>
        <w:rPr>
          <w:rFonts w:ascii="Times New Roman" w:cs="Times New Roman" w:eastAsia="Times New Roman" w:hAnsi="Times New Roman"/>
          <w:sz w:val="17"/>
          <w:szCs w:val="17"/>
          <w:color w:val="auto"/>
        </w:rPr>
        <w:t>For information on recent accounting standards, see “</w:t>
      </w:r>
      <w:r>
        <w:rPr>
          <w:rFonts w:ascii="Times New Roman" w:cs="Times New Roman" w:eastAsia="Times New Roman" w:hAnsi="Times New Roman"/>
          <w:sz w:val="17"/>
          <w:szCs w:val="17"/>
          <w:i w:val="1"/>
          <w:iCs w:val="1"/>
          <w:color w:val="auto"/>
        </w:rPr>
        <w:t>Part I – Item 1. Financial Statements – Notes to Condensed Consolidated Financial Statements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 1. Description of Business and Accounting Policies”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consist of fluctuations in interest rates.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3" w:lineRule="exact"/>
        <w:rPr>
          <w:sz w:val="20"/>
          <w:szCs w:val="20"/>
          <w:color w:val="auto"/>
        </w:rPr>
      </w:pPr>
    </w:p>
    <w:p>
      <w:pPr>
        <w:ind w:firstLine="387"/>
        <w:spacing w:after="0" w:line="257" w:lineRule="auto"/>
        <w:rPr>
          <w:sz w:val="20"/>
          <w:szCs w:val="20"/>
          <w:color w:val="auto"/>
        </w:rPr>
      </w:pPr>
      <w:r>
        <w:rPr>
          <w:rFonts w:ascii="Times New Roman" w:cs="Times New Roman" w:eastAsia="Times New Roman" w:hAnsi="Times New Roman"/>
          <w:sz w:val="17"/>
          <w:szCs w:val="17"/>
          <w:color w:val="auto"/>
        </w:rPr>
        <w:t>We are subject to market risk by way of changes in interest rates on borrowings under our inventory financing facilities. The Company had total outstanding balances on our asset-backed debt and other secured borrowings of $7.1 billion, 50% of which was fixed rate with a duration of 3.6 years and the remaining 50% was based on a floating rate. Total interest expense for the first nine months ended September 30, 2022 was $236 million, of which $142 million was fixed and $94 million was floating. As of September 30, 2022 and December 31, 2021 we had outstanding borrowings of $3.6 billion and $4.2 billion, respectively, which bear interest at a floating Benchmark reference rate ("Benchmark Rate"), based on a London Interbank Offered Rate (“LIBOR”) or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Assuming no change in the outstanding borrowings on our credit facilities, we estimate that a one percentage point increase in the Benchmark Rate would increase our annual interest expense by approximately $36 million and $37 million as of September 30, 2022 and December 31, 2021,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223" w:lineRule="exact"/>
        <w:rPr>
          <w:sz w:val="20"/>
          <w:szCs w:val="20"/>
          <w:color w:val="auto"/>
        </w:rPr>
      </w:pPr>
    </w:p>
    <w:p>
      <w:pPr>
        <w:jc w:val="both"/>
        <w:ind w:right="180" w:firstLine="387"/>
        <w:spacing w:after="0" w:line="270"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results of operations or financial condition as it relates to areas, such as labor and materials costs for home repairs. If our costs were to become subject to significant inflationary pressures, we may not be able to fully offset such higher costs by adjusting our operational model or our pricing methodology. Our inability to do so could harm our business, results of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221" w:lineRule="exact"/>
        <w:rPr>
          <w:sz w:val="20"/>
          <w:szCs w:val="20"/>
          <w:color w:val="auto"/>
        </w:rPr>
      </w:pPr>
    </w:p>
    <w:p>
      <w:pPr>
        <w:ind w:right="60" w:firstLine="387"/>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ind w:right="20" w:firstLine="387"/>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the evaluation, our Chief Executive Officer and Chief Financial Officer concluded that the Company's disclosure controls and procedures are effective at the reasonable assurance level as of September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ind w:right="120" w:firstLine="387"/>
        <w:spacing w:after="0" w:line="270" w:lineRule="auto"/>
        <w:rPr>
          <w:sz w:val="20"/>
          <w:szCs w:val="20"/>
          <w:color w:val="auto"/>
        </w:rPr>
      </w:pPr>
      <w:r>
        <w:rPr>
          <w:rFonts w:ascii="Times New Roman" w:cs="Times New Roman" w:eastAsia="Times New Roman" w:hAnsi="Times New Roman"/>
          <w:sz w:val="17"/>
          <w:szCs w:val="17"/>
          <w:color w:val="auto"/>
        </w:rPr>
        <w:t>There have been no material changes in our internal control over financial reporting in connection with the evaluation required by Rules 13a-15(d) and 15d-15(d) of the Exchange Act that occurred during the quarter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ind w:right="40" w:firstLine="387"/>
        <w:spacing w:after="0" w:line="258" w:lineRule="auto"/>
        <w:rPr>
          <w:sz w:val="20"/>
          <w:szCs w:val="20"/>
          <w:color w:val="auto"/>
        </w:rPr>
      </w:pPr>
      <w:r>
        <w:rPr>
          <w:rFonts w:ascii="Times New Roman" w:cs="Times New Roman" w:eastAsia="Times New Roman" w:hAnsi="Times New Roman"/>
          <w:sz w:val="17"/>
          <w:szCs w:val="17"/>
          <w:color w:val="auto"/>
        </w:rPr>
        <w:t>As previously disclosed by the Company, the FTC began conducting an investigation into the Company in August 2019. The inquiry related primarily to statements in Opendoor’s advertising and website comparing selling homes to Opendoor with selling homes in a traditional manner using an agent and relating to statements that Opendoor’s offers reflect or are based on market prices. Opendoor and the FTC began discussing resolution of this matter in December 2020. After extensive negotiations, the Company agreed to enter into a consent order resolving all aspects of the inquiry, which became final on October 21, 2022. Pursuant to the consent order, the Company did not admit to any wrongdoing and is required to possess competent and reliable supporting data prior to making statements regarding the costs, savings, repair costs, or financial benefits of Company services related to assisting consumers selling homes. The consent order also requires that the Company retain certain records, submit a compliance report to the FTC, and pay the FTC $62 million, an amount the Company previously accrued. The $62 million fine was paid in October 2022.</w:t>
      </w:r>
    </w:p>
    <w:p>
      <w:pPr>
        <w:spacing w:after="0" w:line="175" w:lineRule="exact"/>
        <w:rPr>
          <w:sz w:val="20"/>
          <w:szCs w:val="20"/>
          <w:color w:val="auto"/>
        </w:rPr>
      </w:pPr>
    </w:p>
    <w:p>
      <w:pPr>
        <w:ind w:firstLine="387"/>
        <w:spacing w:after="0" w:line="257" w:lineRule="auto"/>
        <w:rPr>
          <w:sz w:val="20"/>
          <w:szCs w:val="20"/>
          <w:color w:val="auto"/>
        </w:rPr>
      </w:pPr>
      <w:r>
        <w:rPr>
          <w:rFonts w:ascii="Times New Roman" w:cs="Times New Roman" w:eastAsia="Times New Roman" w:hAnsi="Times New Roman"/>
          <w:sz w:val="17"/>
          <w:szCs w:val="17"/>
          <w:color w:val="auto"/>
        </w:rPr>
        <w:t>On October 7, 2022, a purported securities class action lawsuit was filed in the United States District Court for the District of Arizona, captioned Alich v. Opendoor Technologies Inc., et al. (Case No. 2:22-cv-01717-JFM), naming as defendants the Company and certain of the Company’s current and former officers and directors. The complaint alleges that the Company and certain officers violated Section 10(b) of the Exchange Act and SEC Rule 10b-5, and that the Company and certain directors violated Section 11 of the Securities Act, in each case by making materially false or misleading statements related to the effectiveness of the Company’s pricing algorithm. The plaintiff also alleges that the Company’s officers and directors named as defendants violated Section 20(a) of the Exchange Act and Section 15 of the Securities Act, respectively, which provide for control person liability. The claims are asserted on behalf of all persons and entities that purchased, or otherwise acquired, Company common stock between December 21, 2020 and September 16, 2022 or pursuant to the offering documents issued in connection with our business combination with SCH. The plaintiff seeks class certification, an award of unspecified compensatory damages, an award of interest and reasonable costs and expenses, including attorneys’ fees and expert fees, and other and further relief as the court may deem just and proper. We believe that the allegations in the complaint are without merit.</w:t>
      </w:r>
    </w:p>
    <w:p>
      <w:pPr>
        <w:spacing w:after="0" w:line="176" w:lineRule="exact"/>
        <w:rPr>
          <w:sz w:val="20"/>
          <w:szCs w:val="20"/>
          <w:color w:val="auto"/>
        </w:rPr>
      </w:pPr>
    </w:p>
    <w:p>
      <w:pPr>
        <w:ind w:right="60" w:firstLine="387"/>
        <w:spacing w:after="0" w:line="264" w:lineRule="auto"/>
        <w:rPr>
          <w:sz w:val="20"/>
          <w:szCs w:val="20"/>
          <w:color w:val="auto"/>
        </w:rPr>
      </w:pPr>
      <w:r>
        <w:rPr>
          <w:rFonts w:ascii="Times New Roman" w:cs="Times New Roman" w:eastAsia="Times New Roman" w:hAnsi="Times New Roman"/>
          <w:sz w:val="17"/>
          <w:szCs w:val="17"/>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1" w:lineRule="exact"/>
        <w:rPr>
          <w:sz w:val="20"/>
          <w:szCs w:val="20"/>
          <w:color w:val="auto"/>
        </w:rPr>
      </w:pPr>
    </w:p>
    <w:p>
      <w:pPr>
        <w:ind w:right="20" w:firstLine="387"/>
        <w:spacing w:after="0" w:line="261" w:lineRule="auto"/>
        <w:rPr>
          <w:sz w:val="20"/>
          <w:szCs w:val="20"/>
          <w:color w:val="auto"/>
        </w:rPr>
      </w:pPr>
      <w:r>
        <w:rPr>
          <w:rFonts w:ascii="Times New Roman" w:cs="Times New Roman" w:eastAsia="Times New Roman" w:hAnsi="Times New Roman"/>
          <w:sz w:val="17"/>
          <w:szCs w:val="17"/>
          <w:color w:val="auto"/>
        </w:rPr>
        <w:t>In the course of conducting our business operations, we are exposed to a variety of risks. These risks are generally inherent to the U.S. residential real estate industry or otherwise generally impact iBuyers like us. Any of the risk factors we described in "Part I – Item 1A. Risk Factors," in our Annual Report or in subsequent periodic reports,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than as set forth below, there have been no material changes to the Company's risk factors since the Annual Report.</w:t>
      </w:r>
    </w:p>
    <w:p>
      <w:pPr>
        <w:spacing w:after="0" w:line="211" w:lineRule="exact"/>
        <w:rPr>
          <w:sz w:val="20"/>
          <w:szCs w:val="20"/>
          <w:color w:val="auto"/>
        </w:rPr>
      </w:pPr>
    </w:p>
    <w:p>
      <w:pPr>
        <w:ind w:right="100" w:firstLine="387"/>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entered into a consent order with the FTC that imposes ongoing obligations. Any alleged or actual noncompliance with the consent order could have a material adverse effect on the Company’s business.</w:t>
      </w:r>
    </w:p>
    <w:p>
      <w:pPr>
        <w:spacing w:after="0" w:line="146" w:lineRule="exact"/>
        <w:rPr>
          <w:sz w:val="20"/>
          <w:szCs w:val="20"/>
          <w:color w:val="auto"/>
        </w:rPr>
      </w:pPr>
    </w:p>
    <w:p>
      <w:pPr>
        <w:ind w:firstLine="387"/>
        <w:spacing w:after="0" w:line="258" w:lineRule="auto"/>
        <w:rPr>
          <w:sz w:val="20"/>
          <w:szCs w:val="20"/>
          <w:color w:val="auto"/>
        </w:rPr>
      </w:pPr>
      <w:r>
        <w:rPr>
          <w:rFonts w:ascii="Times New Roman" w:cs="Times New Roman" w:eastAsia="Times New Roman" w:hAnsi="Times New Roman"/>
          <w:sz w:val="17"/>
          <w:szCs w:val="17"/>
          <w:color w:val="auto"/>
        </w:rPr>
        <w:t>As previously disclosed by the Company, the FTC began conducting an investigation into the Company in August 2019. The inquiry related primarily to statements in the Company’s advertising and website comparing selling homes to the Company with selling homes in a traditional manner using an agent and relating to statements that the Company’s offers reflect or are based on market prices. The Company and the FTC began discussing resolution of this matter in December 2020. After extensive negotiations, the Company agreed to enter into a consent order resolving all aspects of the inquiry, which became final on October 21, 2022. Pursuant to the consent order, the Company did not admit any wrongdoing and is required to possess competent and reliable supporting data prior to making statements regarding the costs, savings, repair costs, or financial benefits of Company services related to assisting consumers selling homes. The consent order also requires that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retain certain records, submit a compliance report to the FTC, and pay the FTC $62 million, an amount the Company previously accrued.</w:t>
      </w:r>
    </w:p>
    <w:p>
      <w:pPr>
        <w:spacing w:after="0" w:line="217" w:lineRule="exact"/>
        <w:rPr>
          <w:sz w:val="20"/>
          <w:szCs w:val="20"/>
          <w:color w:val="auto"/>
        </w:rPr>
      </w:pPr>
    </w:p>
    <w:p>
      <w:pPr>
        <w:ind w:right="100" w:firstLine="387"/>
        <w:spacing w:after="0" w:line="270" w:lineRule="auto"/>
        <w:rPr>
          <w:sz w:val="20"/>
          <w:szCs w:val="20"/>
          <w:color w:val="auto"/>
        </w:rPr>
      </w:pPr>
      <w:r>
        <w:rPr>
          <w:rFonts w:ascii="Times New Roman" w:cs="Times New Roman" w:eastAsia="Times New Roman" w:hAnsi="Times New Roman"/>
          <w:sz w:val="17"/>
          <w:szCs w:val="17"/>
          <w:color w:val="auto"/>
        </w:rPr>
        <w:t>If the Company fails to comply, or is alleged to be in noncompliance with, the consent order, the Company could be subject to additional regulatory or governmental investigations or civil actions, which may result in significant monetary fines, judgments or other penalties that could have a material adverse effect on the Company’s business.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We are and may be subject to securities litigation, which is expensive and could divert management attention.</w:t>
      </w:r>
    </w:p>
    <w:p>
      <w:pPr>
        <w:spacing w:after="0" w:line="223" w:lineRule="exact"/>
        <w:rPr>
          <w:sz w:val="20"/>
          <w:szCs w:val="20"/>
          <w:color w:val="auto"/>
        </w:rPr>
      </w:pPr>
    </w:p>
    <w:p>
      <w:pPr>
        <w:ind w:right="60" w:firstLine="387"/>
        <w:spacing w:after="0" w:line="270" w:lineRule="auto"/>
        <w:rPr>
          <w:sz w:val="20"/>
          <w:szCs w:val="20"/>
          <w:color w:val="auto"/>
        </w:rPr>
      </w:pPr>
      <w:r>
        <w:rPr>
          <w:rFonts w:ascii="Times New Roman" w:cs="Times New Roman" w:eastAsia="Times New Roman" w:hAnsi="Times New Roman"/>
          <w:sz w:val="17"/>
          <w:szCs w:val="17"/>
          <w:color w:val="auto"/>
        </w:rPr>
        <w:t>The market price of our common stock has been, and may continue to be, volatile. Companies that have experienced volatility in the market price of their stock have been subject to securities class action litigation. We are currently, and may in the future be, the target of this type of litigation. For example, a securities litigation claim was recently filed against us and certain of our current and former officers and directors related to our pricing algorithm.</w:t>
      </w:r>
    </w:p>
    <w:p>
      <w:pPr>
        <w:spacing w:after="0" w:line="165" w:lineRule="exact"/>
        <w:rPr>
          <w:sz w:val="20"/>
          <w:szCs w:val="20"/>
          <w:color w:val="auto"/>
        </w:rPr>
      </w:pPr>
    </w:p>
    <w:p>
      <w:pPr>
        <w:ind w:right="180" w:firstLine="387"/>
        <w:spacing w:after="0" w:line="270" w:lineRule="auto"/>
        <w:rPr>
          <w:sz w:val="20"/>
          <w:szCs w:val="20"/>
          <w:color w:val="auto"/>
        </w:rPr>
      </w:pPr>
      <w:r>
        <w:rPr>
          <w:rFonts w:ascii="Times New Roman" w:cs="Times New Roman" w:eastAsia="Times New Roman" w:hAnsi="Times New Roman"/>
          <w:sz w:val="17"/>
          <w:szCs w:val="17"/>
          <w:color w:val="auto"/>
        </w:rPr>
        <w:t>Litigation is inherently uncertain and adverse rulings could occur, including monetary damages. An unfavorable outcome or settlement may result in a material adverse impact on our business, operations and financial condition. In addition, regardless of the outcome, litigation could result in substantial costs and divert management’s attention from other business concerns, which could seriously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1" w:lineRule="exact"/>
        <w:rPr>
          <w:sz w:val="20"/>
          <w:szCs w:val="20"/>
          <w:color w:val="auto"/>
        </w:rPr>
      </w:pPr>
    </w:p>
    <w:p>
      <w:pPr>
        <w:ind w:right="20" w:firstLine="387"/>
        <w:spacing w:after="0" w:line="258" w:lineRule="auto"/>
        <w:rPr>
          <w:sz w:val="20"/>
          <w:szCs w:val="20"/>
          <w:color w:val="auto"/>
        </w:rPr>
      </w:pPr>
      <w:r>
        <w:rPr>
          <w:rFonts w:ascii="Times New Roman" w:cs="Times New Roman" w:eastAsia="Times New Roman" w:hAnsi="Times New Roman"/>
          <w:sz w:val="17"/>
          <w:szCs w:val="17"/>
          <w:color w:val="auto"/>
        </w:rPr>
        <w:t>On July 28, 2022, in connection with our entry into a multi-year agreement with Zillow, Inc., we issued to Zillow, Inc. a warrant representing the right to purchase up to 6 million shares of the Company’s common stock, which will vest in tranches for resale services with respect to homes that qualify for a referral fee under the agreement. The exercise price per tranche of warrant shares will equal the 30-day trailing volume weighted average price prior to the vesting date, subject to a floor of $15.00 per share and a cap of $30.00 per share. We believe the issuance of the warrant was exempt from registration pursuant to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of the Securities Act as a transaction by the Company not involving any public offering.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7" w:lineRule="exact"/>
        <w:rPr>
          <w:sz w:val="20"/>
          <w:szCs w:val="20"/>
          <w:color w:val="auto"/>
        </w:rPr>
      </w:pPr>
    </w:p>
    <w:p>
      <w:pPr>
        <w:ind w:right="20" w:firstLine="387"/>
        <w:spacing w:after="0" w:line="261" w:lineRule="auto"/>
        <w:rPr>
          <w:sz w:val="20"/>
          <w:szCs w:val="20"/>
          <w:color w:val="auto"/>
        </w:rPr>
      </w:pPr>
      <w:r>
        <w:rPr>
          <w:rFonts w:ascii="Times New Roman" w:cs="Times New Roman" w:eastAsia="Times New Roman" w:hAnsi="Times New Roman"/>
          <w:sz w:val="17"/>
          <w:szCs w:val="17"/>
          <w:color w:val="auto"/>
        </w:rPr>
        <w:t>On November 1, 2022, the Board of Directors of the Company authorized a workforce reduction of approximately 550 employees, representing 18% of its workforce at that time, to reduce its cost structure to better align the Company’s operational needs to current economic conditions while continuing to support the long-term business strategy. The Company is providing post-employment benefits to impacted employees for a total cash cost of approximately $15 million, which we expect will be recognized in the fourth quarter of fiscal 2022 and paid primarily during the same period. The Company expects the workforce reduction to be substantially completed by November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is a list of exhibits filed as part of this Quarterly Report on Form 10-Q.</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5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200" w:type="dxa"/>
            <w:vAlign w:val="bottom"/>
          </w:tcPr>
          <w:p>
            <w:pPr>
              <w:jc w:val="right"/>
              <w:ind w:right="203"/>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494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Agreement and Plan of Merger, dated as of September 15, 2020, by and</w:t>
              </w:r>
            </w:hyperlink>
          </w:p>
        </w:tc>
        <w:tc>
          <w:tcPr>
            <w:tcW w:w="16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001-39253</w:t>
            </w:r>
          </w:p>
        </w:tc>
        <w:tc>
          <w:tcPr>
            <w:tcW w:w="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2.1</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09/17/2020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among Social Capital Hedosophia Corp. II, Hestia Merger Sub Inc. and</w:t>
              </w:r>
            </w:hyperlink>
          </w:p>
        </w:tc>
        <w:tc>
          <w:tcPr>
            <w:tcW w:w="1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0000FF"/>
            </w:tcBorders>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Opendoor Labs Inc.</w:t>
              </w:r>
            </w:hyperlink>
          </w:p>
        </w:tc>
        <w:tc>
          <w:tcPr>
            <w:tcW w:w="372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200" w:type="dxa"/>
            <w:vAlign w:val="bottom"/>
          </w:tcPr>
          <w:p>
            <w:pPr>
              <w:jc w:val="right"/>
              <w:ind w:right="203"/>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4080" w:type="dxa"/>
            <w:vAlign w:val="bottom"/>
            <w:gridSpan w:val="2"/>
            <w:vMerge w:val="restart"/>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Certificate of Incorporation of Opendoor Technologies Inc.</w:t>
              </w:r>
            </w:hyperlink>
          </w:p>
        </w:tc>
        <w:tc>
          <w:tcPr>
            <w:tcW w:w="1020" w:type="dxa"/>
            <w:vAlign w:val="bottom"/>
            <w:gridSpan w:val="3"/>
            <w:vMerge w:val="restart"/>
          </w:tcPr>
          <w:p>
            <w:pPr>
              <w:spacing w:after="0"/>
              <w:rPr>
                <w:sz w:val="24"/>
                <w:szCs w:val="2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001-39253</w:t>
            </w:r>
          </w:p>
        </w:tc>
        <w:tc>
          <w:tcPr>
            <w:tcW w:w="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12/18/2020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tcBorders>
              <w:bottom w:val="single" w:sz="8" w:color="0000FF"/>
            </w:tcBorders>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3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3"/>
          </w:tcPr>
          <w:p>
            <w:pPr>
              <w:ind w:left="4240"/>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right"/>
        <w:ind w:right="356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ectPr>
          <w:pgSz w:w="11900" w:h="16838" w:orient="portrait"/>
          <w:cols w:equalWidth="0" w:num="1">
            <w:col w:w="10920"/>
          </w:cols>
          <w:pgMar w:left="320" w:top="13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60" w:type="dxa"/>
            <w:vAlign w:val="bottom"/>
          </w:tcPr>
          <w:p>
            <w:pPr>
              <w:spacing w:after="0"/>
              <w:rPr>
                <w:sz w:val="19"/>
                <w:szCs w:val="19"/>
                <w:color w:val="auto"/>
              </w:rPr>
            </w:pPr>
          </w:p>
        </w:tc>
        <w:tc>
          <w:tcPr>
            <w:tcW w:w="5140" w:type="dxa"/>
            <w:vAlign w:val="bottom"/>
            <w:gridSpan w:val="11"/>
            <w:vMerge w:val="restart"/>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Bylaws of Opendoor Technologies Inc.</w:t>
              </w:r>
            </w:hyperlink>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gridSpan w:val="7"/>
            <w:vMerge w:val="restart"/>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Specimen Common Stock Certificate of Opendoor Technologies Inc.</w:t>
              </w:r>
            </w:hyperlink>
          </w:p>
        </w:tc>
        <w:tc>
          <w:tcPr>
            <w:tcW w:w="3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Borders>
              <w:bottom w:val="single" w:sz="8" w:color="0000FF"/>
            </w:tcBorders>
            <w:gridSpan w:val="7"/>
            <w:vMerge w:val="continue"/>
          </w:tcPr>
          <w:p>
            <w:pPr>
              <w:spacing w:after="0"/>
              <w:rPr>
                <w:sz w:val="2"/>
                <w:szCs w:val="2"/>
                <w:color w:val="auto"/>
              </w:rPr>
            </w:pPr>
          </w:p>
        </w:tc>
        <w:tc>
          <w:tcPr>
            <w:tcW w:w="3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60" w:type="dxa"/>
            <w:vAlign w:val="bottom"/>
          </w:tcPr>
          <w:p>
            <w:pPr>
              <w:spacing w:after="0"/>
              <w:rPr>
                <w:sz w:val="24"/>
                <w:szCs w:val="24"/>
                <w:color w:val="auto"/>
              </w:rPr>
            </w:pPr>
          </w:p>
        </w:tc>
        <w:tc>
          <w:tcPr>
            <w:tcW w:w="514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Warrant Agreement, dated July 28, 2022, between Opendoor Technologies</w:t>
              </w:r>
            </w:hyperlink>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40" w:type="dxa"/>
            <w:vAlign w:val="bottom"/>
            <w:gridSpan w:val="11"/>
          </w:tcPr>
          <w:p>
            <w:pPr>
              <w:spacing w:after="0" w:line="186"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Inc. and Zillow, Inc.</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10.1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5140" w:type="dxa"/>
            <w:vAlign w:val="bottom"/>
            <w:gridSpan w:val="11"/>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Opendoor Technologies Inc. 2022 Inducement Award Plan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10.2</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484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Restricted Stock Unit Grant Notice and Restricted Stock Unit</w:t>
              </w:r>
            </w:hyperlink>
          </w:p>
        </w:tc>
        <w:tc>
          <w:tcPr>
            <w:tcW w:w="3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40" w:type="dxa"/>
            <w:vAlign w:val="bottom"/>
            <w:gridSpan w:val="11"/>
          </w:tcPr>
          <w:p>
            <w:pPr>
              <w:spacing w:after="0" w:line="186"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Agreement Under 2022 Inducement Award Plan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10.3</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5140" w:type="dxa"/>
            <w:vAlign w:val="bottom"/>
            <w:gridSpan w:val="11"/>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Stock Option Grant Notice and Stock Option Agreement Under</w:t>
              </w:r>
            </w:hyperlink>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Borders>
              <w:top w:val="single" w:sz="8" w:color="0000FF"/>
              <w:bottom w:val="single" w:sz="8" w:color="0000FF"/>
            </w:tcBorders>
            <w:gridSpan w:val="3"/>
          </w:tcPr>
          <w:p>
            <w:pPr>
              <w:spacing w:after="0" w:line="186"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2022 Inducement Award Plan</w:t>
              </w:r>
            </w:hyperlink>
          </w:p>
        </w:tc>
        <w:tc>
          <w:tcPr>
            <w:tcW w:w="2920" w:type="dxa"/>
            <w:vAlign w:val="bottom"/>
            <w:tcBorders>
              <w:top w:val="single" w:sz="8" w:color="0000FF"/>
            </w:tcBorders>
            <w:gridSpan w:val="7"/>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31.1</w:t>
            </w:r>
          </w:p>
        </w:tc>
        <w:tc>
          <w:tcPr>
            <w:tcW w:w="360" w:type="dxa"/>
            <w:vAlign w:val="bottom"/>
          </w:tcPr>
          <w:p>
            <w:pPr>
              <w:spacing w:after="0"/>
              <w:rPr>
                <w:sz w:val="24"/>
                <w:szCs w:val="24"/>
                <w:color w:val="auto"/>
              </w:rPr>
            </w:pPr>
          </w:p>
        </w:tc>
        <w:tc>
          <w:tcPr>
            <w:tcW w:w="4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w:t>
            </w:r>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Borders>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7"/>
                <w:szCs w:val="17"/>
                <w:color w:val="0000FF"/>
              </w:rPr>
              <w:t>Sarbanes-Oxley Act of 2002</w:t>
            </w:r>
          </w:p>
        </w:tc>
        <w:tc>
          <w:tcPr>
            <w:tcW w:w="31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333-251529</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01/15/2021</w:t>
            </w:r>
          </w:p>
        </w:tc>
      </w:tr>
      <w:tr>
        <w:trPr>
          <w:trHeight w:val="361"/>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S-4/A</w:t>
            </w:r>
          </w:p>
        </w:tc>
        <w:tc>
          <w:tcPr>
            <w:tcW w:w="1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333-249302</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4.5</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11/06/2020</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001-39253</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99.2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08/05/2022</w:t>
            </w:r>
          </w:p>
        </w:tc>
      </w:tr>
      <w:tr>
        <w:trPr>
          <w:trHeight w:val="25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S-8</w:t>
            </w:r>
          </w:p>
        </w:tc>
        <w:tc>
          <w:tcPr>
            <w:tcW w:w="1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333-266877</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99.1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08/15/2022</w:t>
            </w:r>
          </w:p>
        </w:tc>
      </w:tr>
      <w:tr>
        <w:trPr>
          <w:trHeight w:val="25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S-8</w:t>
            </w:r>
          </w:p>
        </w:tc>
        <w:tc>
          <w:tcPr>
            <w:tcW w:w="1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333-266877</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99.2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08/15/2022</w:t>
            </w:r>
          </w:p>
        </w:tc>
      </w:tr>
      <w:tr>
        <w:trPr>
          <w:trHeight w:val="464"/>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S-8</w:t>
            </w:r>
          </w:p>
        </w:tc>
        <w:tc>
          <w:tcPr>
            <w:tcW w:w="1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333-266877</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99.3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08/15/2022</w:t>
            </w:r>
          </w:p>
        </w:tc>
      </w:tr>
    </w:tbl>
    <w:p>
      <w:pPr>
        <w:spacing w:after="0" w:line="2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346" w:lineRule="exact"/>
        <w:rPr>
          <w:sz w:val="20"/>
          <w:szCs w:val="20"/>
          <w:color w:val="auto"/>
        </w:rPr>
      </w:pPr>
    </w:p>
    <w:p>
      <w:pPr>
        <w:sectPr>
          <w:pgSz w:w="11900" w:h="16838" w:orient="portrait"/>
          <w:cols w:equalWidth="0" w:num="2">
            <w:col w:w="6440" w:space="120"/>
            <w:col w:w="4360"/>
          </w:cols>
          <w:pgMar w:left="320" w:top="136" w:right="659" w:bottom="1440" w:gutter="0" w:footer="0" w:header="0"/>
          <w:type w:val="continuous"/>
        </w:sectPr>
      </w:pPr>
    </w:p>
    <w:tbl>
      <w:tblPr>
        <w:tblLayout w:type="fixed"/>
        <w:tblInd w:w="280" w:type="dxa"/>
        <w:tblCellMar>
          <w:top w:w="0" w:type="dxa"/>
          <w:left w:w="0" w:type="dxa"/>
          <w:bottom w:w="0" w:type="dxa"/>
          <w:right w:w="0" w:type="dxa"/>
        </w:tblCellMar>
      </w:tblPr>
      <w:tr>
        <w:trPr>
          <w:trHeight w:val="236"/>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31.2</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186"/>
        </w:trPr>
        <w:tc>
          <w:tcPr>
            <w:tcW w:w="1020" w:type="dxa"/>
            <w:vAlign w:val="bottom"/>
          </w:tcPr>
          <w:p>
            <w:pPr>
              <w:spacing w:after="0"/>
              <w:rPr>
                <w:sz w:val="16"/>
                <w:szCs w:val="16"/>
                <w:color w:val="auto"/>
              </w:rPr>
            </w:pPr>
          </w:p>
        </w:tc>
        <w:tc>
          <w:tcPr>
            <w:tcW w:w="1980" w:type="dxa"/>
            <w:vAlign w:val="bottom"/>
            <w:tcBorders>
              <w:top w:val="single" w:sz="8" w:color="0000FF"/>
              <w:bottom w:val="single" w:sz="8" w:color="0000FF"/>
            </w:tcBorders>
          </w:tcPr>
          <w:p>
            <w:pPr>
              <w:spacing w:after="0" w:line="186"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840" w:type="dxa"/>
            <w:vAlign w:val="bottom"/>
            <w:tcBorders>
              <w:top w:val="single" w:sz="8" w:color="0000FF"/>
            </w:tcBorders>
            <w:gridSpan w:val="3"/>
          </w:tcPr>
          <w:p>
            <w:pPr>
              <w:spacing w:after="0"/>
              <w:rPr>
                <w:sz w:val="16"/>
                <w:szCs w:val="16"/>
                <w:color w:val="auto"/>
              </w:rPr>
            </w:pPr>
          </w:p>
        </w:tc>
        <w:tc>
          <w:tcPr>
            <w:tcW w:w="24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15"/>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32.1</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Chief Financial Officer</w:t>
            </w:r>
          </w:p>
        </w:tc>
        <w:tc>
          <w:tcPr>
            <w:tcW w:w="2320" w:type="dxa"/>
            <w:vAlign w:val="bottom"/>
          </w:tcPr>
          <w:p>
            <w:pPr>
              <w:jc w:val="center"/>
              <w:ind w:left="2054"/>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1020" w:type="dxa"/>
            <w:vAlign w:val="bottom"/>
          </w:tcPr>
          <w:p>
            <w:pPr>
              <w:spacing w:after="0"/>
              <w:rPr>
                <w:sz w:val="16"/>
                <w:szCs w:val="16"/>
                <w:color w:val="auto"/>
              </w:rPr>
            </w:pPr>
          </w:p>
        </w:tc>
        <w:tc>
          <w:tcPr>
            <w:tcW w:w="4680" w:type="dxa"/>
            <w:vAlign w:val="bottom"/>
            <w:tcBorders>
              <w:top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2620" w:type="dxa"/>
            <w:vAlign w:val="bottom"/>
            <w:gridSpan w:val="2"/>
          </w:tcPr>
          <w:p>
            <w:pPr>
              <w:spacing w:after="0"/>
              <w:rPr>
                <w:sz w:val="16"/>
                <w:szCs w:val="16"/>
                <w:color w:val="auto"/>
              </w:rPr>
            </w:pPr>
          </w:p>
        </w:tc>
        <w:tc>
          <w:tcPr>
            <w:tcW w:w="23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86"/>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101.INS</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06"/>
        </w:trPr>
        <w:tc>
          <w:tcPr>
            <w:tcW w:w="10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 the Interactive Data file because its XBRL tags are embedded within the</w:t>
            </w:r>
          </w:p>
        </w:tc>
        <w:tc>
          <w:tcPr>
            <w:tcW w:w="2320" w:type="dxa"/>
            <w:vAlign w:val="bottom"/>
          </w:tcPr>
          <w:p>
            <w:pPr>
              <w:spacing w:after="0"/>
              <w:rPr>
                <w:sz w:val="17"/>
                <w:szCs w:val="17"/>
                <w:color w:val="auto"/>
              </w:rPr>
            </w:pPr>
          </w:p>
        </w:tc>
      </w:tr>
      <w:tr>
        <w:trPr>
          <w:trHeight w:val="223"/>
        </w:trPr>
        <w:tc>
          <w:tcPr>
            <w:tcW w:w="10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document.</w:t>
            </w:r>
          </w:p>
        </w:tc>
        <w:tc>
          <w:tcPr>
            <w:tcW w:w="2320" w:type="dxa"/>
            <w:vAlign w:val="bottom"/>
          </w:tcPr>
          <w:p>
            <w:pPr>
              <w:spacing w:after="0"/>
              <w:rPr>
                <w:sz w:val="19"/>
                <w:szCs w:val="19"/>
                <w:color w:val="auto"/>
              </w:rPr>
            </w:pPr>
          </w:p>
        </w:tc>
      </w:tr>
      <w:tr>
        <w:trPr>
          <w:trHeight w:val="258"/>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8"/>
              </w:rPr>
              <w:t>101.SCH</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7"/>
              </w:rPr>
              <w:t>101.CAL</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101.DEF</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7"/>
              </w:rPr>
              <w:t>101.LAB</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101.PRE</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41"/>
        </w:trPr>
        <w:tc>
          <w:tcPr>
            <w:tcW w:w="10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104</w:t>
            </w: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w:t>
            </w:r>
          </w:p>
        </w:tc>
        <w:tc>
          <w:tcPr>
            <w:tcW w:w="2320" w:type="dxa"/>
            <w:vAlign w:val="bottom"/>
          </w:tcPr>
          <w:p>
            <w:pPr>
              <w:jc w:val="center"/>
              <w:ind w:left="2034"/>
              <w:spacing w:after="0"/>
              <w:rPr>
                <w:sz w:val="20"/>
                <w:szCs w:val="20"/>
                <w:color w:val="auto"/>
              </w:rPr>
            </w:pPr>
            <w:r>
              <w:rPr>
                <w:rFonts w:ascii="Times New Roman" w:cs="Times New Roman" w:eastAsia="Times New Roman" w:hAnsi="Times New Roman"/>
                <w:sz w:val="17"/>
                <w:szCs w:val="17"/>
                <w:color w:val="auto"/>
                <w:w w:val="93"/>
              </w:rPr>
              <w:t>*</w:t>
            </w:r>
          </w:p>
        </w:tc>
      </w:tr>
      <w:tr>
        <w:trPr>
          <w:trHeight w:val="223"/>
        </w:trPr>
        <w:tc>
          <w:tcPr>
            <w:tcW w:w="10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contained in Exhibit 101)</w:t>
            </w:r>
          </w:p>
        </w:tc>
        <w:tc>
          <w:tcPr>
            <w:tcW w:w="2320" w:type="dxa"/>
            <w:vAlign w:val="bottom"/>
          </w:tcPr>
          <w:p>
            <w:pPr>
              <w:spacing w:after="0"/>
              <w:rPr>
                <w:sz w:val="19"/>
                <w:szCs w:val="19"/>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1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3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Furnished herewith.</w:t>
      </w:r>
    </w:p>
    <w:p>
      <w:pPr>
        <w:spacing w:after="0" w:line="4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Indicates management contract or compensatory plan.</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36" w:right="659"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60" w:lineRule="exact"/>
        <w:rPr>
          <w:sz w:val="20"/>
          <w:szCs w:val="20"/>
          <w:color w:val="auto"/>
        </w:rPr>
      </w:pPr>
    </w:p>
    <w:p>
      <w:pPr>
        <w:ind w:right="180" w:firstLine="387"/>
        <w:spacing w:after="0" w:line="318"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6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311" w:lineRule="exact"/>
        <w:rPr>
          <w:sz w:val="20"/>
          <w:szCs w:val="20"/>
          <w:color w:val="auto"/>
        </w:rPr>
      </w:pPr>
    </w:p>
    <w:p>
      <w:pPr>
        <w:ind w:left="20"/>
        <w:spacing w:after="0"/>
        <w:tabs>
          <w:tab w:leader="none" w:pos="880" w:val="left"/>
          <w:tab w:leader="none" w:pos="6080" w:val="left"/>
          <w:tab w:leader="none" w:pos="6560" w:val="left"/>
        </w:tabs>
        <w:rPr>
          <w:sz w:val="20"/>
          <w:szCs w:val="20"/>
          <w:color w:val="auto"/>
        </w:rPr>
      </w:pPr>
      <w:r>
        <w:rPr>
          <w:rFonts w:ascii="Arial" w:cs="Arial" w:eastAsia="Arial" w:hAnsi="Arial"/>
          <w:sz w:val="17"/>
          <w:szCs w:val="17"/>
          <w:color w:val="auto"/>
        </w:rPr>
        <w:t>Date:</w:t>
      </w:r>
      <w:r>
        <w:rPr>
          <w:sz w:val="20"/>
          <w:szCs w:val="20"/>
          <w:color w:val="auto"/>
        </w:rPr>
        <w:tab/>
      </w:r>
      <w:r>
        <w:rPr>
          <w:rFonts w:ascii="Times New Roman" w:cs="Times New Roman" w:eastAsia="Times New Roman" w:hAnsi="Times New Roman"/>
          <w:sz w:val="17"/>
          <w:szCs w:val="17"/>
          <w:color w:val="auto"/>
        </w:rPr>
        <w:t>November 03, 2022</w:t>
      </w:r>
      <w:r>
        <w:rPr>
          <w:sz w:val="20"/>
          <w:szCs w:val="20"/>
          <w:color w:val="auto"/>
        </w:rPr>
        <w:tab/>
      </w:r>
      <w:r>
        <w:rPr>
          <w:rFonts w:ascii="Times New Roman" w:cs="Times New Roman" w:eastAsia="Times New Roman" w:hAnsi="Times New Roman"/>
          <w:sz w:val="17"/>
          <w:szCs w:val="17"/>
          <w:color w:val="auto"/>
        </w:rPr>
        <w:t>By:</w:t>
        <w:tab/>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33655</wp:posOffset>
            </wp:positionV>
            <wp:extent cx="29718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1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Name:</w:t>
      </w:r>
    </w:p>
    <w:p>
      <w:pPr>
        <w:spacing w:after="0" w:line="6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Wu</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03" w:lineRule="exact"/>
        <w:rPr>
          <w:sz w:val="20"/>
          <w:szCs w:val="20"/>
          <w:color w:val="auto"/>
        </w:rPr>
      </w:pPr>
    </w:p>
    <w:p>
      <w:pPr>
        <w:sectPr>
          <w:pgSz w:w="11900" w:h="16838" w:orient="portrait"/>
          <w:cols w:equalWidth="0" w:num="2">
            <w:col w:w="7040" w:space="440"/>
            <w:col w:w="376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3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November 03, 2022</w:t>
            </w:r>
          </w:p>
        </w:tc>
        <w:tc>
          <w:tcPr>
            <w:tcW w:w="710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By:   /s/ Carrie Wheeler</w:t>
            </w:r>
          </w:p>
        </w:tc>
      </w:tr>
      <w:tr>
        <w:trPr>
          <w:trHeight w:val="23"/>
        </w:trPr>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64"/>
        </w:trPr>
        <w:tc>
          <w:tcPr>
            <w:tcW w:w="6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Carrie Wheeler</w:t>
            </w:r>
          </w:p>
        </w:tc>
      </w:tr>
      <w:tr>
        <w:trPr>
          <w:trHeight w:val="258"/>
        </w:trPr>
        <w:tc>
          <w:tcPr>
            <w:tcW w:w="6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364"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82" w:lineRule="exact"/>
        <w:rPr>
          <w:sz w:val="20"/>
          <w:szCs w:val="20"/>
          <w:color w:val="auto"/>
        </w:rPr>
      </w:pPr>
    </w:p>
    <w:p>
      <w:pPr>
        <w:jc w:val="center"/>
        <w:spacing w:after="0" w:line="328"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EXCHANGE ACT RULES 13a-14(a) AND 15d-14(a) 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Wu, certify that:</w:t>
      </w:r>
    </w:p>
    <w:p>
      <w:pPr>
        <w:spacing w:after="0" w:line="217" w:lineRule="exact"/>
        <w:rPr>
          <w:sz w:val="20"/>
          <w:szCs w:val="20"/>
          <w:color w:val="auto"/>
        </w:rPr>
      </w:pPr>
    </w:p>
    <w:p>
      <w:pPr>
        <w:ind w:left="320" w:hanging="317"/>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Opendoor Technologies, Inc.;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40" w:right="140" w:hanging="318"/>
        <w:spacing w:after="0" w:line="270" w:lineRule="auto"/>
        <w:tabs>
          <w:tab w:leader="none" w:pos="9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right="20" w:hanging="317"/>
        <w:spacing w:after="0" w:line="287"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00"/>
        <w:spacing w:after="0"/>
        <w:tabs>
          <w:tab w:leader="none" w:pos="5020" w:val="left"/>
          <w:tab w:leader="none" w:pos="5620" w:val="left"/>
        </w:tabs>
        <w:rPr>
          <w:sz w:val="20"/>
          <w:szCs w:val="20"/>
          <w:color w:val="auto"/>
        </w:rPr>
      </w:pPr>
      <w:r>
        <w:rPr>
          <w:rFonts w:ascii="Times New Roman" w:cs="Times New Roman" w:eastAsia="Times New Roman" w:hAnsi="Times New Roman"/>
          <w:sz w:val="17"/>
          <w:szCs w:val="17"/>
          <w:color w:val="auto"/>
        </w:rPr>
        <w:t>Date: November 03,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33655</wp:posOffset>
            </wp:positionV>
            <wp:extent cx="27590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Eric Wu</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91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AND 15d-14(a)</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Carrie Wheeler, certify that:</w:t>
      </w:r>
    </w:p>
    <w:p>
      <w:pPr>
        <w:spacing w:after="0" w:line="217" w:lineRule="exact"/>
        <w:rPr>
          <w:sz w:val="20"/>
          <w:szCs w:val="20"/>
          <w:color w:val="auto"/>
        </w:rPr>
      </w:pPr>
    </w:p>
    <w:p>
      <w:pPr>
        <w:ind w:left="320" w:hanging="317"/>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Opendoor Technologies, Inc.;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40" w:right="140" w:hanging="318"/>
        <w:spacing w:after="0" w:line="270"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right="20" w:hanging="317"/>
        <w:spacing w:after="0" w:line="287"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00"/>
        <w:spacing w:after="0"/>
        <w:tabs>
          <w:tab w:leader="none" w:pos="5020" w:val="left"/>
          <w:tab w:leader="none" w:pos="5620" w:val="left"/>
        </w:tabs>
        <w:rPr>
          <w:sz w:val="20"/>
          <w:szCs w:val="20"/>
          <w:color w:val="auto"/>
        </w:rPr>
      </w:pPr>
      <w:r>
        <w:rPr>
          <w:rFonts w:ascii="Times New Roman" w:cs="Times New Roman" w:eastAsia="Times New Roman" w:hAnsi="Times New Roman"/>
          <w:sz w:val="17"/>
          <w:szCs w:val="17"/>
          <w:color w:val="auto"/>
        </w:rPr>
        <w:t>Date: November 03,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33655</wp:posOffset>
            </wp:positionV>
            <wp:extent cx="27590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Carrie Wheeler</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91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FINANCIAL OFFICER</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connection with the Quarterly Report on Form 10-Q of Opendoor Technologies Inc. (the “Company”) for the period ended September 30, 2022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197" w:lineRule="exact"/>
        <w:rPr>
          <w:sz w:val="20"/>
          <w:szCs w:val="20"/>
          <w:color w:val="auto"/>
        </w:rPr>
      </w:pPr>
    </w:p>
    <w:p>
      <w:pPr>
        <w:ind w:left="320" w:hanging="317"/>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03,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33655</wp:posOffset>
            </wp:positionV>
            <wp:extent cx="2816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Eric Wu</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03,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33655</wp:posOffset>
            </wp:positionV>
            <wp:extent cx="2816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Carrie Wheeler</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decimal"/>
      <w:start w:val="5"/>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6"/>
    </w:lvl>
  </w:abstractNum>
  <w:abstractNum w:abstractNumId="12">
    <w:nsid w:val="519B500D"/>
    <w:multiLevelType w:val="hybridMultilevel"/>
    <w:lvl w:ilvl="0">
      <w:lvlJc w:val="left"/>
      <w:lvlText w:val="%1."/>
      <w:numFmt w:val="decimal"/>
      <w:start w:val="7"/>
    </w:lvl>
  </w:abstractNum>
  <w:abstractNum w:abstractNumId="13">
    <w:nsid w:val="431BD7B7"/>
    <w:multiLevelType w:val="hybridMultilevel"/>
    <w:lvl w:ilvl="0">
      <w:lvlJc w:val="left"/>
      <w:lvlText w:val="%1."/>
      <w:numFmt w:val="decimal"/>
      <w:start w:val="8"/>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8"/>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90" Type="http://schemas.openxmlformats.org/officeDocument/2006/relationships/hyperlink" Target="http://www.sec.gov/Archives/edgar/data/1801169/000110465920105791/tm2030935d1_ex2-1.htm" TargetMode="External"/><Relationship Id="rId91" Type="http://schemas.openxmlformats.org/officeDocument/2006/relationships/hyperlink" Target="http://www.sec.gov/Archives/edgar/data/1801169/000110465920137517/tm2038661d2_ex3-1.htm" TargetMode="External"/><Relationship Id="rId94" Type="http://schemas.openxmlformats.org/officeDocument/2006/relationships/hyperlink" Target="https://www.sec.gov/Archives/edgar/data/1801169/000110465921004379/tm2038271d12_ex3-3.htm" TargetMode="External"/><Relationship Id="rId95" Type="http://schemas.openxmlformats.org/officeDocument/2006/relationships/hyperlink" Target="http://www.sec.gov/Archives/edgar/data/1801169/000110465920122215/tm2030455d5_ex4-5.htm" TargetMode="External"/><Relationship Id="rId96" Type="http://schemas.openxmlformats.org/officeDocument/2006/relationships/hyperlink" Target="https://www.sec.gov/Archives/edgar/data/1801169/000180116922000079/exhibit992opendoor-warrant.htm" TargetMode="External"/><Relationship Id="rId97" Type="http://schemas.openxmlformats.org/officeDocument/2006/relationships/hyperlink" Target="https://www.sec.gov/Archives/edgar/data/1801169/000180116922000083/exhibit991opendoortechnolo.htm" TargetMode="External"/><Relationship Id="rId98" Type="http://schemas.openxmlformats.org/officeDocument/2006/relationships/hyperlink" Target="https://www.sec.gov/Archives/edgar/data/1801169/000180116922000083/exhibit992formofrestricted.htm" TargetMode="External"/><Relationship Id="rId99" Type="http://schemas.openxmlformats.org/officeDocument/2006/relationships/hyperlink" Target="https://www.sec.gov/Archives/edgar/data/1801169/000180116922000083/exhibit993formofstockop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2022-11-03T16:54:23Z</dcterms:created>
  <dcterms:modified xsi:type="dcterms:W3CDTF">2022-11-03T16:54:23Z</dcterms:modified>
</cp:coreProperties>
</file>