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8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ALFRED MICHAEL</w:t>
              </w:r>
            </w:hyperlink>
          </w:p>
        </w:tc>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Opendoor Technologies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OPEN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860" w:type="dxa"/>
            <w:vAlign w:val="bottom"/>
            <w:tcBorders>
              <w:bottom w:val="single" w:sz="8" w:color="0000EE"/>
            </w:tcBorders>
            <w:gridSpan w:val="2"/>
            <w:vMerge w:val="continue"/>
          </w:tcPr>
          <w:p>
            <w:pPr>
              <w:spacing w:after="0"/>
              <w:rPr>
                <w:sz w:val="5"/>
                <w:szCs w:val="5"/>
                <w:color w:val="auto"/>
              </w:rPr>
            </w:pPr>
          </w:p>
        </w:tc>
        <w:tc>
          <w:tcPr>
            <w:tcW w:w="17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0" w:type="dxa"/>
            <w:vAlign w:val="bottom"/>
            <w:tcBorders>
              <w:top w:val="single" w:sz="8" w:color="0000EE"/>
              <w:bottom w:val="single" w:sz="8" w:color="0000EE"/>
            </w:tcBorders>
            <w:vMerge w:val="restart"/>
          </w:tcPr>
          <w:p>
            <w:pPr>
              <w:spacing w:after="0"/>
              <w:rPr>
                <w:sz w:val="20"/>
                <w:szCs w:val="20"/>
                <w:color w:val="auto"/>
              </w:rPr>
            </w:pPr>
            <w:r>
              <w:rPr>
                <w:rFonts w:ascii="Arial" w:cs="Arial" w:eastAsia="Arial" w:hAnsi="Arial"/>
                <w:sz w:val="13"/>
                <w:szCs w:val="13"/>
                <w:color w:val="auto"/>
              </w:rPr>
              <w:t>Foreign Trading Symbol</w:t>
            </w:r>
          </w:p>
        </w:tc>
        <w:tc>
          <w:tcPr>
            <w:tcW w:w="134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40" w:type="dxa"/>
            <w:vAlign w:val="bottom"/>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7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1080" w:type="dxa"/>
            <w:vAlign w:val="bottom"/>
            <w:tcBorders>
              <w:top w:val="single" w:sz="8" w:color="EEEEEE"/>
            </w:tcBorders>
          </w:tcPr>
          <w:p>
            <w:pPr>
              <w:spacing w:after="0"/>
              <w:rPr>
                <w:sz w:val="4"/>
                <w:szCs w:val="4"/>
                <w:color w:val="auto"/>
              </w:rPr>
            </w:pPr>
          </w:p>
        </w:tc>
        <w:tc>
          <w:tcPr>
            <w:tcW w:w="17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080" w:type="dxa"/>
            <w:vAlign w:val="bottom"/>
          </w:tcPr>
          <w:p>
            <w:pPr>
              <w:ind w:left="440"/>
              <w:spacing w:after="0"/>
              <w:rPr>
                <w:sz w:val="20"/>
                <w:szCs w:val="20"/>
                <w:color w:val="auto"/>
              </w:rPr>
            </w:pPr>
            <w:r>
              <w:rPr>
                <w:rFonts w:ascii="Arial" w:cs="Arial" w:eastAsia="Arial" w:hAnsi="Arial"/>
                <w:sz w:val="13"/>
                <w:szCs w:val="13"/>
                <w:color w:val="auto"/>
              </w:rPr>
              <w:t>(First)</w:t>
            </w:r>
          </w:p>
        </w:tc>
        <w:tc>
          <w:tcPr>
            <w:tcW w:w="1780" w:type="dxa"/>
            <w:vAlign w:val="bottom"/>
          </w:tcPr>
          <w:p>
            <w:pPr>
              <w:ind w:left="5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1295 WEST WASHINGTON STREET, SUITE 115</w:t>
            </w:r>
          </w:p>
        </w:tc>
        <w:tc>
          <w:tcPr>
            <w:tcW w:w="25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10/29/2026</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4"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0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TEMPE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AZ</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85288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10/29/2026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45,268</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center"/>
              <w:ind w:left="69"/>
              <w:spacing w:after="0"/>
              <w:rPr>
                <w:sz w:val="20"/>
                <w:szCs w:val="20"/>
                <w:color w:val="auto"/>
              </w:rPr>
            </w:pPr>
            <w:r>
              <w:rPr>
                <w:rFonts w:ascii="Times New Roman" w:cs="Times New Roman" w:eastAsia="Times New Roman" w:hAnsi="Times New Roman"/>
                <w:sz w:val="17"/>
                <w:szCs w:val="17"/>
                <w:color w:val="0000FF"/>
              </w:rPr>
              <w:t>45,268</w:t>
            </w:r>
          </w:p>
        </w:tc>
        <w:tc>
          <w:tcPr>
            <w:tcW w:w="940" w:type="dxa"/>
            <w:vAlign w:val="bottom"/>
            <w:tcBorders>
              <w:bottom w:val="single" w:sz="8" w:color="2C2C2C"/>
            </w:tcBorders>
          </w:tcPr>
          <w:p>
            <w:pPr>
              <w:jc w:val="center"/>
              <w:ind w:right="3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10/30/2026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12,566</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center"/>
              <w:ind w:left="69"/>
              <w:spacing w:after="0"/>
              <w:rPr>
                <w:sz w:val="20"/>
                <w:szCs w:val="20"/>
                <w:color w:val="auto"/>
              </w:rPr>
            </w:pPr>
            <w:r>
              <w:rPr>
                <w:rFonts w:ascii="Times New Roman" w:cs="Times New Roman" w:eastAsia="Times New Roman" w:hAnsi="Times New Roman"/>
                <w:sz w:val="17"/>
                <w:szCs w:val="17"/>
                <w:color w:val="0000FF"/>
              </w:rPr>
              <w:t>57,834</w:t>
            </w:r>
          </w:p>
        </w:tc>
        <w:tc>
          <w:tcPr>
            <w:tcW w:w="940" w:type="dxa"/>
            <w:vAlign w:val="bottom"/>
            <w:tcBorders>
              <w:bottom w:val="single" w:sz="8" w:color="2C2C2C"/>
            </w:tcBorders>
          </w:tcPr>
          <w:p>
            <w:pPr>
              <w:jc w:val="center"/>
              <w:ind w:right="3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vMerge w:val="restart"/>
          </w:tcPr>
          <w:p>
            <w:pPr>
              <w:jc w:val="center"/>
              <w:ind w:left="49"/>
              <w:spacing w:after="0"/>
              <w:rPr>
                <w:sz w:val="20"/>
                <w:szCs w:val="20"/>
                <w:color w:val="auto"/>
              </w:rPr>
            </w:pPr>
            <w:r>
              <w:rPr>
                <w:rFonts w:ascii="Times New Roman" w:cs="Times New Roman" w:eastAsia="Times New Roman" w:hAnsi="Times New Roman"/>
                <w:sz w:val="17"/>
                <w:szCs w:val="17"/>
                <w:color w:val="0000FF"/>
              </w:rPr>
              <w:t>7,000,000</w:t>
            </w:r>
          </w:p>
        </w:tc>
        <w:tc>
          <w:tcPr>
            <w:tcW w:w="940" w:type="dxa"/>
            <w:vAlign w:val="bottom"/>
            <w:vMerge w:val="restart"/>
          </w:tcPr>
          <w:p>
            <w:pPr>
              <w:jc w:val="center"/>
              <w:ind w:right="53"/>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Alpine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Fox</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equal number of restricted stock unit ("RSU") award granted to the Reporting Person pursuant to the Issuer's non-employee director compensation policy and subject to time-based vesting. Each RSU represents a contingent right to receive one share of the Issuer's common stock. The RSUs fully vest on the earlier to occur of (a) the date of the Issuer's next annual meeting of stockholders or (b) the first anniversary of the date of grant, in each case subject to the Reporting Person's continued service to the Issuer as a non-employee director through the applicable vesting date.</w:t>
      </w:r>
    </w:p>
    <w:p>
      <w:pPr>
        <w:spacing w:after="0" w:line="20"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basis of the Reporting Person's relationship with Alpine Fox LP, the Reporting Person may be deemed a beneficial owner of the Issuer's common stock held by Alpine Fox LP. The Reporting Person disclaims beneficial ownership of the shares of the Issuer's common stock held by Alpine Fox LP, except to the extent of his pecuniary interest therein.</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Rishi Kotiya,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11/02/2026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16739" TargetMode="External"/><Relationship Id="rId14" Type="http://schemas.openxmlformats.org/officeDocument/2006/relationships/hyperlink" Target="http://www.sec.gov/cgi-bin/browse-edgar?action=getcompany&amp;CIK=00018011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2026-11-02T15:31:47Z</dcterms:created>
  <dcterms:modified xsi:type="dcterms:W3CDTF">2026-11-02T15:31:47Z</dcterms:modified>
</cp:coreProperties>
</file>