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3" w:lineRule="exact"/>
        <w:rPr>
          <w:sz w:val="24"/>
          <w:szCs w:val="24"/>
          <w:color w:val="auto"/>
        </w:rPr>
      </w:pPr>
    </w:p>
    <w:p>
      <w:pPr>
        <w:ind w:left="340" w:right="1760" w:hanging="258"/>
        <w:spacing w:after="0" w:line="386" w:lineRule="auto"/>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320" w:hanging="245"/>
        <w:spacing w:after="0"/>
        <w:tabs>
          <w:tab w:leader="none" w:pos="3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0"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___________ to 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001-39253</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Opendoor Technologies Inc.</w:t>
      </w:r>
    </w:p>
    <w:p>
      <w:pPr>
        <w:sectPr>
          <w:pgSz w:w="11900" w:h="16838" w:orient="portrait"/>
          <w:cols w:equalWidth="0" w:num="1">
            <w:col w:w="11240"/>
          </w:cols>
          <w:pgMar w:left="320" w:top="247" w:right="339" w:bottom="1440" w:gutter="0" w:footer="0" w:header="0"/>
        </w:sectPr>
      </w:pPr>
    </w:p>
    <w:p>
      <w:pPr>
        <w:spacing w:after="0" w:line="397" w:lineRule="exact"/>
        <w:rPr>
          <w:sz w:val="24"/>
          <w:szCs w:val="24"/>
          <w:color w:val="auto"/>
        </w:rPr>
      </w:pPr>
    </w:p>
    <w:p>
      <w:pPr>
        <w:jc w:val="center"/>
        <w:ind w:left="1160"/>
        <w:spacing w:after="0"/>
        <w:rPr>
          <w:sz w:val="20"/>
          <w:szCs w:val="20"/>
          <w:color w:val="auto"/>
        </w:rPr>
      </w:pPr>
      <w:r>
        <w:rPr>
          <w:rFonts w:ascii="Arial" w:cs="Arial" w:eastAsia="Arial" w:hAnsi="Arial"/>
          <w:sz w:val="18"/>
          <w:szCs w:val="18"/>
          <w:b w:val="1"/>
          <w:bCs w:val="1"/>
          <w:color w:val="auto"/>
        </w:rPr>
        <w:t>Delaware</w:t>
      </w:r>
    </w:p>
    <w:p>
      <w:pPr>
        <w:spacing w:after="0" w:line="108" w:lineRule="exact"/>
        <w:rPr>
          <w:sz w:val="24"/>
          <w:szCs w:val="24"/>
          <w:color w:val="auto"/>
        </w:rPr>
      </w:pPr>
    </w:p>
    <w:p>
      <w:pPr>
        <w:jc w:val="both"/>
        <w:ind w:left="1160" w:firstLine="38"/>
        <w:spacing w:after="0" w:line="376"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jc w:val="center"/>
        <w:ind w:left="-3059"/>
        <w:spacing w:after="0"/>
        <w:rPr>
          <w:sz w:val="20"/>
          <w:szCs w:val="20"/>
          <w:color w:val="auto"/>
        </w:rPr>
      </w:pPr>
      <w:r>
        <w:rPr>
          <w:rFonts w:ascii="Arial" w:cs="Arial" w:eastAsia="Arial" w:hAnsi="Arial"/>
          <w:sz w:val="18"/>
          <w:szCs w:val="18"/>
          <w:b w:val="1"/>
          <w:bCs w:val="1"/>
          <w:color w:val="auto"/>
        </w:rPr>
        <w:t>98-1515020</w:t>
      </w:r>
    </w:p>
    <w:p>
      <w:pPr>
        <w:spacing w:after="0" w:line="67" w:lineRule="exact"/>
        <w:rPr>
          <w:sz w:val="24"/>
          <w:szCs w:val="24"/>
          <w:color w:val="auto"/>
        </w:rPr>
      </w:pPr>
    </w:p>
    <w:p>
      <w:pPr>
        <w:jc w:val="center"/>
        <w:ind w:left="-3059"/>
        <w:spacing w:after="0"/>
        <w:rPr>
          <w:sz w:val="20"/>
          <w:szCs w:val="20"/>
          <w:color w:val="auto"/>
        </w:rPr>
      </w:pPr>
      <w:r>
        <w:rPr>
          <w:rFonts w:ascii="Arial" w:cs="Arial" w:eastAsia="Arial" w:hAnsi="Arial"/>
          <w:sz w:val="16"/>
          <w:szCs w:val="16"/>
          <w:color w:val="auto"/>
        </w:rPr>
        <w:t>(I.R.S. Employer Identification No.)</w:t>
      </w:r>
    </w:p>
    <w:p>
      <w:pPr>
        <w:spacing w:after="0" w:line="434" w:lineRule="exact"/>
        <w:rPr>
          <w:sz w:val="24"/>
          <w:szCs w:val="24"/>
          <w:color w:val="auto"/>
        </w:rPr>
      </w:pPr>
    </w:p>
    <w:p>
      <w:pPr>
        <w:sectPr>
          <w:pgSz w:w="11900" w:h="16838" w:orient="portrait"/>
          <w:cols w:equalWidth="0" w:num="2">
            <w:col w:w="3320" w:space="440"/>
            <w:col w:w="7480"/>
          </w:cols>
          <w:pgMar w:left="320" w:top="247" w:right="339" w:bottom="1440" w:gutter="0" w:footer="0" w:header="0"/>
          <w:type w:val="continuous"/>
        </w:sectPr>
      </w:pPr>
    </w:p>
    <w:p>
      <w:pPr>
        <w:ind w:left="540"/>
        <w:spacing w:after="0"/>
        <w:tabs>
          <w:tab w:leader="none" w:pos="2880" w:val="left"/>
        </w:tabs>
        <w:rPr>
          <w:sz w:val="20"/>
          <w:szCs w:val="20"/>
          <w:color w:val="auto"/>
        </w:rPr>
      </w:pPr>
      <w:r>
        <w:rPr>
          <w:rFonts w:ascii="Arial" w:cs="Arial" w:eastAsia="Arial" w:hAnsi="Arial"/>
          <w:sz w:val="18"/>
          <w:szCs w:val="18"/>
          <w:b w:val="1"/>
          <w:bCs w:val="1"/>
          <w:color w:val="auto"/>
        </w:rPr>
        <w:t>410 N. Scottsdale Road,</w:t>
      </w:r>
      <w:r>
        <w:rPr>
          <w:sz w:val="20"/>
          <w:szCs w:val="20"/>
          <w:color w:val="auto"/>
        </w:rPr>
        <w:tab/>
      </w:r>
      <w:r>
        <w:rPr>
          <w:rFonts w:ascii="Arial" w:cs="Arial" w:eastAsia="Arial" w:hAnsi="Arial"/>
          <w:sz w:val="16"/>
          <w:szCs w:val="16"/>
          <w:b w:val="1"/>
          <w:bCs w:val="1"/>
          <w:color w:val="auto"/>
        </w:rPr>
        <w:t>Suite 1600</w:t>
      </w:r>
    </w:p>
    <w:p>
      <w:pPr>
        <w:spacing w:after="0" w:line="63" w:lineRule="exact"/>
        <w:rPr>
          <w:sz w:val="24"/>
          <w:szCs w:val="24"/>
          <w:color w:val="auto"/>
        </w:rPr>
      </w:pPr>
    </w:p>
    <w:p>
      <w:pPr>
        <w:ind w:left="1660"/>
        <w:spacing w:after="0"/>
        <w:tabs>
          <w:tab w:leader="none" w:pos="8960" w:val="left"/>
        </w:tabs>
        <w:rPr>
          <w:sz w:val="20"/>
          <w:szCs w:val="20"/>
          <w:color w:val="auto"/>
        </w:rPr>
      </w:pPr>
      <w:r>
        <w:rPr>
          <w:rFonts w:ascii="Arial" w:cs="Arial" w:eastAsia="Arial" w:hAnsi="Arial"/>
          <w:sz w:val="18"/>
          <w:szCs w:val="18"/>
          <w:b w:val="1"/>
          <w:bCs w:val="1"/>
          <w:color w:val="auto"/>
        </w:rPr>
        <w:t>Tempe, AZ</w:t>
      </w:r>
      <w:r>
        <w:rPr>
          <w:sz w:val="20"/>
          <w:szCs w:val="20"/>
          <w:color w:val="auto"/>
        </w:rPr>
        <w:tab/>
      </w:r>
      <w:r>
        <w:rPr>
          <w:rFonts w:ascii="Arial" w:cs="Arial" w:eastAsia="Arial" w:hAnsi="Arial"/>
          <w:sz w:val="15"/>
          <w:szCs w:val="15"/>
          <w:b w:val="1"/>
          <w:bCs w:val="1"/>
          <w:color w:val="auto"/>
        </w:rPr>
        <w:t>85281</w:t>
      </w:r>
    </w:p>
    <w:p>
      <w:pPr>
        <w:spacing w:after="0" w:line="67" w:lineRule="exact"/>
        <w:rPr>
          <w:sz w:val="24"/>
          <w:szCs w:val="24"/>
          <w:color w:val="auto"/>
        </w:rPr>
      </w:pPr>
    </w:p>
    <w:p>
      <w:pPr>
        <w:ind w:left="780"/>
        <w:spacing w:after="0"/>
        <w:tabs>
          <w:tab w:leader="none" w:pos="87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896-6737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p>
      <w:pPr>
        <w:ind w:left="1580"/>
        <w:spacing w:after="0"/>
        <w:tabs>
          <w:tab w:leader="none" w:pos="4880" w:val="left"/>
          <w:tab w:leader="none" w:pos="72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7" w:lineRule="exact"/>
        <w:rPr>
          <w:sz w:val="24"/>
          <w:szCs w:val="24"/>
          <w:color w:val="auto"/>
        </w:rPr>
      </w:pPr>
    </w:p>
    <w:p>
      <w:pPr>
        <w:ind w:left="680"/>
        <w:spacing w:after="0"/>
        <w:tabs>
          <w:tab w:leader="none" w:pos="5360" w:val="left"/>
          <w:tab w:leader="none" w:pos="7820" w:val="left"/>
        </w:tabs>
        <w:rPr>
          <w:sz w:val="20"/>
          <w:szCs w:val="20"/>
          <w:color w:val="auto"/>
        </w:rPr>
      </w:pPr>
      <w:r>
        <w:rPr>
          <w:rFonts w:ascii="Arial" w:cs="Arial" w:eastAsia="Arial" w:hAnsi="Arial"/>
          <w:sz w:val="18"/>
          <w:szCs w:val="18"/>
          <w:color w:val="auto"/>
        </w:rPr>
        <w:t>Common stock, $0.0001 par value per share</w:t>
      </w:r>
      <w:r>
        <w:rPr>
          <w:sz w:val="20"/>
          <w:szCs w:val="20"/>
          <w:color w:val="auto"/>
        </w:rPr>
        <w:tab/>
      </w:r>
      <w:r>
        <w:rPr>
          <w:rFonts w:ascii="Arial" w:cs="Arial" w:eastAsia="Arial" w:hAnsi="Arial"/>
          <w:sz w:val="18"/>
          <w:szCs w:val="18"/>
          <w:color w:val="auto"/>
        </w:rPr>
        <w:t>OPEN</w:t>
      </w:r>
      <w:r>
        <w:rPr>
          <w:sz w:val="20"/>
          <w:szCs w:val="20"/>
          <w:color w:val="auto"/>
        </w:rPr>
        <w:tab/>
      </w:r>
      <w:r>
        <w:rPr>
          <w:rFonts w:ascii="Arial" w:cs="Arial" w:eastAsia="Arial" w:hAnsi="Arial"/>
          <w:sz w:val="16"/>
          <w:szCs w:val="16"/>
          <w:color w:val="auto"/>
        </w:rPr>
        <w:t>The Nasdaq Stock Market LLC</w:t>
      </w:r>
    </w:p>
    <w:p>
      <w:pPr>
        <w:spacing w:after="0" w:line="63" w:lineRule="exact"/>
        <w:rPr>
          <w:sz w:val="24"/>
          <w:szCs w:val="24"/>
          <w:color w:val="auto"/>
        </w:rPr>
      </w:pPr>
    </w:p>
    <w:p>
      <w:pPr>
        <w:ind w:left="960"/>
        <w:spacing w:after="0"/>
        <w:tabs>
          <w:tab w:leader="none" w:pos="5280" w:val="left"/>
          <w:tab w:leader="none" w:pos="7820" w:val="left"/>
        </w:tabs>
        <w:rPr>
          <w:sz w:val="20"/>
          <w:szCs w:val="20"/>
          <w:color w:val="auto"/>
        </w:rPr>
      </w:pPr>
      <w:r>
        <w:rPr>
          <w:rFonts w:ascii="Arial" w:cs="Arial" w:eastAsia="Arial" w:hAnsi="Arial"/>
          <w:sz w:val="18"/>
          <w:szCs w:val="18"/>
          <w:color w:val="auto"/>
        </w:rPr>
        <w:t>Warrants to purchase common stock</w:t>
      </w:r>
      <w:r>
        <w:rPr>
          <w:sz w:val="20"/>
          <w:szCs w:val="20"/>
          <w:color w:val="auto"/>
        </w:rPr>
        <w:tab/>
      </w:r>
      <w:r>
        <w:rPr>
          <w:rFonts w:ascii="Arial" w:cs="Arial" w:eastAsia="Arial" w:hAnsi="Arial"/>
          <w:sz w:val="18"/>
          <w:szCs w:val="18"/>
          <w:color w:val="auto"/>
        </w:rPr>
        <w:t>OPENW</w:t>
      </w:r>
      <w:r>
        <w:rPr>
          <w:sz w:val="20"/>
          <w:szCs w:val="20"/>
          <w:color w:val="auto"/>
        </w:rPr>
        <w:tab/>
      </w:r>
      <w:r>
        <w:rPr>
          <w:rFonts w:ascii="Arial" w:cs="Arial" w:eastAsia="Arial" w:hAnsi="Arial"/>
          <w:sz w:val="16"/>
          <w:szCs w:val="16"/>
          <w:color w:val="auto"/>
        </w:rPr>
        <w:t>The Nasdaq Stock Market LLC</w:t>
      </w:r>
    </w:p>
    <w:p>
      <w:pPr>
        <w:spacing w:after="0" w:line="30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23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23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Emerging growth company</w:t>
            </w:r>
          </w:p>
        </w:tc>
        <w:tc>
          <w:tcPr>
            <w:tcW w:w="23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r>
      <w:tr>
        <w:trPr>
          <w:trHeight w:val="1134"/>
        </w:trPr>
        <w:tc>
          <w:tcPr>
            <w:tcW w:w="31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8" w:lineRule="exact"/>
        <w:rPr>
          <w:sz w:val="20"/>
          <w:szCs w:val="20"/>
          <w:color w:val="auto"/>
        </w:rPr>
      </w:pPr>
    </w:p>
    <w:p>
      <w:pPr>
        <w:ind w:right="19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May 5, 2021 was approximately 577,694,841.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6377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6377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ectPr>
          <w:pgSz w:w="11900" w:h="16838" w:orient="portrait"/>
          <w:cols w:equalWidth="0" w:num="1">
            <w:col w:w="11080"/>
          </w:cols>
          <w:pgMar w:left="320" w:top="139" w:right="4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auto"/>
            </w:tcBorders>
            <w:gridSpan w:val="3"/>
            <w:shd w:val="clear" w:color="auto" w:fill="CCEEFF"/>
          </w:tcPr>
          <w:p>
            <w:pPr>
              <w:spacing w:after="0" w:line="196" w:lineRule="exact"/>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 - FINANCIAL INFORMATION</w:t>
              </w:r>
            </w:hyperlink>
          </w:p>
        </w:tc>
        <w:tc>
          <w:tcPr>
            <w:tcW w:w="7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106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9440" w:type="dxa"/>
            <w:vAlign w:val="bottom"/>
            <w:gridSpan w:val="3"/>
          </w:tcPr>
          <w:p>
            <w:pPr>
              <w:ind w:left="260"/>
              <w:spacing w:after="0"/>
              <w:rPr>
                <w:rFonts w:ascii="Arial" w:cs="Arial" w:eastAsia="Arial" w:hAnsi="Arial"/>
                <w:sz w:val="18"/>
                <w:szCs w:val="18"/>
                <w:color w:val="auto"/>
              </w:rPr>
            </w:pPr>
            <w:hyperlink w:anchor="page6">
              <w:r>
                <w:rPr>
                  <w:rFonts w:ascii="Arial" w:cs="Arial" w:eastAsia="Arial" w:hAnsi="Arial"/>
                  <w:sz w:val="18"/>
                  <w:szCs w:val="18"/>
                  <w:color w:val="auto"/>
                </w:rPr>
                <w:t>Financial Statements</w:t>
              </w:r>
            </w:hyperlink>
          </w:p>
        </w:tc>
        <w:tc>
          <w:tcPr>
            <w:tcW w:w="7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Balance Sheets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Operations</w:t>
              </w:r>
            </w:hyperlink>
          </w:p>
        </w:tc>
        <w:tc>
          <w:tcPr>
            <w:tcW w:w="7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Comprehensive Loss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rFonts w:ascii="Arial" w:cs="Arial" w:eastAsia="Arial" w:hAnsi="Arial"/>
                <w:sz w:val="18"/>
                <w:szCs w:val="18"/>
                <w:color w:val="auto"/>
              </w:rPr>
            </w:pPr>
            <w:hyperlink w:anchor="page9">
              <w:r>
                <w:rPr>
                  <w:rFonts w:ascii="Arial" w:cs="Arial" w:eastAsia="Arial" w:hAnsi="Arial"/>
                  <w:sz w:val="18"/>
                  <w:szCs w:val="18"/>
                  <w:color w:val="auto"/>
                </w:rPr>
                <w:t>Condensed Consolidated Statements of Changes in Temporary Equity and Shareholders’ Equity (Deficit)</w:t>
              </w:r>
            </w:hyperlink>
          </w:p>
        </w:tc>
        <w:tc>
          <w:tcPr>
            <w:tcW w:w="7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10">
              <w:r>
                <w:rPr>
                  <w:rFonts w:ascii="Arial" w:cs="Arial" w:eastAsia="Arial" w:hAnsi="Arial"/>
                  <w:sz w:val="18"/>
                  <w:szCs w:val="18"/>
                  <w:color w:val="auto"/>
                </w:rPr>
                <w:t>Condensed Consolidated Statements of Cash Flows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8</w:t>
              </w:r>
            </w:hyperlink>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rFonts w:ascii="Arial" w:cs="Arial" w:eastAsia="Arial" w:hAnsi="Arial"/>
                <w:sz w:val="18"/>
                <w:szCs w:val="18"/>
                <w:color w:val="auto"/>
              </w:rPr>
            </w:pPr>
            <w:hyperlink w:anchor="page11">
              <w:r>
                <w:rPr>
                  <w:rFonts w:ascii="Arial" w:cs="Arial" w:eastAsia="Arial" w:hAnsi="Arial"/>
                  <w:sz w:val="18"/>
                  <w:szCs w:val="18"/>
                  <w:color w:val="auto"/>
                </w:rPr>
                <w:t>Notes to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Item 2.</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33">
              <w:r>
                <w:rPr>
                  <w:rFonts w:ascii="Arial" w:cs="Arial" w:eastAsia="Arial" w:hAnsi="Arial"/>
                  <w:sz w:val="18"/>
                  <w:szCs w:val="18"/>
                  <w:color w:val="auto"/>
                </w:rPr>
                <w:t>Management’s Discussion and Analysis of Financial Condition and Results of Operations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9440" w:type="dxa"/>
            <w:vAlign w:val="bottom"/>
            <w:gridSpan w:val="3"/>
          </w:tcPr>
          <w:p>
            <w:pPr>
              <w:ind w:left="260"/>
              <w:spacing w:after="0"/>
              <w:rPr>
                <w:rFonts w:ascii="Arial" w:cs="Arial" w:eastAsia="Arial" w:hAnsi="Arial"/>
                <w:sz w:val="18"/>
                <w:szCs w:val="18"/>
                <w:color w:val="auto"/>
              </w:rPr>
            </w:pPr>
            <w:hyperlink w:anchor="page51">
              <w:r>
                <w:rPr>
                  <w:rFonts w:ascii="Arial" w:cs="Arial" w:eastAsia="Arial" w:hAnsi="Arial"/>
                  <w:sz w:val="18"/>
                  <w:szCs w:val="18"/>
                  <w:color w:val="auto"/>
                </w:rPr>
                <w:t>Quantitative and Qualitative Disclosures About Market Risk</w:t>
              </w:r>
            </w:hyperlink>
          </w:p>
        </w:tc>
        <w:tc>
          <w:tcPr>
            <w:tcW w:w="7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2">
              <w:r>
                <w:rPr>
                  <w:rFonts w:ascii="Arial" w:cs="Arial" w:eastAsia="Arial" w:hAnsi="Arial"/>
                  <w:sz w:val="18"/>
                  <w:szCs w:val="18"/>
                  <w:color w:val="auto"/>
                </w:rPr>
                <w:t>Item 4.</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2">
              <w:r>
                <w:rPr>
                  <w:rFonts w:ascii="Arial" w:cs="Arial" w:eastAsia="Arial" w:hAnsi="Arial"/>
                  <w:sz w:val="18"/>
                  <w:szCs w:val="18"/>
                  <w:color w:val="auto"/>
                </w:rPr>
                <w:t>Controls and Procedures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r>
      <w:tr>
        <w:trPr>
          <w:trHeight w:val="257"/>
        </w:trPr>
        <w:tc>
          <w:tcPr>
            <w:tcW w:w="20" w:type="dxa"/>
            <w:vAlign w:val="bottom"/>
          </w:tcPr>
          <w:p>
            <w:pPr>
              <w:spacing w:after="0"/>
              <w:rPr>
                <w:sz w:val="22"/>
                <w:szCs w:val="22"/>
                <w:color w:val="auto"/>
              </w:rPr>
            </w:pPr>
          </w:p>
        </w:tc>
        <w:tc>
          <w:tcPr>
            <w:tcW w:w="28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auto"/>
            </w:tcBorders>
            <w:gridSpan w:val="2"/>
            <w:shd w:val="clear" w:color="auto" w:fill="CCEEFF"/>
          </w:tcPr>
          <w:p>
            <w:pPr>
              <w:spacing w:after="0"/>
              <w:rPr>
                <w:rFonts w:ascii="Arial" w:cs="Arial" w:eastAsia="Arial" w:hAnsi="Arial"/>
                <w:sz w:val="18"/>
                <w:szCs w:val="18"/>
                <w:b w:val="1"/>
                <w:bCs w:val="1"/>
                <w:color w:val="auto"/>
              </w:rPr>
            </w:pPr>
            <w:hyperlink w:anchor="page54">
              <w:r>
                <w:rPr>
                  <w:rFonts w:ascii="Arial" w:cs="Arial" w:eastAsia="Arial" w:hAnsi="Arial"/>
                  <w:sz w:val="18"/>
                  <w:szCs w:val="18"/>
                  <w:b w:val="1"/>
                  <w:bCs w:val="1"/>
                  <w:color w:val="auto"/>
                </w:rPr>
                <w:t>PART II - OTHER INFORMATION</w:t>
              </w:r>
            </w:hyperlink>
          </w:p>
        </w:tc>
        <w:tc>
          <w:tcPr>
            <w:tcW w:w="7660" w:type="dxa"/>
            <w:vAlign w:val="bottom"/>
            <w:tcBorders>
              <w:bottom w:val="single" w:sz="8" w:color="CCEEFF"/>
            </w:tcBorders>
            <w:gridSpan w:val="2"/>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1.</w:t>
              </w:r>
            </w:hyperlink>
          </w:p>
        </w:tc>
        <w:tc>
          <w:tcPr>
            <w:tcW w:w="9440" w:type="dxa"/>
            <w:vAlign w:val="bottom"/>
            <w:gridSpan w:val="3"/>
          </w:tcPr>
          <w:p>
            <w:pPr>
              <w:ind w:left="260"/>
              <w:spacing w:after="0"/>
              <w:rPr>
                <w:rFonts w:ascii="Arial" w:cs="Arial" w:eastAsia="Arial" w:hAnsi="Arial"/>
                <w:sz w:val="18"/>
                <w:szCs w:val="18"/>
                <w:color w:val="auto"/>
              </w:rPr>
            </w:pPr>
            <w:hyperlink w:anchor="page55">
              <w:r>
                <w:rPr>
                  <w:rFonts w:ascii="Arial" w:cs="Arial" w:eastAsia="Arial" w:hAnsi="Arial"/>
                  <w:sz w:val="18"/>
                  <w:szCs w:val="18"/>
                  <w:color w:val="auto"/>
                </w:rPr>
                <w:t>Legal Proceedings</w:t>
              </w:r>
            </w:hyperlink>
          </w:p>
        </w:tc>
        <w:tc>
          <w:tcPr>
            <w:tcW w:w="7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1A.</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5">
              <w:r>
                <w:rPr>
                  <w:rFonts w:ascii="Arial" w:cs="Arial" w:eastAsia="Arial" w:hAnsi="Arial"/>
                  <w:sz w:val="18"/>
                  <w:szCs w:val="18"/>
                  <w:color w:val="auto"/>
                </w:rPr>
                <w:t>Risk Factors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2.</w:t>
              </w:r>
            </w:hyperlink>
          </w:p>
        </w:tc>
        <w:tc>
          <w:tcPr>
            <w:tcW w:w="9440" w:type="dxa"/>
            <w:vAlign w:val="bottom"/>
            <w:gridSpan w:val="3"/>
          </w:tcPr>
          <w:p>
            <w:pPr>
              <w:ind w:left="260"/>
              <w:spacing w:after="0"/>
              <w:rPr>
                <w:rFonts w:ascii="Arial" w:cs="Arial" w:eastAsia="Arial" w:hAnsi="Arial"/>
                <w:sz w:val="18"/>
                <w:szCs w:val="18"/>
                <w:color w:val="auto"/>
              </w:rPr>
            </w:pPr>
            <w:hyperlink w:anchor="page56">
              <w:r>
                <w:rPr>
                  <w:rFonts w:ascii="Arial" w:cs="Arial" w:eastAsia="Arial" w:hAnsi="Arial"/>
                  <w:sz w:val="18"/>
                  <w:szCs w:val="18"/>
                  <w:color w:val="auto"/>
                </w:rPr>
                <w:t>Unregistered Sales of Equity Securities and Use of Proceeds</w:t>
              </w:r>
            </w:hyperlink>
          </w:p>
        </w:tc>
        <w:tc>
          <w:tcPr>
            <w:tcW w:w="7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3.</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6">
              <w:r>
                <w:rPr>
                  <w:rFonts w:ascii="Arial" w:cs="Arial" w:eastAsia="Arial" w:hAnsi="Arial"/>
                  <w:sz w:val="18"/>
                  <w:szCs w:val="18"/>
                  <w:color w:val="auto"/>
                </w:rPr>
                <w:t>Defaults Upon Senior Securities</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4.</w:t>
              </w:r>
            </w:hyperlink>
          </w:p>
        </w:tc>
        <w:tc>
          <w:tcPr>
            <w:tcW w:w="9440" w:type="dxa"/>
            <w:vAlign w:val="bottom"/>
            <w:gridSpan w:val="3"/>
          </w:tcPr>
          <w:p>
            <w:pPr>
              <w:ind w:left="260"/>
              <w:spacing w:after="0"/>
              <w:rPr>
                <w:rFonts w:ascii="Arial" w:cs="Arial" w:eastAsia="Arial" w:hAnsi="Arial"/>
                <w:sz w:val="18"/>
                <w:szCs w:val="18"/>
                <w:color w:val="auto"/>
              </w:rPr>
            </w:pPr>
            <w:hyperlink w:anchor="page56">
              <w:r>
                <w:rPr>
                  <w:rFonts w:ascii="Arial" w:cs="Arial" w:eastAsia="Arial" w:hAnsi="Arial"/>
                  <w:sz w:val="18"/>
                  <w:szCs w:val="18"/>
                  <w:color w:val="auto"/>
                </w:rPr>
                <w:t>Mine Safety Disclosures</w:t>
              </w:r>
            </w:hyperlink>
          </w:p>
        </w:tc>
        <w:tc>
          <w:tcPr>
            <w:tcW w:w="7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5.</w:t>
              </w:r>
            </w:hyperlink>
          </w:p>
        </w:tc>
        <w:tc>
          <w:tcPr>
            <w:tcW w:w="9440" w:type="dxa"/>
            <w:vAlign w:val="bottom"/>
            <w:tcBorders>
              <w:bottom w:val="single" w:sz="8" w:color="CCEEFF"/>
            </w:tcBorders>
            <w:gridSpan w:val="3"/>
            <w:shd w:val="clear" w:color="auto" w:fill="CCEEFF"/>
          </w:tcPr>
          <w:p>
            <w:pPr>
              <w:ind w:left="260"/>
              <w:spacing w:after="0"/>
              <w:rPr>
                <w:rFonts w:ascii="Arial" w:cs="Arial" w:eastAsia="Arial" w:hAnsi="Arial"/>
                <w:sz w:val="18"/>
                <w:szCs w:val="18"/>
                <w:color w:val="auto"/>
              </w:rPr>
            </w:pPr>
            <w:hyperlink w:anchor="page56">
              <w:r>
                <w:rPr>
                  <w:rFonts w:ascii="Arial" w:cs="Arial" w:eastAsia="Arial" w:hAnsi="Arial"/>
                  <w:sz w:val="18"/>
                  <w:szCs w:val="18"/>
                  <w:color w:val="auto"/>
                </w:rPr>
                <w:t>Other Information</w:t>
              </w:r>
            </w:hyperlink>
          </w:p>
        </w:tc>
        <w:tc>
          <w:tcPr>
            <w:tcW w:w="7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rFonts w:ascii="Arial" w:cs="Arial" w:eastAsia="Arial" w:hAnsi="Arial"/>
                <w:sz w:val="18"/>
                <w:szCs w:val="18"/>
                <w:color w:val="auto"/>
              </w:rPr>
            </w:pPr>
            <w:hyperlink w:anchor="page57">
              <w:r>
                <w:rPr>
                  <w:rFonts w:ascii="Arial" w:cs="Arial" w:eastAsia="Arial" w:hAnsi="Arial"/>
                  <w:sz w:val="18"/>
                  <w:szCs w:val="18"/>
                  <w:color w:val="auto"/>
                </w:rPr>
                <w:t>Item 6.</w:t>
              </w:r>
            </w:hyperlink>
          </w:p>
        </w:tc>
        <w:tc>
          <w:tcPr>
            <w:tcW w:w="9440" w:type="dxa"/>
            <w:vAlign w:val="bottom"/>
            <w:gridSpan w:val="3"/>
          </w:tcPr>
          <w:p>
            <w:pPr>
              <w:ind w:left="260"/>
              <w:spacing w:after="0"/>
              <w:rPr>
                <w:rFonts w:ascii="Arial" w:cs="Arial" w:eastAsia="Arial" w:hAnsi="Arial"/>
                <w:sz w:val="18"/>
                <w:szCs w:val="18"/>
                <w:color w:val="auto"/>
              </w:rPr>
            </w:pPr>
            <w:hyperlink w:anchor="page57">
              <w:r>
                <w:rPr>
                  <w:rFonts w:ascii="Arial" w:cs="Arial" w:eastAsia="Arial" w:hAnsi="Arial"/>
                  <w:sz w:val="18"/>
                  <w:szCs w:val="18"/>
                  <w:color w:val="auto"/>
                </w:rPr>
                <w:t>Exhibits</w:t>
              </w:r>
            </w:hyperlink>
          </w:p>
        </w:tc>
        <w:tc>
          <w:tcPr>
            <w:tcW w:w="7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40" w:type="dxa"/>
            <w:vAlign w:val="bottom"/>
            <w:gridSpan w:val="3"/>
            <w:shd w:val="clear" w:color="auto" w:fill="CCEEFF"/>
          </w:tcPr>
          <w:p>
            <w:pPr>
              <w:ind w:left="260"/>
              <w:spacing w:after="0"/>
              <w:rPr>
                <w:rFonts w:ascii="Arial" w:cs="Arial" w:eastAsia="Arial" w:hAnsi="Arial"/>
                <w:sz w:val="18"/>
                <w:szCs w:val="18"/>
                <w:color w:val="auto"/>
              </w:rPr>
            </w:pPr>
            <w:hyperlink w:anchor="page58">
              <w:r>
                <w:rPr>
                  <w:rFonts w:ascii="Arial" w:cs="Arial" w:eastAsia="Arial" w:hAnsi="Arial"/>
                  <w:sz w:val="18"/>
                  <w:szCs w:val="18"/>
                  <w:color w:val="auto"/>
                </w:rPr>
                <w:t>Signatures</w:t>
              </w:r>
            </w:hyperlink>
          </w:p>
        </w:tc>
        <w:tc>
          <w:tcPr>
            <w:tcW w:w="720" w:type="dxa"/>
            <w:vAlign w:val="bottom"/>
            <w:shd w:val="clear" w:color="auto" w:fill="CCEEFF"/>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27"/>
        </w:trPr>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66776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766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-3659505</wp:posOffset>
            </wp:positionV>
            <wp:extent cx="6677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8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a result of the Business Combination completed on December 18, 2020, Opendoor Labs Inc. share and per share amounts presented in this Quarterly Report on Form 10-Q, for periods prior to the Business Combination, have been retroactively converted by application of the exchange ratio of 1.618. For more information regarding the business combination, please see “</w:t>
      </w:r>
      <w:r>
        <w:rPr>
          <w:rFonts w:ascii="Arial" w:cs="Arial" w:eastAsia="Arial" w:hAnsi="Arial"/>
          <w:sz w:val="18"/>
          <w:szCs w:val="18"/>
          <w:i w:val="1"/>
          <w:iCs w:val="1"/>
          <w:color w:val="auto"/>
        </w:rPr>
        <w:t>Part I – Item2.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The Business Combination</w:t>
      </w:r>
      <w:r>
        <w:rPr>
          <w:rFonts w:ascii="Arial" w:cs="Arial" w:eastAsia="Arial" w:hAnsi="Arial"/>
          <w:sz w:val="18"/>
          <w:szCs w:val="18"/>
          <w:color w:val="auto"/>
        </w:rPr>
        <w:t>”.</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expectations regarding the impact of COVID-19; market opportunity and expansion and objectives of management for future operations, including our statements regarding the benefits and timing of the roll out of new markets, products, or technology; and efforts to remediate our material weaknesses in internal control over financial reporting, are forward-looking statements. When used in this Quarterly Report on Form 10-Q,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22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92"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our material weaknesses;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health of the U.S. residential real estate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our real estate assets and increased competition in the U.S. residential real estate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9" w:lineRule="exact"/>
        <w:rPr>
          <w:rFonts w:ascii="Arial" w:cs="Arial" w:eastAsia="Arial" w:hAnsi="Arial"/>
          <w:sz w:val="18"/>
          <w:szCs w:val="18"/>
          <w:color w:val="auto"/>
        </w:rPr>
      </w:pPr>
    </w:p>
    <w:p>
      <w:pPr>
        <w:ind w:left="900" w:right="400" w:hanging="244"/>
        <w:spacing w:after="0" w:line="250" w:lineRule="auto"/>
        <w:tabs>
          <w:tab w:leader="none" w:pos="89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including debt financing and securitization funding to finance our real estate inventories and other sources of capital to finance operations and growth;</w:t>
      </w: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 including our automated pricing and valuation technology;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success of our strategic relationships with third parties;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in this Quarterly Report on Form 10-Q.</w:t>
      </w:r>
    </w:p>
    <w:p>
      <w:pPr>
        <w:spacing w:after="0" w:line="23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the “Risk Factors” section of this Quarterly Report on Form 10-Q and on Part I. Item 1A “ Risk Factors” in our Annual Report on Form 10-K for the year ended December 31, 2020 (the “Annual Report”),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(In thousands, except </w:t>
      </w:r>
      <w:r>
        <w:rPr>
          <w:rFonts w:ascii="Arial" w:cs="Arial" w:eastAsia="Arial" w:hAnsi="Arial"/>
          <w:sz w:val="17"/>
          <w:szCs w:val="17"/>
          <w:color w:val="auto"/>
        </w:rPr>
        <w:t>s</w:t>
      </w:r>
      <w:r>
        <w:rPr>
          <w:rFonts w:ascii="Arial" w:cs="Arial" w:eastAsia="Arial" w:hAnsi="Arial"/>
          <w:sz w:val="16"/>
          <w:szCs w:val="16"/>
          <w:color w:val="auto"/>
        </w:rPr>
        <w:t>hare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2,039,876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1,412,665</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143,311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92,863</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58,619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47,637</w:t>
            </w: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7,529</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Escrow receivable</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19,264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840,632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465,936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 ($414 and $373 carried at fair value)</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33,292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24,987</w:t>
            </w:r>
          </w:p>
        </w:tc>
        <w:tc>
          <w:tcPr>
            <w:tcW w:w="0" w:type="dxa"/>
            <w:vAlign w:val="bottom"/>
          </w:tcPr>
          <w:p>
            <w:pPr>
              <w:spacing w:after="0"/>
              <w:rPr>
                <w:sz w:val="1"/>
                <w:szCs w:val="1"/>
                <w:color w:val="auto"/>
              </w:rPr>
            </w:pPr>
          </w:p>
        </w:tc>
      </w:tr>
      <w:tr>
        <w:trPr>
          <w:trHeight w:val="184"/>
        </w:trPr>
        <w:tc>
          <w:tcPr>
            <w:tcW w:w="802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7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3,143,301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2,053,111</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31,042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29,228</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47,114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49,517</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8,684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 ($10,000 and $0 carried at fair value)</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0" w:type="dxa"/>
            <w:vAlign w:val="bottom"/>
          </w:tcPr>
          <w:p>
            <w:pPr>
              <w:spacing w:after="0"/>
              <w:rPr>
                <w:sz w:val="1"/>
                <w:szCs w:val="1"/>
                <w:color w:val="auto"/>
              </w:rPr>
            </w:pPr>
          </w:p>
        </w:tc>
      </w:tr>
      <w:tr>
        <w:trPr>
          <w:trHeight w:val="102"/>
        </w:trPr>
        <w:tc>
          <w:tcPr>
            <w:tcW w:w="8020" w:type="dxa"/>
            <w:vAlign w:val="bottom"/>
          </w:tcPr>
          <w:p>
            <w:pPr>
              <w:ind w:left="20"/>
              <w:spacing w:after="0" w:line="102" w:lineRule="exact"/>
              <w:rPr>
                <w:sz w:val="20"/>
                <w:szCs w:val="20"/>
                <w:color w:val="auto"/>
              </w:rPr>
            </w:pPr>
            <w:r>
              <w:rPr>
                <w:rFonts w:ascii="Arial" w:cs="Arial" w:eastAsia="Arial" w:hAnsi="Arial"/>
                <w:sz w:val="11"/>
                <w:szCs w:val="11"/>
                <w:color w:val="auto"/>
              </w:rPr>
              <w:t>TOTAL ASSETS</w:t>
            </w:r>
          </w:p>
        </w:tc>
        <w:tc>
          <w:tcPr>
            <w:tcW w:w="720" w:type="dxa"/>
            <w:vAlign w:val="bottom"/>
            <w:vMerge w:val="restart"/>
          </w:tcPr>
          <w:p>
            <w:pPr>
              <w:jc w:val="right"/>
              <w:ind w:right="233"/>
              <w:spacing w:after="0"/>
              <w:rPr>
                <w:sz w:val="20"/>
                <w:szCs w:val="20"/>
                <w:color w:val="auto"/>
              </w:rPr>
            </w:pPr>
            <w:r>
              <w:rPr>
                <w:rFonts w:ascii="Arial" w:cs="Arial" w:eastAsia="Arial" w:hAnsi="Arial"/>
                <w:sz w:val="9"/>
                <w:szCs w:val="9"/>
                <w:color w:val="auto"/>
              </w:rPr>
              <w:t>(1)</w:t>
            </w:r>
          </w:p>
        </w:tc>
        <w:tc>
          <w:tcPr>
            <w:tcW w:w="1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1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3,271,712</w:t>
            </w:r>
          </w:p>
        </w:tc>
        <w:tc>
          <w:tcPr>
            <w:tcW w:w="100" w:type="dxa"/>
            <w:vAlign w:val="bottom"/>
          </w:tcPr>
          <w:p>
            <w:pPr>
              <w:spacing w:after="0"/>
              <w:rPr>
                <w:sz w:val="8"/>
                <w:szCs w:val="8"/>
                <w:color w:val="auto"/>
              </w:rPr>
            </w:pPr>
          </w:p>
        </w:tc>
        <w:tc>
          <w:tcPr>
            <w:tcW w:w="30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2,175,582</w:t>
            </w:r>
          </w:p>
        </w:tc>
        <w:tc>
          <w:tcPr>
            <w:tcW w:w="0" w:type="dxa"/>
            <w:vAlign w:val="bottom"/>
          </w:tcPr>
          <w:p>
            <w:pPr>
              <w:spacing w:after="0"/>
              <w:rPr>
                <w:sz w:val="1"/>
                <w:szCs w:val="1"/>
                <w:color w:val="auto"/>
              </w:rPr>
            </w:pPr>
          </w:p>
        </w:tc>
      </w:tr>
      <w:tr>
        <w:trPr>
          <w:trHeight w:val="28"/>
        </w:trPr>
        <w:tc>
          <w:tcPr>
            <w:tcW w:w="8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8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SHAREHOLDERS’ EQUITY</w:t>
            </w: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25,270</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Current portion of credit facilities and other secured borrowings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596,563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346,322</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payable</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Lease liabilities, current portion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20,716</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643,694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393,389</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CREDIT FACILITIES – Net of current portion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136,473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135,467</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 LIABILITIES</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62,621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47,349</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46,625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16"/>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Pr>
          <w:p>
            <w:pPr>
              <w:jc w:val="right"/>
              <w:ind w:right="233"/>
              <w:spacing w:after="0"/>
              <w:rPr>
                <w:sz w:val="20"/>
                <w:szCs w:val="20"/>
                <w:color w:val="auto"/>
              </w:rPr>
            </w:pPr>
            <w:r>
              <w:rPr>
                <w:rFonts w:ascii="Arial" w:cs="Arial" w:eastAsia="Arial" w:hAnsi="Arial"/>
                <w:sz w:val="9"/>
                <w:szCs w:val="9"/>
                <w:color w:val="auto"/>
              </w:rPr>
              <w:t>(2)</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888,151</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622,924</w:t>
            </w:r>
          </w:p>
        </w:tc>
        <w:tc>
          <w:tcPr>
            <w:tcW w:w="0" w:type="dxa"/>
            <w:vAlign w:val="bottom"/>
          </w:tcPr>
          <w:p>
            <w:pPr>
              <w:spacing w:after="0"/>
              <w:rPr>
                <w:sz w:val="1"/>
                <w:szCs w:val="1"/>
                <w:color w:val="auto"/>
              </w:rPr>
            </w:pPr>
          </w:p>
        </w:tc>
      </w:tr>
      <w:tr>
        <w:trPr>
          <w:trHeight w:val="82"/>
        </w:trPr>
        <w:tc>
          <w:tcPr>
            <w:tcW w:w="80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17)</w:t>
            </w: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$0.0001 par value; 3,000,000,000 shares authorized; 585,691,729 and 540,714,692 shares issued and outstanding,</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3,697,382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2,596,012</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(1,313,885)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(1,043,449)</w:t>
            </w: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shareholders’ equity</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2,383,561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1,552,658</w:t>
            </w: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3,271,712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2,175,582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31" w:lineRule="exact"/>
        <w:rPr>
          <w:sz w:val="20"/>
          <w:szCs w:val="20"/>
          <w:color w:val="auto"/>
        </w:rPr>
      </w:pPr>
    </w:p>
    <w:p>
      <w:pPr>
        <w:ind w:left="340" w:right="280" w:hanging="332"/>
        <w:spacing w:after="0" w:line="266"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assets at March 31, 2021 and December 31, 2020 include the following assets of certain variable interest entities (“VIEs”) that can only be used to settle the liabilities of those VIEs: Cash and cash equivalents, $9,108 and $15,849; Restricted cash, $133,887 and $81,408; Real estate inventory, net, $820,961 and $460,680; Escrow receivable, $18,839 and $1,364; Other current assets, $10,220 and $5,365; and Total assets of $993,015 and $564,666, respectively.</w:t>
      </w:r>
    </w:p>
    <w:p>
      <w:pPr>
        <w:spacing w:after="0" w:line="44" w:lineRule="exact"/>
        <w:rPr>
          <w:rFonts w:ascii="Arial" w:cs="Arial" w:eastAsia="Arial" w:hAnsi="Arial"/>
          <w:sz w:val="23"/>
          <w:szCs w:val="23"/>
          <w:color w:val="auto"/>
          <w:vertAlign w:val="superscript"/>
        </w:rPr>
      </w:pPr>
    </w:p>
    <w:p>
      <w:pPr>
        <w:ind w:left="340" w:right="40" w:hanging="332"/>
        <w:spacing w:after="0" w:line="259"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liabilities at March 31, 2021 and December 31, 2020 include the following liabilities for which the VIE creditors do not have recourse to Opendoor: Accounts payable and other accrued liabilities, $4,090 and $2,335; Interest payable, $1,220 and $1,059; Current portion of credit facilities and other secured borrowings, $588,774</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$339,173; Credit facilities, net of current portion, $136,473 and $135,467; and Total liabilities, $730,557 and $478,034, respectively.</w:t>
      </w:r>
    </w:p>
    <w:p>
      <w:pPr>
        <w:spacing w:after="0" w:line="200" w:lineRule="exact"/>
        <w:rPr>
          <w:sz w:val="20"/>
          <w:szCs w:val="20"/>
          <w:color w:val="auto"/>
        </w:rPr>
      </w:pPr>
    </w:p>
    <w:p>
      <w:pPr>
        <w:spacing w:after="0" w:line="33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39" w:right="1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1,255,795</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1,164,748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91,047</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marketing and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81,689</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29,583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37"/>
        </w:trPr>
        <w:tc>
          <w:tcPr>
            <w:tcW w:w="84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127,059</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(36,012)</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(27,727)</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INCOME –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(62,076)</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shareholders: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43"/>
        </w:trPr>
        <w:tc>
          <w:tcPr>
            <w:tcW w:w="8420" w:type="dxa"/>
            <w:vAlign w:val="bottom"/>
          </w:tcPr>
          <w:p>
            <w:pPr>
              <w:ind w:left="5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5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84,027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84,027</w:t>
            </w:r>
          </w:p>
        </w:tc>
        <w:tc>
          <w:tcPr>
            <w:tcW w:w="0" w:type="dxa"/>
            <w:vAlign w:val="bottom"/>
          </w:tcPr>
          <w:p>
            <w:pPr>
              <w:spacing w:after="0"/>
              <w:rPr>
                <w:sz w:val="1"/>
                <w:szCs w:val="1"/>
                <w:color w:val="auto"/>
              </w:rPr>
            </w:pPr>
          </w:p>
        </w:tc>
      </w:tr>
      <w:tr>
        <w:trPr>
          <w:trHeight w:val="27"/>
        </w:trPr>
        <w:tc>
          <w:tcPr>
            <w:tcW w:w="8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(270,471)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(62,495)</w:t>
            </w:r>
          </w:p>
        </w:tc>
      </w:tr>
      <w:tr>
        <w:trPr>
          <w:trHeight w:val="21"/>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40" w:type="dxa"/>
            <w:vAlign w:val="bottom"/>
            <w:gridSpan w:val="18"/>
          </w:tcPr>
          <w:p>
            <w:pPr>
              <w:ind w:left="80"/>
              <w:spacing w:after="0"/>
              <w:rPr>
                <w:sz w:val="20"/>
                <w:szCs w:val="20"/>
                <w:color w:val="auto"/>
              </w:rPr>
            </w:pPr>
            <w:r>
              <w:rPr>
                <w:rFonts w:ascii="Arial" w:cs="Arial" w:eastAsia="Arial" w:hAnsi="Arial"/>
                <w:sz w:val="18"/>
                <w:szCs w:val="18"/>
                <w:b w:val="1"/>
                <w:bCs w:val="1"/>
                <w:color w:val="auto"/>
              </w:rPr>
              <w:t>OPENDOOR TECHNOLOGIES INC.</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gridSpan w:val="47"/>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STATEMENTS OF CHANGES IN TEMPORARY</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29"/>
          </w:tcPr>
          <w:p>
            <w:pPr>
              <w:jc w:val="center"/>
              <w:ind w:right="126"/>
              <w:spacing w:after="0"/>
              <w:rPr>
                <w:sz w:val="20"/>
                <w:szCs w:val="20"/>
                <w:color w:val="auto"/>
              </w:rPr>
            </w:pPr>
            <w:r>
              <w:rPr>
                <w:rFonts w:ascii="Arial" w:cs="Arial" w:eastAsia="Arial" w:hAnsi="Arial"/>
                <w:sz w:val="18"/>
                <w:szCs w:val="18"/>
                <w:b w:val="1"/>
                <w:bCs w:val="1"/>
                <w:color w:val="auto"/>
              </w:rPr>
              <w:t>EQUITY AND SHAREHOLDERS’ EQUITY (DEFICIT)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16"/>
          </w:tcPr>
          <w:p>
            <w:pPr>
              <w:jc w:val="center"/>
              <w:ind w:left="50"/>
              <w:spacing w:after="0"/>
              <w:rPr>
                <w:sz w:val="20"/>
                <w:szCs w:val="20"/>
                <w:color w:val="auto"/>
              </w:rPr>
            </w:pPr>
            <w:r>
              <w:rPr>
                <w:rFonts w:ascii="Arial" w:cs="Arial" w:eastAsia="Arial" w:hAnsi="Arial"/>
                <w:sz w:val="16"/>
                <w:szCs w:val="16"/>
                <w:color w:val="auto"/>
                <w:w w:val="90"/>
              </w:rPr>
              <w:t>(In thousands, except number of shares)</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240" w:type="dxa"/>
            <w:vAlign w:val="bottom"/>
            <w:gridSpan w:val="70"/>
          </w:tcPr>
          <w:p>
            <w:pPr>
              <w:spacing w:after="0"/>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8"/>
          </w:tcPr>
          <w:p>
            <w:pPr>
              <w:ind w:left="40"/>
              <w:spacing w:after="0"/>
              <w:rPr>
                <w:sz w:val="20"/>
                <w:szCs w:val="20"/>
                <w:color w:val="auto"/>
              </w:rPr>
            </w:pPr>
            <w:r>
              <w:rPr>
                <w:rFonts w:ascii="Arial" w:cs="Arial" w:eastAsia="Arial" w:hAnsi="Arial"/>
                <w:sz w:val="11"/>
                <w:szCs w:val="11"/>
                <w:b w:val="1"/>
                <w:bCs w:val="1"/>
                <w:color w:val="auto"/>
                <w:w w:val="98"/>
              </w:rPr>
              <w:t>Temporary Equity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10"/>
          </w:tcPr>
          <w:p>
            <w:pPr>
              <w:jc w:val="right"/>
              <w:spacing w:after="0"/>
              <w:rPr>
                <w:sz w:val="20"/>
                <w:szCs w:val="20"/>
                <w:color w:val="auto"/>
              </w:rPr>
            </w:pPr>
            <w:r>
              <w:rPr>
                <w:rFonts w:ascii="Arial" w:cs="Arial" w:eastAsia="Arial" w:hAnsi="Arial"/>
                <w:sz w:val="11"/>
                <w:szCs w:val="11"/>
                <w:b w:val="1"/>
                <w:bCs w:val="1"/>
                <w:color w:val="auto"/>
                <w:w w:val="94"/>
              </w:rPr>
              <w:t>Shareholders’ Equity (Deficit)</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1"/>
              </w:rPr>
              <w:t>Series 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81"/>
              </w:rPr>
              <w:t>Series B</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8"/>
          </w:tcPr>
          <w:p>
            <w:pPr>
              <w:ind w:left="140"/>
              <w:spacing w:after="0"/>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86"/>
              </w:rPr>
              <w:t>Series D</w:t>
            </w:r>
          </w:p>
        </w:tc>
        <w:tc>
          <w:tcPr>
            <w:tcW w:w="80" w:type="dxa"/>
            <w:vAlign w:val="bottom"/>
          </w:tcPr>
          <w:p>
            <w:pPr>
              <w:spacing w:after="0"/>
              <w:rPr>
                <w:sz w:val="11"/>
                <w:szCs w:val="11"/>
                <w:color w:val="auto"/>
              </w:rPr>
            </w:pPr>
          </w:p>
        </w:tc>
        <w:tc>
          <w:tcPr>
            <w:tcW w:w="1320" w:type="dxa"/>
            <w:vAlign w:val="bottom"/>
            <w:tcBorders>
              <w:right w:val="single" w:sz="8" w:color="auto"/>
            </w:tcBorders>
            <w:gridSpan w:val="4"/>
          </w:tcPr>
          <w:p>
            <w:pPr>
              <w:jc w:val="center"/>
              <w:ind w:right="146"/>
              <w:spacing w:after="0"/>
              <w:rPr>
                <w:sz w:val="20"/>
                <w:szCs w:val="20"/>
                <w:color w:val="auto"/>
              </w:rPr>
            </w:pPr>
            <w:r>
              <w:rPr>
                <w:rFonts w:ascii="Arial" w:cs="Arial" w:eastAsia="Arial" w:hAnsi="Arial"/>
                <w:sz w:val="11"/>
                <w:szCs w:val="11"/>
                <w:b w:val="1"/>
                <w:bCs w:val="1"/>
                <w:color w:val="auto"/>
                <w:w w:val="82"/>
              </w:rPr>
              <w:t>Series E</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58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160" w:type="dxa"/>
            <w:vAlign w:val="bottom"/>
            <w:gridSpan w:val="8"/>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5"/>
            <w:vMerge w:val="restart"/>
          </w:tcPr>
          <w:p>
            <w:pPr>
              <w:jc w:val="center"/>
              <w:ind w:right="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8"/>
            <w:vMerge w:val="restart"/>
          </w:tcPr>
          <w:p>
            <w:pPr>
              <w:ind w:left="60"/>
              <w:spacing w:after="0" w:line="122" w:lineRule="exact"/>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6"/>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80" w:type="dxa"/>
            <w:vAlign w:val="bottom"/>
          </w:tcPr>
          <w:p>
            <w:pPr>
              <w:spacing w:after="0"/>
              <w:rPr>
                <w:sz w:val="5"/>
                <w:szCs w:val="5"/>
                <w:color w:val="auto"/>
              </w:rPr>
            </w:pPr>
          </w:p>
        </w:tc>
        <w:tc>
          <w:tcPr>
            <w:tcW w:w="1320" w:type="dxa"/>
            <w:vAlign w:val="bottom"/>
            <w:tcBorders>
              <w:right w:val="single" w:sz="8" w:color="auto"/>
            </w:tcBorders>
            <w:gridSpan w:val="4"/>
            <w:vMerge w:val="restart"/>
          </w:tcPr>
          <w:p>
            <w:pPr>
              <w:jc w:val="center"/>
              <w:ind w:right="146"/>
              <w:spacing w:after="0" w:line="122" w:lineRule="exact"/>
              <w:rPr>
                <w:sz w:val="20"/>
                <w:szCs w:val="20"/>
                <w:color w:val="auto"/>
              </w:rPr>
            </w:pPr>
            <w:r>
              <w:rPr>
                <w:rFonts w:ascii="Arial" w:cs="Arial" w:eastAsia="Arial" w:hAnsi="Arial"/>
                <w:sz w:val="11"/>
                <w:szCs w:val="11"/>
                <w:b w:val="1"/>
                <w:bCs w:val="1"/>
                <w:color w:val="auto"/>
                <w:w w:val="92"/>
              </w:rPr>
              <w:t>Convertible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16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Borders>
              <w:right w:val="single" w:sz="8" w:color="auto"/>
            </w:tcBorders>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5"/>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vMerge w:val="restart"/>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68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160" w:type="dxa"/>
            <w:vAlign w:val="bottom"/>
            <w:gridSpan w:val="8"/>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60" w:type="dxa"/>
            <w:vAlign w:val="bottom"/>
          </w:tcPr>
          <w:p>
            <w:pPr>
              <w:spacing w:after="0"/>
              <w:rPr>
                <w:sz w:val="5"/>
                <w:szCs w:val="5"/>
                <w:color w:val="auto"/>
              </w:rPr>
            </w:pPr>
          </w:p>
        </w:tc>
        <w:tc>
          <w:tcPr>
            <w:tcW w:w="920" w:type="dxa"/>
            <w:vAlign w:val="bottom"/>
            <w:gridSpan w:val="8"/>
            <w:vMerge w:val="restart"/>
          </w:tcPr>
          <w:p>
            <w:pPr>
              <w:jc w:val="center"/>
              <w:ind w:right="106"/>
              <w:spacing w:after="0"/>
              <w:rPr>
                <w:sz w:val="20"/>
                <w:szCs w:val="20"/>
                <w:color w:val="auto"/>
              </w:rPr>
            </w:pPr>
            <w:r>
              <w:rPr>
                <w:rFonts w:ascii="Arial" w:cs="Arial" w:eastAsia="Arial" w:hAnsi="Arial"/>
                <w:sz w:val="11"/>
                <w:szCs w:val="11"/>
                <w:b w:val="1"/>
                <w:bCs w:val="1"/>
                <w:color w:val="auto"/>
                <w:w w:val="87"/>
              </w:rPr>
              <w:t>Preferred Stock</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9"/>
            <w:vMerge w:val="restart"/>
          </w:tcPr>
          <w:p>
            <w:pPr>
              <w:jc w:val="right"/>
              <w:ind w:right="280"/>
              <w:spacing w:after="0"/>
              <w:rPr>
                <w:sz w:val="20"/>
                <w:szCs w:val="20"/>
                <w:color w:val="auto"/>
              </w:rPr>
            </w:pPr>
            <w:r>
              <w:rPr>
                <w:rFonts w:ascii="Arial" w:cs="Arial" w:eastAsia="Arial" w:hAnsi="Arial"/>
                <w:sz w:val="11"/>
                <w:szCs w:val="11"/>
                <w:b w:val="1"/>
                <w:bCs w:val="1"/>
                <w:color w:val="auto"/>
                <w:w w:val="92"/>
              </w:rPr>
              <w:t>Preferred Stock</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6"/>
            <w:vMerge w:val="restart"/>
          </w:tcPr>
          <w:p>
            <w:pPr>
              <w:jc w:val="center"/>
              <w:ind w:right="240"/>
              <w:spacing w:after="0"/>
              <w:rPr>
                <w:sz w:val="20"/>
                <w:szCs w:val="20"/>
                <w:color w:val="auto"/>
              </w:rPr>
            </w:pPr>
            <w:r>
              <w:rPr>
                <w:rFonts w:ascii="Arial" w:cs="Arial" w:eastAsia="Arial" w:hAnsi="Arial"/>
                <w:sz w:val="11"/>
                <w:szCs w:val="11"/>
                <w:b w:val="1"/>
                <w:bCs w:val="1"/>
                <w:color w:val="auto"/>
                <w:w w:val="90"/>
              </w:rPr>
              <w:t>Preferred Stock</w:t>
            </w:r>
          </w:p>
        </w:tc>
        <w:tc>
          <w:tcPr>
            <w:tcW w:w="80" w:type="dxa"/>
            <w:vAlign w:val="bottom"/>
          </w:tcPr>
          <w:p>
            <w:pPr>
              <w:spacing w:after="0"/>
              <w:rPr>
                <w:sz w:val="5"/>
                <w:szCs w:val="5"/>
                <w:color w:val="auto"/>
              </w:rPr>
            </w:pPr>
          </w:p>
        </w:tc>
        <w:tc>
          <w:tcPr>
            <w:tcW w:w="1320" w:type="dxa"/>
            <w:vAlign w:val="bottom"/>
            <w:tcBorders>
              <w:right w:val="single" w:sz="8" w:color="auto"/>
            </w:tcBorders>
            <w:gridSpan w:val="4"/>
            <w:vMerge w:val="restart"/>
          </w:tcPr>
          <w:p>
            <w:pPr>
              <w:jc w:val="center"/>
              <w:ind w:right="146"/>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5"/>
                <w:szCs w:val="5"/>
                <w:color w:val="auto"/>
              </w:rPr>
            </w:pPr>
          </w:p>
        </w:tc>
        <w:tc>
          <w:tcPr>
            <w:tcW w:w="92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w w:val="86"/>
              </w:rPr>
              <w:t>Common Stock</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6"/>
                <w:szCs w:val="6"/>
                <w:color w:val="auto"/>
              </w:rPr>
            </w:pPr>
          </w:p>
        </w:tc>
        <w:tc>
          <w:tcPr>
            <w:tcW w:w="116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gridSpan w:val="9"/>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4"/>
            <w:vMerge w:val="restart"/>
          </w:tcPr>
          <w:p>
            <w:pPr>
              <w:jc w:val="center"/>
              <w:ind w:right="160"/>
              <w:spacing w:after="0" w:line="89" w:lineRule="exact"/>
              <w:rPr>
                <w:sz w:val="20"/>
                <w:szCs w:val="20"/>
                <w:color w:val="auto"/>
              </w:rPr>
            </w:pPr>
            <w:r>
              <w:rPr>
                <w:rFonts w:ascii="Arial" w:cs="Arial" w:eastAsia="Arial" w:hAnsi="Arial"/>
                <w:sz w:val="10"/>
                <w:szCs w:val="10"/>
                <w:b w:val="1"/>
                <w:bCs w:val="1"/>
                <w:color w:val="auto"/>
              </w:rPr>
              <w:t>Paid-in</w:t>
            </w:r>
          </w:p>
        </w:tc>
        <w:tc>
          <w:tcPr>
            <w:tcW w:w="720" w:type="dxa"/>
            <w:vAlign w:val="bottom"/>
            <w:gridSpan w:val="5"/>
            <w:vMerge w:val="restart"/>
          </w:tcPr>
          <w:p>
            <w:pPr>
              <w:ind w:left="20"/>
              <w:spacing w:after="0" w:line="89"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5"/>
            <w:vMerge w:val="restart"/>
          </w:tcPr>
          <w:p>
            <w:pPr>
              <w:jc w:val="center"/>
              <w:ind w:right="10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00" w:type="dxa"/>
            <w:vAlign w:val="bottom"/>
          </w:tcPr>
          <w:p>
            <w:pPr>
              <w:spacing w:after="0"/>
              <w:rPr>
                <w:sz w:val="6"/>
                <w:szCs w:val="6"/>
                <w:color w:val="auto"/>
              </w:rPr>
            </w:pPr>
          </w:p>
        </w:tc>
        <w:tc>
          <w:tcPr>
            <w:tcW w:w="580" w:type="dxa"/>
            <w:vAlign w:val="bottom"/>
            <w:vMerge w:val="restart"/>
          </w:tcPr>
          <w:p>
            <w:pPr>
              <w:jc w:val="center"/>
              <w:ind w:right="46"/>
              <w:spacing w:after="0" w:line="89"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1080" w:type="dxa"/>
            <w:vAlign w:val="bottom"/>
            <w:tcBorders>
              <w:bottom w:val="single" w:sz="8" w:color="auto"/>
            </w:tcBorders>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right w:val="single" w:sz="8" w:color="auto"/>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4"/>
            <w:vMerge w:val="continue"/>
          </w:tcPr>
          <w:p>
            <w:pPr>
              <w:spacing w:after="0" w:line="20" w:lineRule="exact"/>
              <w:rPr>
                <w:sz w:val="1"/>
                <w:szCs w:val="1"/>
                <w:color w:val="auto"/>
              </w:rPr>
            </w:pPr>
          </w:p>
        </w:tc>
        <w:tc>
          <w:tcPr>
            <w:tcW w:w="720" w:type="dxa"/>
            <w:vAlign w:val="bottom"/>
            <w:gridSpan w:val="5"/>
            <w:vMerge w:val="continue"/>
          </w:tcPr>
          <w:p>
            <w:pPr>
              <w:spacing w:after="0" w:line="20" w:lineRule="exact"/>
              <w:rPr>
                <w:sz w:val="1"/>
                <w:szCs w:val="1"/>
                <w:color w:val="auto"/>
              </w:rPr>
            </w:pPr>
          </w:p>
        </w:tc>
        <w:tc>
          <w:tcPr>
            <w:tcW w:w="86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56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20" w:type="dxa"/>
            <w:vAlign w:val="bottom"/>
            <w:gridSpan w:val="5"/>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gridSpan w:val="4"/>
          </w:tcPr>
          <w:p>
            <w:pPr>
              <w:ind w:left="120"/>
              <w:spacing w:after="0"/>
              <w:rPr>
                <w:sz w:val="20"/>
                <w:szCs w:val="20"/>
                <w:color w:val="auto"/>
              </w:rPr>
            </w:pPr>
            <w:r>
              <w:rPr>
                <w:rFonts w:ascii="Arial" w:cs="Arial" w:eastAsia="Arial" w:hAnsi="Arial"/>
                <w:sz w:val="11"/>
                <w:szCs w:val="11"/>
                <w:b w:val="1"/>
                <w:bCs w:val="1"/>
                <w:color w:val="auto"/>
                <w:w w:val="97"/>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5"/>
          </w:tcPr>
          <w:p>
            <w:pPr>
              <w:ind w:left="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5"/>
          </w:tcPr>
          <w:p>
            <w:pPr>
              <w:jc w:val="right"/>
              <w:ind w:right="140"/>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Pr>
          <w:p>
            <w:pPr>
              <w:spacing w:after="0"/>
              <w:rPr>
                <w:sz w:val="12"/>
                <w:szCs w:val="12"/>
                <w:color w:val="auto"/>
              </w:rPr>
            </w:pPr>
          </w:p>
        </w:tc>
        <w:tc>
          <w:tcPr>
            <w:tcW w:w="56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2"/>
                <w:szCs w:val="12"/>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2"/>
                <w:szCs w:val="12"/>
                <w:color w:val="auto"/>
              </w:rPr>
            </w:pP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ind w:left="40"/>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640" w:type="dxa"/>
            <w:vAlign w:val="bottom"/>
            <w:gridSpan w:val="4"/>
          </w:tcPr>
          <w:p>
            <w:pPr>
              <w:ind w:left="80"/>
              <w:spacing w:after="0"/>
              <w:rPr>
                <w:sz w:val="20"/>
                <w:szCs w:val="20"/>
                <w:color w:val="auto"/>
              </w:rPr>
            </w:pPr>
            <w:r>
              <w:rPr>
                <w:rFonts w:ascii="Arial" w:cs="Arial" w:eastAsia="Arial" w:hAnsi="Arial"/>
                <w:sz w:val="11"/>
                <w:szCs w:val="11"/>
                <w:b w:val="1"/>
                <w:bCs w:val="1"/>
                <w:color w:val="auto"/>
              </w:rPr>
              <w:t>Deficit</w:t>
            </w:r>
          </w:p>
        </w:tc>
        <w:tc>
          <w:tcPr>
            <w:tcW w:w="8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5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right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7080" w:type="dxa"/>
            <w:vAlign w:val="bottom"/>
            <w:tcBorders>
              <w:right w:val="single" w:sz="8" w:color="auto"/>
            </w:tcBorders>
            <w:gridSpan w:val="43"/>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w:t>
            </w:r>
          </w:p>
        </w:tc>
        <w:tc>
          <w:tcPr>
            <w:tcW w:w="4160" w:type="dxa"/>
            <w:vAlign w:val="bottom"/>
            <w:gridSpan w:val="2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80" w:type="dxa"/>
            <w:vAlign w:val="bottom"/>
            <w:tcBorders>
              <w:right w:val="single" w:sz="8" w:color="auto"/>
            </w:tcBorders>
            <w:gridSpan w:val="43"/>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4160" w:type="dxa"/>
            <w:vAlign w:val="bottom"/>
            <w:gridSpan w:val="2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2019</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0"/>
              </w:rPr>
              <w:t>40,089,513</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w w:val="79"/>
              </w:rPr>
              <w:t>9,763</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w w:val="87"/>
              </w:rPr>
              <w:t>23,840,816</w:t>
            </w: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1"/>
                <w:szCs w:val="11"/>
                <w:color w:val="auto"/>
              </w:rPr>
              <w:t>$ 20,049</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1"/>
                <w:szCs w:val="11"/>
                <w:color w:val="auto"/>
              </w:rPr>
              <w:t>29,070,700</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1"/>
                <w:szCs w:val="11"/>
                <w:color w:val="auto"/>
                <w:w w:val="83"/>
              </w:rPr>
              <w:t>$ 80,519</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w w:val="83"/>
              </w:rPr>
              <w:t>63,470,884</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3"/>
            <w:shd w:val="clear" w:color="auto" w:fill="CCEEFF"/>
          </w:tcPr>
          <w:p>
            <w:pPr>
              <w:jc w:val="right"/>
              <w:ind w:right="9"/>
              <w:spacing w:after="0"/>
              <w:rPr>
                <w:sz w:val="20"/>
                <w:szCs w:val="20"/>
                <w:color w:val="auto"/>
              </w:rPr>
            </w:pPr>
            <w:r>
              <w:rPr>
                <w:rFonts w:ascii="Arial" w:cs="Arial" w:eastAsia="Arial" w:hAnsi="Arial"/>
                <w:sz w:val="11"/>
                <w:szCs w:val="11"/>
                <w:color w:val="auto"/>
                <w:w w:val="85"/>
              </w:rPr>
              <w:t>$ 257,951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w w:val="88"/>
              </w:rPr>
              <w:t>157,952,523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right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85"/>
              </w:rPr>
              <w:t>1,013,220</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83,748,443</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57,362</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(790,483)</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(733,103)</w:t>
            </w:r>
          </w:p>
        </w:tc>
        <w:tc>
          <w:tcPr>
            <w:tcW w:w="0" w:type="dxa"/>
            <w:vAlign w:val="bottom"/>
          </w:tcPr>
          <w:p>
            <w:pPr>
              <w:spacing w:after="0"/>
              <w:rPr>
                <w:sz w:val="1"/>
                <w:szCs w:val="1"/>
                <w:color w:val="auto"/>
              </w:rPr>
            </w:pPr>
          </w:p>
        </w:tc>
      </w:tr>
      <w:tr>
        <w:trPr>
          <w:trHeight w:val="139"/>
        </w:trPr>
        <w:tc>
          <w:tcPr>
            <w:tcW w:w="7080" w:type="dxa"/>
            <w:vAlign w:val="bottom"/>
            <w:tcBorders>
              <w:right w:val="single" w:sz="8" w:color="auto"/>
            </w:tcBorders>
            <w:gridSpan w:val="43"/>
          </w:tcPr>
          <w:p>
            <w:pPr>
              <w:ind w:left="20"/>
              <w:spacing w:after="0"/>
              <w:rPr>
                <w:sz w:val="20"/>
                <w:szCs w:val="20"/>
                <w:color w:val="auto"/>
              </w:rPr>
            </w:pPr>
            <w:r>
              <w:rPr>
                <w:rFonts w:ascii="Arial" w:cs="Arial" w:eastAsia="Arial" w:hAnsi="Arial"/>
                <w:sz w:val="11"/>
                <w:szCs w:val="11"/>
                <w:color w:val="auto"/>
                <w:w w:val="94"/>
              </w:rPr>
              <w:t>Vesting of restricted</w:t>
            </w:r>
          </w:p>
        </w:tc>
        <w:tc>
          <w:tcPr>
            <w:tcW w:w="416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stock</w:t>
            </w:r>
          </w:p>
        </w:tc>
        <w:tc>
          <w:tcPr>
            <w:tcW w:w="340" w:type="dxa"/>
            <w:vAlign w:val="bottom"/>
          </w:tcPr>
          <w:p>
            <w:pPr>
              <w:spacing w:after="0"/>
              <w:rPr>
                <w:sz w:val="11"/>
                <w:szCs w:val="11"/>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441,326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4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
        </w:trPr>
        <w:tc>
          <w:tcPr>
            <w:tcW w:w="7080" w:type="dxa"/>
            <w:vAlign w:val="bottom"/>
            <w:tcBorders>
              <w:right w:val="single" w:sz="8" w:color="auto"/>
            </w:tcBorders>
            <w:gridSpan w:val="43"/>
          </w:tcPr>
          <w:p>
            <w:pPr>
              <w:spacing w:after="0" w:line="20" w:lineRule="exact"/>
              <w:rPr>
                <w:sz w:val="1"/>
                <w:szCs w:val="1"/>
                <w:color w:val="auto"/>
              </w:rPr>
            </w:pPr>
          </w:p>
        </w:tc>
        <w:tc>
          <w:tcPr>
            <w:tcW w:w="41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080" w:type="dxa"/>
            <w:vAlign w:val="bottom"/>
            <w:tcBorders>
              <w:right w:val="single" w:sz="8" w:color="auto"/>
            </w:tcBorders>
            <w:gridSpan w:val="43"/>
            <w:shd w:val="clear" w:color="auto" w:fill="CCEEFF"/>
          </w:tcPr>
          <w:p>
            <w:pPr>
              <w:ind w:left="20"/>
              <w:spacing w:after="0"/>
              <w:rPr>
                <w:sz w:val="20"/>
                <w:szCs w:val="20"/>
                <w:color w:val="auto"/>
              </w:rPr>
            </w:pPr>
            <w:r>
              <w:rPr>
                <w:rFonts w:ascii="Arial" w:cs="Arial" w:eastAsia="Arial" w:hAnsi="Arial"/>
                <w:sz w:val="11"/>
                <w:szCs w:val="11"/>
                <w:color w:val="auto"/>
              </w:rPr>
              <w:t>Exercise of stock</w:t>
            </w:r>
          </w:p>
        </w:tc>
        <w:tc>
          <w:tcPr>
            <w:tcW w:w="4160" w:type="dxa"/>
            <w:vAlign w:val="bottom"/>
            <w:gridSpan w:val="2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right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237,548</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39"/>
        </w:trPr>
        <w:tc>
          <w:tcPr>
            <w:tcW w:w="7080" w:type="dxa"/>
            <w:vAlign w:val="bottom"/>
            <w:tcBorders>
              <w:right w:val="single" w:sz="8" w:color="auto"/>
            </w:tcBorders>
            <w:gridSpan w:val="43"/>
          </w:tcPr>
          <w:p>
            <w:pPr>
              <w:ind w:left="20"/>
              <w:spacing w:after="0"/>
              <w:rPr>
                <w:sz w:val="20"/>
                <w:szCs w:val="20"/>
                <w:color w:val="auto"/>
              </w:rPr>
            </w:pPr>
            <w:r>
              <w:rPr>
                <w:rFonts w:ascii="Arial" w:cs="Arial" w:eastAsia="Arial" w:hAnsi="Arial"/>
                <w:sz w:val="11"/>
                <w:szCs w:val="11"/>
                <w:color w:val="auto"/>
              </w:rPr>
              <w:t>Stock-based</w:t>
            </w:r>
          </w:p>
        </w:tc>
        <w:tc>
          <w:tcPr>
            <w:tcW w:w="416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compensation</w:t>
            </w:r>
          </w:p>
        </w:tc>
        <w:tc>
          <w:tcPr>
            <w:tcW w:w="340" w:type="dxa"/>
            <w:vAlign w:val="bottom"/>
          </w:tcPr>
          <w:p>
            <w:pPr>
              <w:spacing w:after="0"/>
              <w:rPr>
                <w:sz w:val="11"/>
                <w:szCs w:val="11"/>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2,970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4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2,970</w:t>
            </w:r>
          </w:p>
        </w:tc>
        <w:tc>
          <w:tcPr>
            <w:tcW w:w="0" w:type="dxa"/>
            <w:vAlign w:val="bottom"/>
          </w:tcPr>
          <w:p>
            <w:pPr>
              <w:spacing w:after="0"/>
              <w:rPr>
                <w:sz w:val="1"/>
                <w:szCs w:val="1"/>
                <w:color w:val="auto"/>
              </w:rPr>
            </w:pPr>
          </w:p>
        </w:tc>
      </w:tr>
      <w:tr>
        <w:trPr>
          <w:trHeight w:val="22"/>
        </w:trPr>
        <w:tc>
          <w:tcPr>
            <w:tcW w:w="7080" w:type="dxa"/>
            <w:vAlign w:val="bottom"/>
            <w:tcBorders>
              <w:right w:val="single" w:sz="8" w:color="auto"/>
            </w:tcBorders>
            <w:gridSpan w:val="43"/>
          </w:tcPr>
          <w:p>
            <w:pPr>
              <w:spacing w:after="0" w:line="20" w:lineRule="exact"/>
              <w:rPr>
                <w:sz w:val="1"/>
                <w:szCs w:val="1"/>
                <w:color w:val="auto"/>
              </w:rPr>
            </w:pPr>
          </w:p>
        </w:tc>
        <w:tc>
          <w:tcPr>
            <w:tcW w:w="41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080" w:type="dxa"/>
            <w:vAlign w:val="bottom"/>
            <w:tcBorders>
              <w:right w:val="single" w:sz="8" w:color="auto"/>
            </w:tcBorders>
            <w:gridSpan w:val="43"/>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160" w:type="dxa"/>
            <w:vAlign w:val="bottom"/>
            <w:gridSpan w:val="2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080" w:type="dxa"/>
            <w:vAlign w:val="bottom"/>
            <w:tcBorders>
              <w:right w:val="single" w:sz="8" w:color="auto"/>
            </w:tcBorders>
            <w:gridSpan w:val="43"/>
            <w:shd w:val="clear" w:color="auto" w:fill="CCEEFF"/>
          </w:tcPr>
          <w:p>
            <w:pPr>
              <w:ind w:left="180"/>
              <w:spacing w:after="0" w:line="122" w:lineRule="exact"/>
              <w:rPr>
                <w:sz w:val="20"/>
                <w:szCs w:val="20"/>
                <w:color w:val="auto"/>
              </w:rPr>
            </w:pPr>
            <w:r>
              <w:rPr>
                <w:rFonts w:ascii="Arial" w:cs="Arial" w:eastAsia="Arial" w:hAnsi="Arial"/>
                <w:sz w:val="11"/>
                <w:szCs w:val="11"/>
                <w:color w:val="auto"/>
              </w:rPr>
              <w:t>comprehensive</w:t>
            </w:r>
          </w:p>
        </w:tc>
        <w:tc>
          <w:tcPr>
            <w:tcW w:w="4160" w:type="dxa"/>
            <w:vAlign w:val="bottom"/>
            <w:gridSpan w:val="2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loss</w:t>
            </w: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right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153"/>
        </w:trPr>
        <w:tc>
          <w:tcPr>
            <w:tcW w:w="960" w:type="dxa"/>
            <w:vAlign w:val="bottom"/>
          </w:tcPr>
          <w:p>
            <w:pPr>
              <w:ind w:left="20"/>
              <w:spacing w:after="0"/>
              <w:rPr>
                <w:sz w:val="20"/>
                <w:szCs w:val="20"/>
                <w:color w:val="auto"/>
              </w:rPr>
            </w:pPr>
            <w:r>
              <w:rPr>
                <w:rFonts w:ascii="Arial" w:cs="Arial" w:eastAsia="Arial" w:hAnsi="Arial"/>
                <w:sz w:val="11"/>
                <w:szCs w:val="11"/>
                <w:color w:val="auto"/>
              </w:rPr>
              <w:t>Net loss</w:t>
            </w:r>
          </w:p>
        </w:tc>
        <w:tc>
          <w:tcPr>
            <w:tcW w:w="340" w:type="dxa"/>
            <w:vAlign w:val="bottom"/>
          </w:tcPr>
          <w:p>
            <w:pPr>
              <w:spacing w:after="0"/>
              <w:rPr>
                <w:sz w:val="13"/>
                <w:szCs w:val="13"/>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(62,196)</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right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BALANCE–March</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40,089,513</w:t>
            </w:r>
          </w:p>
        </w:tc>
        <w:tc>
          <w:tcPr>
            <w:tcW w:w="8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00" w:type="dxa"/>
            <w:vAlign w:val="bottom"/>
            <w:gridSpan w:val="3"/>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79"/>
              </w:rPr>
              <w:t>9,763</w:t>
            </w:r>
          </w:p>
        </w:tc>
        <w:tc>
          <w:tcPr>
            <w:tcW w:w="80" w:type="dxa"/>
            <w:vAlign w:val="bottom"/>
            <w:shd w:val="clear" w:color="auto" w:fill="CCEEFF"/>
          </w:tcPr>
          <w:p>
            <w:pPr>
              <w:spacing w:after="0"/>
              <w:rPr>
                <w:sz w:val="10"/>
                <w:szCs w:val="10"/>
                <w:color w:val="auto"/>
              </w:rPr>
            </w:pPr>
          </w:p>
        </w:tc>
        <w:tc>
          <w:tcPr>
            <w:tcW w:w="500" w:type="dxa"/>
            <w:vAlign w:val="bottom"/>
            <w:gridSpan w:val="4"/>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23,840,816</w:t>
            </w:r>
          </w:p>
        </w:tc>
        <w:tc>
          <w:tcPr>
            <w:tcW w:w="4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460" w:type="dxa"/>
            <w:vAlign w:val="bottom"/>
            <w:gridSpan w:val="3"/>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$ 20,049</w:t>
            </w:r>
          </w:p>
        </w:tc>
        <w:tc>
          <w:tcPr>
            <w:tcW w:w="80" w:type="dxa"/>
            <w:vAlign w:val="bottom"/>
            <w:vMerge w:val="restart"/>
            <w:shd w:val="clear" w:color="auto" w:fill="CCEEFF"/>
          </w:tcPr>
          <w:p>
            <w:pPr>
              <w:spacing w:after="0"/>
              <w:rPr>
                <w:sz w:val="10"/>
                <w:szCs w:val="10"/>
                <w:color w:val="auto"/>
              </w:rPr>
            </w:pPr>
          </w:p>
        </w:tc>
        <w:tc>
          <w:tcPr>
            <w:tcW w:w="560" w:type="dxa"/>
            <w:vAlign w:val="bottom"/>
            <w:gridSpan w:val="4"/>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29,070,700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1"/>
                <w:szCs w:val="11"/>
                <w:color w:val="auto"/>
                <w:w w:val="83"/>
              </w:rPr>
              <w:t>$ 80,519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3"/>
              </w:rPr>
              <w:t>63,470,884</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9"/>
              <w:spacing w:after="0"/>
              <w:rPr>
                <w:sz w:val="20"/>
                <w:szCs w:val="20"/>
                <w:color w:val="auto"/>
              </w:rPr>
            </w:pPr>
            <w:r>
              <w:rPr>
                <w:rFonts w:ascii="Arial" w:cs="Arial" w:eastAsia="Arial" w:hAnsi="Arial"/>
                <w:sz w:val="11"/>
                <w:szCs w:val="11"/>
                <w:color w:val="auto"/>
                <w:w w:val="85"/>
              </w:rPr>
              <w:t>$ 257,951</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157,952,523</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right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1"/>
                <w:szCs w:val="11"/>
                <w:color w:val="auto"/>
                <w:w w:val="85"/>
              </w:rPr>
              <w:t>1,013,220</w:t>
            </w:r>
          </w:p>
        </w:tc>
        <w:tc>
          <w:tcPr>
            <w:tcW w:w="40" w:type="dxa"/>
            <w:vAlign w:val="bottom"/>
            <w:vMerge w:val="restart"/>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84,427,317</w:t>
            </w:r>
          </w:p>
        </w:tc>
        <w:tc>
          <w:tcPr>
            <w:tcW w:w="40" w:type="dxa"/>
            <w:vAlign w:val="bottom"/>
            <w:shd w:val="clear" w:color="auto" w:fill="CCEEFF"/>
          </w:tcPr>
          <w:p>
            <w:pPr>
              <w:spacing w:after="0"/>
              <w:rPr>
                <w:sz w:val="10"/>
                <w:szCs w:val="10"/>
                <w:color w:val="auto"/>
              </w:rPr>
            </w:pPr>
          </w:p>
        </w:tc>
        <w:tc>
          <w:tcPr>
            <w:tcW w:w="80" w:type="dxa"/>
            <w:vAlign w:val="bottom"/>
            <w:gridSpan w:val="2"/>
            <w:vMerge w:val="restart"/>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80" w:type="dxa"/>
            <w:vAlign w:val="bottom"/>
            <w:gridSpan w:val="2"/>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60,794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(852,679)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8"/>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(792,166)</w:t>
            </w:r>
          </w:p>
        </w:tc>
        <w:tc>
          <w:tcPr>
            <w:tcW w:w="0" w:type="dxa"/>
            <w:vAlign w:val="bottom"/>
          </w:tcPr>
          <w:p>
            <w:pPr>
              <w:spacing w:after="0"/>
              <w:rPr>
                <w:sz w:val="1"/>
                <w:szCs w:val="1"/>
                <w:color w:val="auto"/>
              </w:rPr>
            </w:pPr>
          </w:p>
        </w:tc>
      </w:tr>
      <w:tr>
        <w:trPr>
          <w:trHeight w:val="151"/>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31, 2020</w:t>
            </w:r>
          </w:p>
        </w:tc>
        <w:tc>
          <w:tcPr>
            <w:tcW w:w="560" w:type="dxa"/>
            <w:vAlign w:val="bottom"/>
            <w:tcBorders>
              <w:bottom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gridSpan w:val="3"/>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gridSpan w:val="4"/>
            <w:vMerge w:val="continue"/>
            <w:shd w:val="clear" w:color="auto" w:fill="CCEEFF"/>
          </w:tcPr>
          <w:p>
            <w:pPr>
              <w:spacing w:after="0"/>
              <w:rPr>
                <w:sz w:val="13"/>
                <w:szCs w:val="13"/>
                <w:color w:val="auto"/>
              </w:rPr>
            </w:pPr>
          </w:p>
        </w:tc>
        <w:tc>
          <w:tcPr>
            <w:tcW w:w="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460" w:type="dxa"/>
            <w:vAlign w:val="bottom"/>
            <w:tcBorders>
              <w:bottom w:val="single" w:sz="8" w:color="auto"/>
            </w:tcBorders>
            <w:gridSpan w:val="3"/>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60" w:type="dxa"/>
            <w:vAlign w:val="bottom"/>
            <w:tcBorders>
              <w:bottom w:val="single" w:sz="8" w:color="auto"/>
            </w:tcBorders>
            <w:gridSpan w:val="4"/>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3"/>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3"/>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gridSpan w:val="3"/>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gridSpan w:val="2"/>
            <w:vMerge w:val="continue"/>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12"/>
            <w:vMerge w:val="restart"/>
          </w:tcPr>
          <w:p>
            <w:pPr>
              <w:ind w:left="160"/>
              <w:spacing w:after="0"/>
              <w:rPr>
                <w:sz w:val="20"/>
                <w:szCs w:val="20"/>
                <w:color w:val="auto"/>
              </w:rPr>
            </w:pPr>
            <w:r>
              <w:rPr>
                <w:rFonts w:ascii="Arial" w:cs="Arial" w:eastAsia="Arial" w:hAnsi="Arial"/>
                <w:sz w:val="11"/>
                <w:szCs w:val="11"/>
                <w:b w:val="1"/>
                <w:bCs w:val="1"/>
                <w:color w:val="auto"/>
              </w:rPr>
              <w:t>Temporary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10"/>
            <w:vMerge w:val="restart"/>
          </w:tcPr>
          <w:p>
            <w:pPr>
              <w:jc w:val="right"/>
              <w:ind w:right="8"/>
              <w:spacing w:after="0"/>
              <w:rPr>
                <w:sz w:val="20"/>
                <w:szCs w:val="20"/>
                <w:color w:val="auto"/>
              </w:rPr>
            </w:pPr>
            <w:r>
              <w:rPr>
                <w:rFonts w:ascii="Arial" w:cs="Arial" w:eastAsia="Arial" w:hAnsi="Arial"/>
                <w:sz w:val="11"/>
                <w:szCs w:val="11"/>
                <w:b w:val="1"/>
                <w:bCs w:val="1"/>
                <w:color w:val="auto"/>
                <w:w w:val="92"/>
              </w:rPr>
              <w:t>Shareholders’ Equity (Deficit)</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1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10"/>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5"/>
          </w:tcPr>
          <w:p>
            <w:pPr>
              <w:ind w:left="20"/>
              <w:spacing w:after="0"/>
              <w:rPr>
                <w:sz w:val="20"/>
                <w:szCs w:val="20"/>
                <w:color w:val="auto"/>
              </w:rPr>
            </w:pPr>
            <w:r>
              <w:rPr>
                <w:rFonts w:ascii="Arial" w:cs="Arial" w:eastAsia="Arial" w:hAnsi="Arial"/>
                <w:sz w:val="11"/>
                <w:szCs w:val="11"/>
                <w:b w:val="1"/>
                <w:bCs w:val="1"/>
                <w:color w:val="auto"/>
              </w:rPr>
              <w:t>Series A</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4"/>
          </w:tcPr>
          <w:p>
            <w:pPr>
              <w:ind w:left="60"/>
              <w:spacing w:after="0"/>
              <w:rPr>
                <w:sz w:val="20"/>
                <w:szCs w:val="20"/>
                <w:color w:val="auto"/>
              </w:rPr>
            </w:pPr>
            <w:r>
              <w:rPr>
                <w:rFonts w:ascii="Arial" w:cs="Arial" w:eastAsia="Arial" w:hAnsi="Arial"/>
                <w:sz w:val="11"/>
                <w:szCs w:val="11"/>
                <w:b w:val="1"/>
                <w:bCs w:val="1"/>
                <w:color w:val="auto"/>
              </w:rPr>
              <w:t>Series B</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8"/>
          </w:tcPr>
          <w:p>
            <w:pPr>
              <w:ind w:left="320"/>
              <w:spacing w:after="0"/>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6"/>
          </w:tcPr>
          <w:p>
            <w:pPr>
              <w:jc w:val="center"/>
              <w:spacing w:after="0"/>
              <w:rPr>
                <w:sz w:val="20"/>
                <w:szCs w:val="20"/>
                <w:color w:val="auto"/>
              </w:rPr>
            </w:pPr>
            <w:r>
              <w:rPr>
                <w:rFonts w:ascii="Arial" w:cs="Arial" w:eastAsia="Arial" w:hAnsi="Arial"/>
                <w:sz w:val="11"/>
                <w:szCs w:val="11"/>
                <w:b w:val="1"/>
                <w:bCs w:val="1"/>
                <w:color w:val="auto"/>
                <w:w w:val="86"/>
              </w:rPr>
              <w:t>Series D</w:t>
            </w:r>
          </w:p>
        </w:tc>
        <w:tc>
          <w:tcPr>
            <w:tcW w:w="80" w:type="dxa"/>
            <w:vAlign w:val="bottom"/>
          </w:tcPr>
          <w:p>
            <w:pPr>
              <w:spacing w:after="0"/>
              <w:rPr>
                <w:sz w:val="11"/>
                <w:szCs w:val="11"/>
                <w:color w:val="auto"/>
              </w:rPr>
            </w:pPr>
          </w:p>
        </w:tc>
        <w:tc>
          <w:tcPr>
            <w:tcW w:w="1320" w:type="dxa"/>
            <w:vAlign w:val="bottom"/>
            <w:tcBorders>
              <w:right w:val="single" w:sz="8" w:color="auto"/>
            </w:tcBorders>
            <w:gridSpan w:val="4"/>
          </w:tcPr>
          <w:p>
            <w:pPr>
              <w:jc w:val="center"/>
              <w:ind w:right="126"/>
              <w:spacing w:after="0"/>
              <w:rPr>
                <w:sz w:val="20"/>
                <w:szCs w:val="20"/>
                <w:color w:val="auto"/>
              </w:rPr>
            </w:pPr>
            <w:r>
              <w:rPr>
                <w:rFonts w:ascii="Arial" w:cs="Arial" w:eastAsia="Arial" w:hAnsi="Arial"/>
                <w:sz w:val="11"/>
                <w:szCs w:val="11"/>
                <w:b w:val="1"/>
                <w:bCs w:val="1"/>
                <w:color w:val="auto"/>
                <w:w w:val="87"/>
              </w:rPr>
              <w:t>Series E</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5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gridSpan w:val="6"/>
            <w:vMerge w:val="restart"/>
          </w:tcPr>
          <w:p>
            <w:pPr>
              <w:jc w:val="center"/>
              <w:ind w:right="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5"/>
            <w:vMerge w:val="restart"/>
          </w:tcPr>
          <w:p>
            <w:pPr>
              <w:jc w:val="right"/>
              <w:spacing w:after="0" w:line="122" w:lineRule="exact"/>
              <w:rPr>
                <w:sz w:val="20"/>
                <w:szCs w:val="20"/>
                <w:color w:val="auto"/>
              </w:rPr>
            </w:pPr>
            <w:r>
              <w:rPr>
                <w:rFonts w:ascii="Arial" w:cs="Arial" w:eastAsia="Arial" w:hAnsi="Arial"/>
                <w:sz w:val="11"/>
                <w:szCs w:val="11"/>
                <w:b w:val="1"/>
                <w:bCs w:val="1"/>
                <w:color w:val="auto"/>
                <w:w w:val="89"/>
              </w:rPr>
              <w:t>Convertible</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8"/>
            <w:vMerge w:val="restart"/>
          </w:tcPr>
          <w:p>
            <w:pPr>
              <w:ind w:left="240"/>
              <w:spacing w:after="0" w:line="122" w:lineRule="exact"/>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6"/>
            <w:vMerge w:val="restart"/>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80" w:type="dxa"/>
            <w:vAlign w:val="bottom"/>
          </w:tcPr>
          <w:p>
            <w:pPr>
              <w:spacing w:after="0"/>
              <w:rPr>
                <w:sz w:val="5"/>
                <w:szCs w:val="5"/>
                <w:color w:val="auto"/>
              </w:rPr>
            </w:pPr>
          </w:p>
        </w:tc>
        <w:tc>
          <w:tcPr>
            <w:tcW w:w="1320" w:type="dxa"/>
            <w:vAlign w:val="bottom"/>
            <w:tcBorders>
              <w:right w:val="single" w:sz="8" w:color="auto"/>
            </w:tcBorders>
            <w:gridSpan w:val="4"/>
            <w:vMerge w:val="restart"/>
          </w:tcPr>
          <w:p>
            <w:pPr>
              <w:jc w:val="center"/>
              <w:ind w:right="12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Borders>
              <w:right w:val="single" w:sz="8" w:color="auto"/>
            </w:tcBorders>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5"/>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vMerge w:val="restart"/>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6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gridSpan w:val="8"/>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8"/>
            <w:vMerge w:val="restart"/>
          </w:tcPr>
          <w:p>
            <w:pPr>
              <w:ind w:left="160"/>
              <w:spacing w:after="0"/>
              <w:rPr>
                <w:sz w:val="20"/>
                <w:szCs w:val="20"/>
                <w:color w:val="auto"/>
              </w:rPr>
            </w:pPr>
            <w:r>
              <w:rPr>
                <w:rFonts w:ascii="Arial" w:cs="Arial" w:eastAsia="Arial" w:hAnsi="Arial"/>
                <w:sz w:val="11"/>
                <w:szCs w:val="11"/>
                <w:b w:val="1"/>
                <w:bCs w:val="1"/>
                <w:color w:val="auto"/>
              </w:rPr>
              <w:t>Preferred Stock</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8"/>
            <w:vMerge w:val="restart"/>
          </w:tcPr>
          <w:p>
            <w:pPr>
              <w:ind w:left="160"/>
              <w:spacing w:after="0"/>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6"/>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80" w:type="dxa"/>
            <w:vAlign w:val="bottom"/>
          </w:tcPr>
          <w:p>
            <w:pPr>
              <w:spacing w:after="0"/>
              <w:rPr>
                <w:sz w:val="5"/>
                <w:szCs w:val="5"/>
                <w:color w:val="auto"/>
              </w:rPr>
            </w:pPr>
          </w:p>
        </w:tc>
        <w:tc>
          <w:tcPr>
            <w:tcW w:w="1320" w:type="dxa"/>
            <w:vAlign w:val="bottom"/>
            <w:tcBorders>
              <w:right w:val="single" w:sz="8" w:color="auto"/>
            </w:tcBorders>
            <w:gridSpan w:val="4"/>
            <w:vMerge w:val="restart"/>
          </w:tcPr>
          <w:p>
            <w:pPr>
              <w:jc w:val="center"/>
              <w:ind w:right="126"/>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5"/>
                <w:szCs w:val="5"/>
                <w:color w:val="auto"/>
              </w:rPr>
            </w:pPr>
          </w:p>
        </w:tc>
        <w:tc>
          <w:tcPr>
            <w:tcW w:w="9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w w:val="91"/>
              </w:rPr>
              <w:t>Common Stock</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4"/>
            <w:vMerge w:val="restart"/>
          </w:tcPr>
          <w:p>
            <w:pPr>
              <w:jc w:val="center"/>
              <w:ind w:right="220"/>
              <w:spacing w:after="0" w:line="89" w:lineRule="exact"/>
              <w:rPr>
                <w:sz w:val="20"/>
                <w:szCs w:val="20"/>
                <w:color w:val="auto"/>
              </w:rPr>
            </w:pPr>
            <w:r>
              <w:rPr>
                <w:rFonts w:ascii="Arial" w:cs="Arial" w:eastAsia="Arial" w:hAnsi="Arial"/>
                <w:sz w:val="10"/>
                <w:szCs w:val="10"/>
                <w:b w:val="1"/>
                <w:bCs w:val="1"/>
                <w:color w:val="auto"/>
                <w:w w:val="95"/>
              </w:rPr>
              <w:t>Paid-in</w:t>
            </w:r>
          </w:p>
        </w:tc>
        <w:tc>
          <w:tcPr>
            <w:tcW w:w="720" w:type="dxa"/>
            <w:vAlign w:val="bottom"/>
            <w:gridSpan w:val="5"/>
            <w:vMerge w:val="restart"/>
          </w:tcPr>
          <w:p>
            <w:pPr>
              <w:spacing w:after="0" w:line="89"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5"/>
            <w:vMerge w:val="restart"/>
          </w:tcPr>
          <w:p>
            <w:pPr>
              <w:jc w:val="center"/>
              <w:ind w:right="10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00" w:type="dxa"/>
            <w:vAlign w:val="bottom"/>
          </w:tcPr>
          <w:p>
            <w:pPr>
              <w:spacing w:after="0"/>
              <w:rPr>
                <w:sz w:val="6"/>
                <w:szCs w:val="6"/>
                <w:color w:val="auto"/>
              </w:rPr>
            </w:pPr>
          </w:p>
        </w:tc>
        <w:tc>
          <w:tcPr>
            <w:tcW w:w="580" w:type="dxa"/>
            <w:vAlign w:val="bottom"/>
            <w:vMerge w:val="restart"/>
          </w:tcPr>
          <w:p>
            <w:pPr>
              <w:jc w:val="center"/>
              <w:ind w:right="66"/>
              <w:spacing w:after="0" w:line="89"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3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right w:val="single" w:sz="8" w:color="auto"/>
            </w:tcBorders>
            <w:gridSpan w:val="4"/>
          </w:tcPr>
          <w:p>
            <w:pPr>
              <w:spacing w:after="0" w:line="20" w:lineRule="exact"/>
              <w:rPr>
                <w:sz w:val="1"/>
                <w:szCs w:val="1"/>
                <w:color w:val="auto"/>
              </w:rPr>
            </w:pPr>
          </w:p>
        </w:tc>
        <w:tc>
          <w:tcPr>
            <w:tcW w:w="1120" w:type="dxa"/>
            <w:vAlign w:val="bottom"/>
            <w:tcBorders>
              <w:bottom w:val="single" w:sz="8" w:color="auto"/>
            </w:tcBorders>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gridSpan w:val="4"/>
            <w:vMerge w:val="continue"/>
          </w:tcPr>
          <w:p>
            <w:pPr>
              <w:spacing w:after="0" w:line="20" w:lineRule="exact"/>
              <w:rPr>
                <w:sz w:val="1"/>
                <w:szCs w:val="1"/>
                <w:color w:val="auto"/>
              </w:rPr>
            </w:pPr>
          </w:p>
        </w:tc>
        <w:tc>
          <w:tcPr>
            <w:tcW w:w="720" w:type="dxa"/>
            <w:vAlign w:val="bottom"/>
            <w:gridSpan w:val="5"/>
            <w:vMerge w:val="continue"/>
          </w:tcPr>
          <w:p>
            <w:pPr>
              <w:spacing w:after="0" w:line="20" w:lineRule="exact"/>
              <w:rPr>
                <w:sz w:val="1"/>
                <w:szCs w:val="1"/>
                <w:color w:val="auto"/>
              </w:rPr>
            </w:pPr>
          </w:p>
        </w:tc>
        <w:tc>
          <w:tcPr>
            <w:tcW w:w="86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gridSpan w:val="3"/>
          </w:tcPr>
          <w:p>
            <w:pPr>
              <w:ind w:left="100"/>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ind w:left="20"/>
              <w:spacing w:after="0"/>
              <w:rPr>
                <w:sz w:val="20"/>
                <w:szCs w:val="20"/>
                <w:color w:val="auto"/>
              </w:rPr>
            </w:pPr>
            <w:r>
              <w:rPr>
                <w:rFonts w:ascii="Arial" w:cs="Arial" w:eastAsia="Arial" w:hAnsi="Arial"/>
                <w:sz w:val="11"/>
                <w:szCs w:val="11"/>
                <w:b w:val="1"/>
                <w:bCs w:val="1"/>
                <w:color w:val="auto"/>
                <w:w w:val="86"/>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5"/>
          </w:tcPr>
          <w:p>
            <w:pPr>
              <w:ind w:left="100"/>
              <w:spacing w:after="0"/>
              <w:rPr>
                <w:sz w:val="20"/>
                <w:szCs w:val="20"/>
                <w:color w:val="auto"/>
              </w:rPr>
            </w:pPr>
            <w:r>
              <w:rPr>
                <w:rFonts w:ascii="Arial" w:cs="Arial" w:eastAsia="Arial" w:hAnsi="Arial"/>
                <w:sz w:val="11"/>
                <w:szCs w:val="11"/>
                <w:b w:val="1"/>
                <w:bCs w:val="1"/>
                <w:color w:val="auto"/>
              </w:rPr>
              <w:t>Shares</w:t>
            </w:r>
          </w:p>
        </w:tc>
        <w:tc>
          <w:tcPr>
            <w:tcW w:w="440" w:type="dxa"/>
            <w:vAlign w:val="bottom"/>
            <w:gridSpan w:val="3"/>
          </w:tcPr>
          <w:p>
            <w:pPr>
              <w:ind w:left="40"/>
              <w:spacing w:after="0"/>
              <w:rPr>
                <w:sz w:val="20"/>
                <w:szCs w:val="20"/>
                <w:color w:val="auto"/>
              </w:rPr>
            </w:pPr>
            <w:r>
              <w:rPr>
                <w:rFonts w:ascii="Arial" w:cs="Arial" w:eastAsia="Arial" w:hAnsi="Arial"/>
                <w:sz w:val="11"/>
                <w:szCs w:val="11"/>
                <w:b w:val="1"/>
                <w:bCs w:val="1"/>
                <w:color w:val="auto"/>
                <w:w w:val="91"/>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ind w:left="80"/>
              <w:spacing w:after="0"/>
              <w:rPr>
                <w:sz w:val="20"/>
                <w:szCs w:val="20"/>
                <w:color w:val="auto"/>
              </w:rPr>
            </w:pPr>
            <w:r>
              <w:rPr>
                <w:rFonts w:ascii="Arial" w:cs="Arial" w:eastAsia="Arial" w:hAnsi="Arial"/>
                <w:sz w:val="11"/>
                <w:szCs w:val="11"/>
                <w:b w:val="1"/>
                <w:bCs w:val="1"/>
                <w:color w:val="auto"/>
                <w:w w:val="92"/>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7"/>
          </w:tcPr>
          <w:p>
            <w:pPr>
              <w:ind w:left="40"/>
              <w:spacing w:after="0"/>
              <w:rPr>
                <w:sz w:val="20"/>
                <w:szCs w:val="20"/>
                <w:color w:val="auto"/>
              </w:rPr>
            </w:pPr>
            <w:r>
              <w:rPr>
                <w:rFonts w:ascii="Arial" w:cs="Arial" w:eastAsia="Arial" w:hAnsi="Arial"/>
                <w:sz w:val="11"/>
                <w:szCs w:val="11"/>
                <w:b w:val="1"/>
                <w:bCs w:val="1"/>
                <w:color w:val="auto"/>
                <w:w w:val="87"/>
              </w:rPr>
              <w:t>AmountShares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2"/>
                <w:szCs w:val="12"/>
                <w:color w:val="auto"/>
              </w:rPr>
            </w:pP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700" w:type="dxa"/>
            <w:vAlign w:val="bottom"/>
            <w:tcBorders>
              <w:right w:val="single" w:sz="8" w:color="auto"/>
            </w:tcBorders>
            <w:gridSpan w:val="2"/>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480" w:type="dxa"/>
            <w:vAlign w:val="bottom"/>
            <w:gridSpan w:val="4"/>
          </w:tcPr>
          <w:p>
            <w:pPr>
              <w:ind w:left="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640" w:type="dxa"/>
            <w:vAlign w:val="bottom"/>
            <w:gridSpan w:val="4"/>
          </w:tcPr>
          <w:p>
            <w:pPr>
              <w:ind w:left="60"/>
              <w:spacing w:after="0"/>
              <w:rPr>
                <w:sz w:val="20"/>
                <w:szCs w:val="20"/>
                <w:color w:val="auto"/>
              </w:rPr>
            </w:pPr>
            <w:r>
              <w:rPr>
                <w:rFonts w:ascii="Arial" w:cs="Arial" w:eastAsia="Arial" w:hAnsi="Arial"/>
                <w:sz w:val="11"/>
                <w:szCs w:val="11"/>
                <w:b w:val="1"/>
                <w:bCs w:val="1"/>
                <w:color w:val="auto"/>
              </w:rPr>
              <w:t>Deficit</w:t>
            </w:r>
          </w:p>
        </w:tc>
        <w:tc>
          <w:tcPr>
            <w:tcW w:w="86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5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gridSpan w:val="2"/>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right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7080" w:type="dxa"/>
            <w:vAlign w:val="bottom"/>
            <w:tcBorders>
              <w:right w:val="single" w:sz="8" w:color="auto"/>
            </w:tcBorders>
            <w:gridSpan w:val="43"/>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BALANCE-December 31,</w:t>
            </w:r>
          </w:p>
        </w:tc>
        <w:tc>
          <w:tcPr>
            <w:tcW w:w="4160" w:type="dxa"/>
            <w:vAlign w:val="bottom"/>
            <w:gridSpan w:val="2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1"/>
                <w:szCs w:val="11"/>
                <w:color w:val="auto"/>
              </w:rPr>
              <w:t>2020</w:t>
            </w:r>
          </w:p>
        </w:tc>
        <w:tc>
          <w:tcPr>
            <w:tcW w:w="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1"/>
                <w:szCs w:val="11"/>
                <w:color w:val="auto"/>
                <w:w w:val="90"/>
              </w:rPr>
              <w:t>—</w:t>
            </w:r>
          </w:p>
        </w:tc>
        <w:tc>
          <w:tcPr>
            <w:tcW w:w="560" w:type="dxa"/>
            <w:vAlign w:val="bottom"/>
            <w:tcBorders>
              <w:bottom w:val="single" w:sz="8" w:color="CCEEFF"/>
            </w:tcBorders>
            <w:gridSpan w:val="5"/>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4"/>
            <w:shd w:val="clear" w:color="auto" w:fill="CCEEFF"/>
          </w:tcPr>
          <w:p>
            <w:pPr>
              <w:jc w:val="center"/>
              <w:ind w:left="1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3"/>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3"/>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right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gridSpan w:val="6"/>
            <w:shd w:val="clear" w:color="auto" w:fill="CCEEFF"/>
          </w:tcPr>
          <w:p>
            <w:pPr>
              <w:jc w:val="right"/>
              <w:ind w:right="366"/>
              <w:spacing w:after="0"/>
              <w:rPr>
                <w:sz w:val="20"/>
                <w:szCs w:val="20"/>
                <w:color w:val="auto"/>
              </w:rPr>
            </w:pPr>
            <w:r>
              <w:rPr>
                <w:rFonts w:ascii="Arial" w:cs="Arial" w:eastAsia="Arial" w:hAnsi="Arial"/>
                <w:sz w:val="11"/>
                <w:szCs w:val="11"/>
                <w:color w:val="auto"/>
                <w:w w:val="84"/>
              </w:rPr>
              <w:t>540,714,692</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54</w:t>
            </w:r>
          </w:p>
        </w:tc>
        <w:tc>
          <w:tcPr>
            <w:tcW w:w="820" w:type="dxa"/>
            <w:vAlign w:val="bottom"/>
            <w:tcBorders>
              <w:bottom w:val="single" w:sz="8" w:color="CCEEFF"/>
            </w:tcBorders>
            <w:gridSpan w:val="8"/>
            <w:shd w:val="clear" w:color="auto" w:fill="CCEEFF"/>
          </w:tcPr>
          <w:p>
            <w:pPr>
              <w:jc w:val="right"/>
              <w:ind w:right="190"/>
              <w:spacing w:after="0"/>
              <w:rPr>
                <w:sz w:val="20"/>
                <w:szCs w:val="20"/>
                <w:color w:val="auto"/>
              </w:rPr>
            </w:pPr>
            <w:r>
              <w:rPr>
                <w:rFonts w:ascii="Arial" w:cs="Arial" w:eastAsia="Arial" w:hAnsi="Arial"/>
                <w:sz w:val="11"/>
                <w:szCs w:val="11"/>
                <w:color w:val="auto"/>
              </w:rPr>
              <w:t>2,596,012</w:t>
            </w:r>
          </w:p>
        </w:tc>
        <w:tc>
          <w:tcPr>
            <w:tcW w:w="840" w:type="dxa"/>
            <w:vAlign w:val="bottom"/>
            <w:tcBorders>
              <w:bottom w:val="single" w:sz="8" w:color="CCEEFF"/>
            </w:tcBorders>
            <w:gridSpan w:val="5"/>
            <w:shd w:val="clear" w:color="auto" w:fill="CCEEFF"/>
          </w:tcPr>
          <w:p>
            <w:pPr>
              <w:jc w:val="right"/>
              <w:ind w:right="268"/>
              <w:spacing w:after="0"/>
              <w:rPr>
                <w:sz w:val="20"/>
                <w:szCs w:val="20"/>
                <w:color w:val="auto"/>
              </w:rPr>
            </w:pPr>
            <w:r>
              <w:rPr>
                <w:rFonts w:ascii="Arial" w:cs="Arial" w:eastAsia="Arial" w:hAnsi="Arial"/>
                <w:sz w:val="11"/>
                <w:szCs w:val="11"/>
                <w:color w:val="auto"/>
                <w:w w:val="88"/>
              </w:rPr>
              <w:t>(1,043,449)</w:t>
            </w:r>
          </w:p>
        </w:tc>
        <w:tc>
          <w:tcPr>
            <w:tcW w:w="760" w:type="dxa"/>
            <w:vAlign w:val="bottom"/>
            <w:tcBorders>
              <w:bottom w:val="single" w:sz="8" w:color="CCEEFF"/>
            </w:tcBorders>
            <w:gridSpan w:val="5"/>
            <w:shd w:val="clear" w:color="auto" w:fill="CCEEFF"/>
          </w:tcPr>
          <w:p>
            <w:pPr>
              <w:jc w:val="right"/>
              <w:ind w:right="206"/>
              <w:spacing w:after="0"/>
              <w:rPr>
                <w:sz w:val="20"/>
                <w:szCs w:val="20"/>
                <w:color w:val="auto"/>
              </w:rPr>
            </w:pPr>
            <w:r>
              <w:rPr>
                <w:rFonts w:ascii="Arial" w:cs="Arial" w:eastAsia="Arial" w:hAnsi="Arial"/>
                <w:sz w:val="11"/>
                <w:szCs w:val="11"/>
                <w:color w:val="auto"/>
              </w:rPr>
              <w:t>41</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1,552,658</w:t>
            </w:r>
          </w:p>
        </w:tc>
        <w:tc>
          <w:tcPr>
            <w:tcW w:w="0" w:type="dxa"/>
            <w:vAlign w:val="bottom"/>
          </w:tcPr>
          <w:p>
            <w:pPr>
              <w:spacing w:after="0"/>
              <w:rPr>
                <w:sz w:val="1"/>
                <w:szCs w:val="1"/>
                <w:color w:val="auto"/>
              </w:rPr>
            </w:pPr>
          </w:p>
        </w:tc>
      </w:tr>
      <w:tr>
        <w:trPr>
          <w:trHeight w:val="139"/>
        </w:trPr>
        <w:tc>
          <w:tcPr>
            <w:tcW w:w="7080" w:type="dxa"/>
            <w:vAlign w:val="bottom"/>
            <w:tcBorders>
              <w:right w:val="single" w:sz="8" w:color="auto"/>
            </w:tcBorders>
            <w:gridSpan w:val="43"/>
          </w:tcPr>
          <w:p>
            <w:pPr>
              <w:ind w:left="20"/>
              <w:spacing w:after="0"/>
              <w:rPr>
                <w:sz w:val="20"/>
                <w:szCs w:val="20"/>
                <w:color w:val="auto"/>
              </w:rPr>
            </w:pPr>
            <w:r>
              <w:rPr>
                <w:rFonts w:ascii="Arial" w:cs="Arial" w:eastAsia="Arial" w:hAnsi="Arial"/>
                <w:sz w:val="11"/>
                <w:szCs w:val="11"/>
                <w:color w:val="auto"/>
              </w:rPr>
              <w:t>Issuance of common stock in</w:t>
            </w:r>
          </w:p>
        </w:tc>
        <w:tc>
          <w:tcPr>
            <w:tcW w:w="416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080" w:type="dxa"/>
            <w:vAlign w:val="bottom"/>
            <w:tcBorders>
              <w:right w:val="single" w:sz="8" w:color="auto"/>
            </w:tcBorders>
            <w:gridSpan w:val="43"/>
          </w:tcPr>
          <w:p>
            <w:pPr>
              <w:ind w:left="180"/>
              <w:spacing w:after="0" w:line="122" w:lineRule="exact"/>
              <w:rPr>
                <w:sz w:val="20"/>
                <w:szCs w:val="20"/>
                <w:color w:val="auto"/>
              </w:rPr>
            </w:pPr>
            <w:r>
              <w:rPr>
                <w:rFonts w:ascii="Arial" w:cs="Arial" w:eastAsia="Arial" w:hAnsi="Arial"/>
                <w:sz w:val="11"/>
                <w:szCs w:val="11"/>
                <w:color w:val="auto"/>
              </w:rPr>
              <w:t>connection with the</w:t>
            </w:r>
          </w:p>
        </w:tc>
        <w:tc>
          <w:tcPr>
            <w:tcW w:w="4160" w:type="dxa"/>
            <w:vAlign w:val="bottom"/>
            <w:gridSpan w:val="27"/>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20" w:type="dxa"/>
            <w:vAlign w:val="bottom"/>
            <w:gridSpan w:val="3"/>
          </w:tcPr>
          <w:p>
            <w:pPr>
              <w:ind w:left="180"/>
              <w:spacing w:after="0"/>
              <w:rPr>
                <w:sz w:val="20"/>
                <w:szCs w:val="20"/>
                <w:color w:val="auto"/>
              </w:rPr>
            </w:pPr>
            <w:r>
              <w:rPr>
                <w:rFonts w:ascii="Arial" w:cs="Arial" w:eastAsia="Arial" w:hAnsi="Arial"/>
                <w:sz w:val="11"/>
                <w:szCs w:val="11"/>
                <w:color w:val="auto"/>
              </w:rPr>
              <w:t>February 2021 Offering</w:t>
            </w:r>
          </w:p>
        </w:tc>
        <w:tc>
          <w:tcPr>
            <w:tcW w:w="8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w w:val="94"/>
              </w:rPr>
              <w:t>32,817,421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857,219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857,222</w:t>
            </w:r>
          </w:p>
        </w:tc>
        <w:tc>
          <w:tcPr>
            <w:tcW w:w="0" w:type="dxa"/>
            <w:vAlign w:val="bottom"/>
          </w:tcPr>
          <w:p>
            <w:pPr>
              <w:spacing w:after="0"/>
              <w:rPr>
                <w:sz w:val="1"/>
                <w:szCs w:val="1"/>
                <w:color w:val="auto"/>
              </w:rPr>
            </w:pPr>
          </w:p>
        </w:tc>
      </w:tr>
      <w:tr>
        <w:trPr>
          <w:trHeight w:val="22"/>
        </w:trPr>
        <w:tc>
          <w:tcPr>
            <w:tcW w:w="7080" w:type="dxa"/>
            <w:vAlign w:val="bottom"/>
            <w:tcBorders>
              <w:right w:val="single" w:sz="8" w:color="auto"/>
            </w:tcBorders>
            <w:gridSpan w:val="43"/>
          </w:tcPr>
          <w:p>
            <w:pPr>
              <w:spacing w:after="0" w:line="20" w:lineRule="exact"/>
              <w:rPr>
                <w:sz w:val="1"/>
                <w:szCs w:val="1"/>
                <w:color w:val="auto"/>
              </w:rPr>
            </w:pPr>
          </w:p>
        </w:tc>
        <w:tc>
          <w:tcPr>
            <w:tcW w:w="41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Vesting of restricted stock</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right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331,227</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72"/>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16</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9"/>
        </w:trPr>
        <w:tc>
          <w:tcPr>
            <w:tcW w:w="7080" w:type="dxa"/>
            <w:vAlign w:val="bottom"/>
            <w:tcBorders>
              <w:right w:val="single" w:sz="8" w:color="auto"/>
            </w:tcBorders>
            <w:gridSpan w:val="43"/>
          </w:tcPr>
          <w:p>
            <w:pPr>
              <w:ind w:left="20"/>
              <w:spacing w:after="0"/>
              <w:rPr>
                <w:sz w:val="20"/>
                <w:szCs w:val="20"/>
                <w:color w:val="auto"/>
              </w:rPr>
            </w:pPr>
            <w:r>
              <w:rPr>
                <w:rFonts w:ascii="Arial" w:cs="Arial" w:eastAsia="Arial" w:hAnsi="Arial"/>
                <w:sz w:val="11"/>
                <w:szCs w:val="11"/>
                <w:color w:val="auto"/>
              </w:rPr>
              <w:t>Vesting of restricted stock</w:t>
            </w:r>
          </w:p>
        </w:tc>
        <w:tc>
          <w:tcPr>
            <w:tcW w:w="416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60" w:type="dxa"/>
            <w:vAlign w:val="bottom"/>
          </w:tcPr>
          <w:p>
            <w:pPr>
              <w:ind w:left="180"/>
              <w:spacing w:after="0"/>
              <w:rPr>
                <w:sz w:val="20"/>
                <w:szCs w:val="20"/>
                <w:color w:val="auto"/>
              </w:rPr>
            </w:pPr>
            <w:r>
              <w:rPr>
                <w:rFonts w:ascii="Arial" w:cs="Arial" w:eastAsia="Arial" w:hAnsi="Arial"/>
                <w:sz w:val="11"/>
                <w:szCs w:val="11"/>
                <w:color w:val="auto"/>
              </w:rPr>
              <w:t>units</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w w:val="94"/>
              </w:rPr>
              <w:t>11,736,872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7080" w:type="dxa"/>
            <w:vAlign w:val="bottom"/>
            <w:tcBorders>
              <w:right w:val="single" w:sz="8" w:color="auto"/>
            </w:tcBorders>
            <w:gridSpan w:val="43"/>
          </w:tcPr>
          <w:p>
            <w:pPr>
              <w:spacing w:after="0" w:line="20" w:lineRule="exact"/>
              <w:rPr>
                <w:sz w:val="1"/>
                <w:szCs w:val="1"/>
                <w:color w:val="auto"/>
              </w:rPr>
            </w:pPr>
          </w:p>
        </w:tc>
        <w:tc>
          <w:tcPr>
            <w:tcW w:w="41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Exercise of stock options</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right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91,517</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72"/>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266</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154"/>
        </w:trPr>
        <w:tc>
          <w:tcPr>
            <w:tcW w:w="1520" w:type="dxa"/>
            <w:vAlign w:val="bottom"/>
            <w:gridSpan w:val="3"/>
          </w:tcPr>
          <w:p>
            <w:pPr>
              <w:ind w:left="20"/>
              <w:spacing w:after="0"/>
              <w:rPr>
                <w:sz w:val="20"/>
                <w:szCs w:val="20"/>
                <w:color w:val="auto"/>
              </w:rPr>
            </w:pPr>
            <w:r>
              <w:rPr>
                <w:rFonts w:ascii="Arial" w:cs="Arial" w:eastAsia="Arial" w:hAnsi="Arial"/>
                <w:sz w:val="11"/>
                <w:szCs w:val="11"/>
                <w:color w:val="auto"/>
              </w:rPr>
              <w:t>Stock-based compensation</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243,869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243,869</w:t>
            </w:r>
          </w:p>
        </w:tc>
        <w:tc>
          <w:tcPr>
            <w:tcW w:w="0" w:type="dxa"/>
            <w:vAlign w:val="bottom"/>
          </w:tcPr>
          <w:p>
            <w:pPr>
              <w:spacing w:after="0"/>
              <w:rPr>
                <w:sz w:val="1"/>
                <w:szCs w:val="1"/>
                <w:color w:val="auto"/>
              </w:rPr>
            </w:pPr>
          </w:p>
        </w:tc>
      </w:tr>
      <w:tr>
        <w:trPr>
          <w:trHeight w:val="22"/>
        </w:trPr>
        <w:tc>
          <w:tcPr>
            <w:tcW w:w="7080" w:type="dxa"/>
            <w:vAlign w:val="bottom"/>
            <w:tcBorders>
              <w:right w:val="single" w:sz="8" w:color="auto"/>
            </w:tcBorders>
            <w:gridSpan w:val="43"/>
          </w:tcPr>
          <w:p>
            <w:pPr>
              <w:spacing w:after="0" w:line="20" w:lineRule="exact"/>
              <w:rPr>
                <w:sz w:val="1"/>
                <w:szCs w:val="1"/>
                <w:color w:val="auto"/>
              </w:rPr>
            </w:pPr>
          </w:p>
        </w:tc>
        <w:tc>
          <w:tcPr>
            <w:tcW w:w="41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right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72"/>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4"/>
        </w:trPr>
        <w:tc>
          <w:tcPr>
            <w:tcW w:w="960" w:type="dxa"/>
            <w:vAlign w:val="bottom"/>
          </w:tcPr>
          <w:p>
            <w:pPr>
              <w:ind w:left="20"/>
              <w:spacing w:after="0"/>
              <w:rPr>
                <w:sz w:val="20"/>
                <w:szCs w:val="20"/>
                <w:color w:val="auto"/>
              </w:rPr>
            </w:pPr>
            <w:r>
              <w:rPr>
                <w:rFonts w:ascii="Arial" w:cs="Arial" w:eastAsia="Arial" w:hAnsi="Arial"/>
                <w:sz w:val="11"/>
                <w:szCs w:val="11"/>
                <w:color w:val="auto"/>
              </w:rPr>
              <w:t>Net loss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(270,436)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(270,436)</w:t>
            </w: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gridSpan w:val="2"/>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right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BALANCE–March 31, 2021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0"/>
              </w:rPr>
              <w:t>—</w:t>
            </w:r>
          </w:p>
        </w:tc>
        <w:tc>
          <w:tcPr>
            <w:tcW w:w="300" w:type="dxa"/>
            <w:vAlign w:val="bottom"/>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left="22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right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84"/>
              </w:rPr>
              <w:t>585,691,729</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58</w:t>
            </w:r>
          </w:p>
        </w:tc>
        <w:tc>
          <w:tcPr>
            <w:tcW w:w="4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7"/>
              <w:spacing w:after="0"/>
              <w:rPr>
                <w:sz w:val="20"/>
                <w:szCs w:val="20"/>
                <w:color w:val="auto"/>
              </w:rPr>
            </w:pPr>
            <w:r>
              <w:rPr>
                <w:rFonts w:ascii="Arial" w:cs="Arial" w:eastAsia="Arial" w:hAnsi="Arial"/>
                <w:sz w:val="11"/>
                <w:szCs w:val="11"/>
                <w:color w:val="auto"/>
                <w:w w:val="96"/>
              </w:rPr>
              <w:t>$ 3,697,382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8"/>
              </w:rPr>
              <w:t>$ (1,313,885)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2,383,561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7"/>
          <w:szCs w:val="17"/>
          <w:color w:val="auto"/>
        </w:rPr>
        <w:t>t</w:t>
      </w:r>
      <w:r>
        <w:rPr>
          <w:rFonts w:ascii="Arial" w:cs="Arial" w:eastAsia="Arial" w:hAnsi="Arial"/>
          <w:sz w:val="16"/>
          <w:szCs w:val="16"/>
          <w:color w:val="auto"/>
        </w:rPr>
        <w: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(270,436)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(62,196)</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loss to cash, cash equivalents, and restricted cash (used in) provided by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Depreciation and amortization – net of accretion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9,522</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Amortization of right of use asset</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3,660</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238,832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2,970</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Derivative and warrant fair value adjustment</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r>
      <w:tr>
        <w:trPr>
          <w:trHeight w:val="191"/>
        </w:trPr>
        <w:tc>
          <w:tcPr>
            <w:tcW w:w="8400" w:type="dxa"/>
            <w:vAlign w:val="bottom"/>
          </w:tcPr>
          <w:p>
            <w:pPr>
              <w:ind w:left="520"/>
              <w:spacing w:after="0"/>
              <w:rPr>
                <w:sz w:val="20"/>
                <w:szCs w:val="20"/>
                <w:color w:val="auto"/>
              </w:rPr>
            </w:pPr>
            <w:r>
              <w:rPr>
                <w:rFonts w:ascii="Arial" w:cs="Arial" w:eastAsia="Arial" w:hAnsi="Arial"/>
                <w:sz w:val="14"/>
                <w:szCs w:val="14"/>
                <w:color w:val="auto"/>
              </w:rPr>
              <w:t>Gain on settlement of lease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Inventory valuation adjustment</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6,221</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Changes in fair value of derivative instruments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Payment-in-kind interest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Net fair value adjustments and gain (loss) on sale of mortgage loans held for sale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Origination of mortgage loans held for sale</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(32,082)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(17,658)</w:t>
            </w:r>
          </w:p>
        </w:tc>
      </w:tr>
      <w:tr>
        <w:trPr>
          <w:trHeight w:val="191"/>
        </w:trPr>
        <w:tc>
          <w:tcPr>
            <w:tcW w:w="8400" w:type="dxa"/>
            <w:vAlign w:val="bottom"/>
          </w:tcPr>
          <w:p>
            <w:pPr>
              <w:ind w:left="52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15,453</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Escrow receivable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(826)</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Real estate inventories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(374,665)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480,170</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6,379</w:t>
            </w:r>
          </w:p>
        </w:tc>
      </w:tr>
      <w:tr>
        <w:trPr>
          <w:trHeight w:val="26"/>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Accounts payable and other accrued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15,680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(4,597)</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Interest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(1,590)</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(3,088)</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(404,707)</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436,382</w:t>
            </w:r>
          </w:p>
        </w:tc>
      </w:tr>
      <w:tr>
        <w:trPr>
          <w:trHeight w:val="25"/>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Purchase of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(5,684)</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marketable securities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(34,583)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(69,778)</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20,310</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non-marketable equity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(25,287)</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(55,152)</w:t>
            </w:r>
          </w:p>
        </w:tc>
      </w:tr>
      <w:tr>
        <w:trPr>
          <w:trHeight w:val="25"/>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the February 2021 Offering</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886,067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Issuance cost of common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credit facilities and other secured borrowings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704,047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662,268</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Principal payments on credit facilities and other secured borrowings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(453,806)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(1,008,407)</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Payment of loan origination fees and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1,107,653</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(346,915)</w:t>
            </w:r>
          </w:p>
        </w:tc>
      </w:tr>
      <w:tr>
        <w:trPr>
          <w:trHeight w:val="25"/>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IN CASH, CASH EQUIVALENTS, AND RESTRICTED CASH</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677,659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34,315</w:t>
            </w:r>
          </w:p>
        </w:tc>
      </w:tr>
      <w:tr>
        <w:trPr>
          <w:trHeight w:val="191"/>
        </w:trPr>
        <w:tc>
          <w:tcPr>
            <w:tcW w:w="840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 Beginning of period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1,505,528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684,822</w:t>
            </w:r>
          </w:p>
        </w:tc>
      </w:tr>
      <w:tr>
        <w:trPr>
          <w:trHeight w:val="25"/>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 End of period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2,183,187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719,137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400" w:type="dxa"/>
            <w:vAlign w:val="bottom"/>
          </w:tcPr>
          <w:p>
            <w:pPr>
              <w:ind w:left="18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9,091</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25,186</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RECONCILIATION TO CONDENSED CONSOLIDATED BALANCE SHEETS: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2,039,876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409,257</w:t>
            </w:r>
          </w:p>
        </w:tc>
      </w:tr>
      <w:tr>
        <w:trPr>
          <w:trHeight w:val="25"/>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143,311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309,880</w:t>
            </w:r>
          </w:p>
        </w:tc>
      </w:tr>
      <w:tr>
        <w:trPr>
          <w:trHeight w:val="209"/>
        </w:trPr>
        <w:tc>
          <w:tcPr>
            <w:tcW w:w="8400" w:type="dxa"/>
            <w:vAlign w:val="bottom"/>
          </w:tcPr>
          <w:p>
            <w:pPr>
              <w:ind w:left="360"/>
              <w:spacing w:after="0"/>
              <w:rPr>
                <w:sz w:val="20"/>
                <w:szCs w:val="20"/>
                <w:color w:val="auto"/>
              </w:rPr>
            </w:pPr>
            <w:r>
              <w:rPr>
                <w:rFonts w:ascii="Arial" w:cs="Arial" w:eastAsia="Arial" w:hAnsi="Arial"/>
                <w:sz w:val="14"/>
                <w:szCs w:val="14"/>
                <w:color w:val="auto"/>
              </w:rPr>
              <w:t>Cash, cash equivalents, and restricted cash</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2,183,187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719,137</w:t>
            </w:r>
          </w:p>
        </w:tc>
      </w:tr>
      <w:tr>
        <w:trPr>
          <w:trHeight w:val="21"/>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Opendoor Technologies Inc. (the “Company” and “Opendoor”) including its consolidated subsidiaries and certain variable interest entities (“VIEs”), is a leading digital platform for buying and selling homes. Opendoor streamlines the home selling and buying transaction and creates an end-to-end experience online. Since its inception through March 31, 2021, the Company had completed approximately 90,000 home transactions. As of March 31, 2021, the Company operated in 27 markets across the United States. The Company was incorporated in Delaware on December 30,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Prior Period Amounts</w:t>
      </w:r>
    </w:p>
    <w:p>
      <w:pPr>
        <w:spacing w:after="0" w:line="225" w:lineRule="exact"/>
        <w:rPr>
          <w:sz w:val="20"/>
          <w:szCs w:val="20"/>
          <w:color w:val="auto"/>
        </w:rPr>
      </w:pPr>
    </w:p>
    <w:p>
      <w:pPr>
        <w:ind w:right="580" w:firstLine="405"/>
        <w:spacing w:after="0" w:line="286" w:lineRule="auto"/>
        <w:rPr>
          <w:sz w:val="20"/>
          <w:szCs w:val="20"/>
          <w:color w:val="auto"/>
        </w:rPr>
      </w:pPr>
      <w:r>
        <w:rPr>
          <w:rFonts w:ascii="Arial" w:cs="Arial" w:eastAsia="Arial" w:hAnsi="Arial"/>
          <w:sz w:val="17"/>
          <w:szCs w:val="17"/>
          <w:color w:val="auto"/>
        </w:rPr>
        <w:t>On April 12, 2021, subsequent to the filing of the Company’s Annual Report on Form 10-K for the year ended December 31, 2020, the Acting Director of the Division of Corporation Finance and the Acting Chief Accountant of the SEC issued a Staff Statement (the “Staff Statement”) on Accounting and Reporting Considerations for Warrants Issued by Special Purpose Acquisition Companies (“SPACs”).</w:t>
      </w:r>
    </w:p>
    <w:p>
      <w:pPr>
        <w:spacing w:after="0" w:line="165" w:lineRule="exact"/>
        <w:rPr>
          <w:sz w:val="20"/>
          <w:szCs w:val="20"/>
          <w:color w:val="auto"/>
        </w:rPr>
      </w:pPr>
    </w:p>
    <w:p>
      <w:pPr>
        <w:jc w:val="both"/>
        <w:ind w:right="60" w:firstLine="405"/>
        <w:spacing w:after="0" w:line="287" w:lineRule="auto"/>
        <w:rPr>
          <w:sz w:val="20"/>
          <w:szCs w:val="20"/>
          <w:color w:val="auto"/>
        </w:rPr>
      </w:pPr>
      <w:r>
        <w:rPr>
          <w:rFonts w:ascii="Arial" w:cs="Arial" w:eastAsia="Arial" w:hAnsi="Arial"/>
          <w:sz w:val="16"/>
          <w:szCs w:val="16"/>
          <w:color w:val="auto"/>
        </w:rPr>
        <w:t xml:space="preserve">The Company took into consideration the guidance in the Staff Statement and Accounting Standards Codification 815-40, </w:t>
      </w:r>
      <w:r>
        <w:rPr>
          <w:rFonts w:ascii="Arial" w:cs="Arial" w:eastAsia="Arial" w:hAnsi="Arial"/>
          <w:sz w:val="16"/>
          <w:szCs w:val="16"/>
          <w:i w:val="1"/>
          <w:iCs w:val="1"/>
          <w:color w:val="auto"/>
        </w:rPr>
        <w:t xml:space="preserve">Derivatives and Hedging-Contracts in Entity’s Own Equity </w:t>
      </w:r>
      <w:r>
        <w:rPr>
          <w:rFonts w:ascii="Arial" w:cs="Arial" w:eastAsia="Arial" w:hAnsi="Arial"/>
          <w:sz w:val="16"/>
          <w:szCs w:val="16"/>
          <w:color w:val="auto"/>
        </w:rPr>
        <w:t>("ASC 815-40") and evaluated the Public and Sponsor Warrants (each as defined herein and collectively the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The Warrants were issued in a private placement simultaneously with the closing of the initial public offering of Social Capital Hedosophia Holdings Corp.</w:t>
      </w:r>
    </w:p>
    <w:p>
      <w:pPr>
        <w:spacing w:after="0" w:line="2" w:lineRule="exact"/>
        <w:rPr>
          <w:sz w:val="20"/>
          <w:szCs w:val="20"/>
          <w:color w:val="auto"/>
        </w:rPr>
      </w:pPr>
    </w:p>
    <w:p>
      <w:pPr>
        <w:ind w:firstLine="8"/>
        <w:spacing w:after="0" w:line="288" w:lineRule="auto"/>
        <w:tabs>
          <w:tab w:leader="none" w:pos="165" w:val="left"/>
        </w:tabs>
        <w:numPr>
          <w:ilvl w:val="0"/>
          <w:numId w:val="6"/>
        </w:numPr>
        <w:rPr>
          <w:rFonts w:ascii="Arial" w:cs="Arial" w:eastAsia="Arial" w:hAnsi="Arial"/>
          <w:sz w:val="16"/>
          <w:szCs w:val="16"/>
          <w:color w:val="auto"/>
        </w:rPr>
      </w:pPr>
      <w:r>
        <w:rPr>
          <w:rFonts w:ascii="Arial" w:cs="Arial" w:eastAsia="Arial" w:hAnsi="Arial"/>
          <w:sz w:val="16"/>
          <w:szCs w:val="16"/>
          <w:color w:val="auto"/>
        </w:rPr>
        <w:t>(“SCH”), assumed by the Company through the Business Combination (as defined herein) on December 18, 2020, and classified in shareholders' equity as of and for the year ended December 31, 2020. While the Company concluded the Public Warrants meet the criteria to continue to be classified in shareholders' equity, the Company concluded the Sponsor Warrants do not meet the scope exception from derivative accounting prescribed by ASC 815-40 and should therefore be recorded as a liability on the Company’s consolidated balance sheet at fair value as of the closing of the Business Combination, with subsequent changes in their fair value recognized in the Company’s consolidated statement of operations at each reporting date. The accounting for the Sponsor Warrants does not impact the Company's financial statements in any reporting periods prior to the Business Combination, as the Company assumed the Warrants through the Business Combination which was accounted for as a reverse recapitalization.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Sponsor Warrants as of the Closing Date on December 18, 2020 and December 31, 2020 amounted to $81.1 million and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$47.3 million, respectively. The change in fair value from the Closing Date through December 31, 2020 amounted to a gain of $33.8 million. The impact of the misstatement as of December 31, 2020 resulted in an understatement of the private warrants liability of $47.3 million, and an overstatement of accumulated deficit and additional paid-in capital of $33.8 million and $81.1 million respectively.</w:t>
      </w:r>
    </w:p>
    <w:p>
      <w:pPr>
        <w:spacing w:after="0" w:line="19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evaluated the impact of error related to the accounting treatment of Sponsor Warrants with respect to the Company’s Annual Report on Form 10-K for the year ended December 31, 2020 and determined, based on consideration of quantitative and qualitative factors, that the error had an immaterial impact, individually and in aggregate. As such, the Company is correcting its accounting for Sponsor Warrants in this Quarterly Report on Form 10-Q.</w:t>
      </w:r>
    </w:p>
    <w:p>
      <w:pPr>
        <w:spacing w:after="0" w:line="18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provides the impact of the correction on the Company's Condensed Consolidated Balance Sheet as of December 31, 2020, as presented herein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rPr>
              <w:t>As Corrected</w:t>
            </w:r>
          </w:p>
        </w:tc>
      </w:tr>
      <w:tr>
        <w:trPr>
          <w:trHeight w:val="25"/>
        </w:trPr>
        <w:tc>
          <w:tcPr>
            <w:tcW w:w="38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center"/>
              <w:ind w:left="653"/>
              <w:spacing w:after="0"/>
              <w:rPr>
                <w:sz w:val="20"/>
                <w:szCs w:val="20"/>
                <w:color w:val="auto"/>
              </w:rPr>
            </w:pPr>
            <w:r>
              <w:rPr>
                <w:rFonts w:ascii="Arial" w:cs="Arial" w:eastAsia="Arial" w:hAnsi="Arial"/>
                <w:sz w:val="18"/>
                <w:szCs w:val="18"/>
                <w:color w:val="auto"/>
                <w:w w:val="90"/>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575,575</w:t>
            </w:r>
          </w:p>
        </w:tc>
        <w:tc>
          <w:tcPr>
            <w:tcW w:w="100" w:type="dxa"/>
            <w:vAlign w:val="bottom"/>
          </w:tcPr>
          <w:p>
            <w:pPr>
              <w:spacing w:after="0"/>
              <w:rPr>
                <w:sz w:val="21"/>
                <w:szCs w:val="21"/>
                <w:color w:val="auto"/>
              </w:rPr>
            </w:pPr>
          </w:p>
        </w:tc>
        <w:tc>
          <w:tcPr>
            <w:tcW w:w="1360" w:type="dxa"/>
            <w:vAlign w:val="bottom"/>
          </w:tcPr>
          <w:p>
            <w:pPr>
              <w:jc w:val="center"/>
              <w:ind w:left="653"/>
              <w:spacing w:after="0"/>
              <w:rPr>
                <w:sz w:val="20"/>
                <w:szCs w:val="20"/>
                <w:color w:val="auto"/>
              </w:rPr>
            </w:pPr>
            <w:r>
              <w:rPr>
                <w:rFonts w:ascii="Arial" w:cs="Arial" w:eastAsia="Arial" w:hAnsi="Arial"/>
                <w:sz w:val="18"/>
                <w:szCs w:val="18"/>
                <w:b w:val="1"/>
                <w:bCs w:val="1"/>
                <w:color w:val="auto"/>
                <w:w w:val="90"/>
              </w:rPr>
              <w:t>47,349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622,924</w:t>
            </w:r>
          </w:p>
        </w:tc>
      </w:tr>
      <w:tr>
        <w:trPr>
          <w:trHeight w:val="27"/>
        </w:trPr>
        <w:tc>
          <w:tcPr>
            <w:tcW w:w="38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2,677,155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613"/>
              <w:spacing w:after="0"/>
              <w:rPr>
                <w:sz w:val="20"/>
                <w:szCs w:val="20"/>
                <w:color w:val="auto"/>
              </w:rPr>
            </w:pPr>
            <w:r>
              <w:rPr>
                <w:rFonts w:ascii="Arial" w:cs="Arial" w:eastAsia="Arial" w:hAnsi="Arial"/>
                <w:sz w:val="18"/>
                <w:szCs w:val="18"/>
                <w:color w:val="auto"/>
                <w:w w:val="92"/>
              </w:rPr>
              <w:t>(81,143)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2,596,012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(1,077,243)</w:t>
            </w:r>
          </w:p>
        </w:tc>
        <w:tc>
          <w:tcPr>
            <w:tcW w:w="100" w:type="dxa"/>
            <w:vAlign w:val="bottom"/>
          </w:tcPr>
          <w:p>
            <w:pPr>
              <w:spacing w:after="0"/>
              <w:rPr>
                <w:sz w:val="21"/>
                <w:szCs w:val="21"/>
                <w:color w:val="auto"/>
              </w:rPr>
            </w:pPr>
          </w:p>
        </w:tc>
        <w:tc>
          <w:tcPr>
            <w:tcW w:w="1360" w:type="dxa"/>
            <w:vAlign w:val="bottom"/>
          </w:tcPr>
          <w:p>
            <w:pPr>
              <w:jc w:val="center"/>
              <w:ind w:left="653"/>
              <w:spacing w:after="0"/>
              <w:rPr>
                <w:sz w:val="20"/>
                <w:szCs w:val="20"/>
                <w:color w:val="auto"/>
              </w:rPr>
            </w:pPr>
            <w:r>
              <w:rPr>
                <w:rFonts w:ascii="Arial" w:cs="Arial" w:eastAsia="Arial" w:hAnsi="Arial"/>
                <w:sz w:val="18"/>
                <w:szCs w:val="18"/>
                <w:color w:val="auto"/>
                <w:w w:val="90"/>
              </w:rPr>
              <w:t>33,794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(1,043,449)</w:t>
            </w:r>
          </w:p>
        </w:tc>
      </w:tr>
      <w:tr>
        <w:trPr>
          <w:trHeight w:val="27"/>
        </w:trPr>
        <w:tc>
          <w:tcPr>
            <w:tcW w:w="38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1,600,007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613"/>
              <w:spacing w:after="0"/>
              <w:rPr>
                <w:sz w:val="20"/>
                <w:szCs w:val="20"/>
                <w:color w:val="auto"/>
              </w:rPr>
            </w:pPr>
            <w:r>
              <w:rPr>
                <w:rFonts w:ascii="Arial" w:cs="Arial" w:eastAsia="Arial" w:hAnsi="Arial"/>
                <w:sz w:val="18"/>
                <w:szCs w:val="18"/>
                <w:b w:val="1"/>
                <w:bCs w:val="1"/>
                <w:color w:val="auto"/>
                <w:w w:val="92"/>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1,552,658</w:t>
            </w:r>
          </w:p>
        </w:tc>
      </w:tr>
      <w:tr>
        <w:trPr>
          <w:trHeight w:val="891"/>
        </w:trPr>
        <w:tc>
          <w:tcPr>
            <w:tcW w:w="3800" w:type="dxa"/>
            <w:vAlign w:val="bottom"/>
          </w:tcPr>
          <w:p>
            <w:pPr>
              <w:spacing w:after="0"/>
              <w:rPr>
                <w:sz w:val="24"/>
                <w:szCs w:val="24"/>
                <w:color w:val="auto"/>
              </w:rPr>
            </w:pPr>
          </w:p>
        </w:tc>
        <w:tc>
          <w:tcPr>
            <w:tcW w:w="3160" w:type="dxa"/>
            <w:vAlign w:val="bottom"/>
          </w:tcPr>
          <w:p>
            <w:pPr>
              <w:jc w:val="right"/>
              <w:ind w:right="12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9"/>
        </w:trPr>
        <w:tc>
          <w:tcPr>
            <w:tcW w:w="3800" w:type="dxa"/>
            <w:vAlign w:val="bottom"/>
            <w:tcBorders>
              <w:bottom w:val="single" w:sz="8" w:color="9A9A9A"/>
            </w:tcBorders>
          </w:tcPr>
          <w:p>
            <w:pPr>
              <w:spacing w:after="0"/>
              <w:rPr>
                <w:sz w:val="11"/>
                <w:szCs w:val="11"/>
                <w:color w:val="auto"/>
              </w:rPr>
            </w:pPr>
          </w:p>
        </w:tc>
        <w:tc>
          <w:tcPr>
            <w:tcW w:w="3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generally accepted accounting principles in the United States of America (“GAAP”). The condensed consolidated financial statements as of March 31, 2021 and December 31, 2020 and for the three month periods ended March 31, 2021 and 2020 include the accounts of Opendoor, its wholly owned subsidiaries and VIEs where the Company is the primary beneficiary. The accompanying unaudited consolidated financial statements reflect all adjustments which are, in the opinion of management, necessary to a fair statement of the results for the interim periods presented. All significant intercompany accounts and transactions have been eliminated in the consolidated financial statements herein.</w:t>
      </w:r>
    </w:p>
    <w:p>
      <w:pPr>
        <w:spacing w:after="0" w:line="192"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As a result of the Business Combination completed on December 18, 2020, prior period share and per share amounts presented in the accompanying consolidated financial statements and these related notes have been retroactively converted. See “</w:t>
      </w:r>
      <w:r>
        <w:rPr>
          <w:rFonts w:ascii="Arial" w:cs="Arial" w:eastAsia="Arial" w:hAnsi="Arial"/>
          <w:sz w:val="18"/>
          <w:szCs w:val="18"/>
          <w:i w:val="1"/>
          <w:iCs w:val="1"/>
          <w:color w:val="auto"/>
        </w:rPr>
        <w:t>Note 2— Business Combination”</w:t>
      </w:r>
      <w:r>
        <w:rPr>
          <w:rFonts w:ascii="Arial" w:cs="Arial" w:eastAsia="Arial" w:hAnsi="Arial"/>
          <w:sz w:val="18"/>
          <w:szCs w:val="18"/>
          <w:color w:val="auto"/>
        </w:rPr>
        <w:t xml:space="preserve"> for additional information.</w:t>
      </w:r>
    </w:p>
    <w:p>
      <w:pPr>
        <w:spacing w:after="0" w:line="184"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2020 (“Annual Report”) filed on March 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 the determination of the fair value of common stock, share-based awards, warrants, derivatives, convertible notes, and inventory impairment (“real estate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 The COVID-19 pandemic introduced significant additional uncertainties with respect to estimates, judgments and assumptions, which may materially impact these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advertising inventory or pricing; engagement and usage of its products; the effectiveness of its investment of resources to pursue strategies; competition in its market; the stability of the residential real estate market; the impact of interest rate changes on demand and its costs; changes in technology, products, markets or services by the Company or its competitors; the addition or loss of significant customers;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investments in marketable securities, and mortgage loans held for sale pledged under agreements to repurchase (“MLHFS”). The Company places cash and cash equivalents and investments with major financial institutions, which management assesses to be of high credit quality, in order to limit exposure of the Company’s investments.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Similarly, the Company’s credit risk on mortgage loans held for sale is mitigated due to a large number of customers. Further, the Company’s credit risk on mortgage loans held for sale is mitigated by the fact that the Company typically sells mortgages on the secondary market within a relatively short period of time after which the Company’s exposure is limited to borrower defaults within the initial few months of the mortgage.</w:t>
      </w:r>
    </w:p>
    <w:p>
      <w:pPr>
        <w:spacing w:after="0" w:line="16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“Part II – Item 8 – Financial Statements and Supplementary Data – Note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Description of Business and Accounting Policies” </w:t>
      </w:r>
      <w:r>
        <w:rPr>
          <w:rFonts w:ascii="Arial" w:cs="Arial" w:eastAsia="Arial" w:hAnsi="Arial"/>
          <w:sz w:val="18"/>
          <w:szCs w:val="18"/>
          <w:color w:val="auto"/>
        </w:rPr>
        <w:t>in the Annual Report. There have been no changes to these significant accounting policies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 period ended March 31, 2021, except as noted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The Company’s derivative instruments are comprised of interest rate caps, interest rate lock commitments (“IRLCs”), and embedded conversion options related to the convertible notes. The Company’s derivative instruments are freestanding in nature and some are utilized as economic hedges. These derivative instruments are recorded at fair value with changes recognized as a gain or loss to operations. Beginning in 2021, the Company changed the fair value classification of IRLCs from Level 2 to Level 3 as the Company began to adjust observable input data for the estimated pull-through rate, a Company specific input that is unobservable to market participants. See </w:t>
      </w:r>
      <w:r>
        <w:rPr>
          <w:rFonts w:ascii="Arial" w:cs="Arial" w:eastAsia="Arial" w:hAnsi="Arial"/>
          <w:sz w:val="18"/>
          <w:szCs w:val="18"/>
          <w:i w:val="1"/>
          <w:iCs w:val="1"/>
          <w:color w:val="auto"/>
        </w:rPr>
        <w:t>“Note 5 — Derivative Instruments”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 — Fair Value Disclosures</w:t>
      </w:r>
      <w:r>
        <w:rPr>
          <w:rFonts w:ascii="Arial" w:cs="Arial" w:eastAsia="Arial" w:hAnsi="Arial"/>
          <w:sz w:val="18"/>
          <w:szCs w:val="18"/>
          <w:color w:val="auto"/>
        </w:rPr>
        <w:t>"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non-marketable equity securities are strategic investments in a privately held company. Non-marketable equity securities are investments that do not have a readily determinable fair value, which are measured at cost minus impairment, if any, adjusted for changes resulting from observable price changes in orderly transactions for an identical or similar investment in the same issuer (the “Measurement Alternative”). All gains and losses on these investments, realized and unrealized, are recorded in Other income-net on our consolidated statements of operations. We assess whether an impairment loss on our non-marketable equity securities has occurred due to declines in fair value or other market conditions. If any impairment is identified for non-marketable equity securities, we write down the investment to its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Long-lived assets, such as property and equipment and definite-lived intangible assets, among other long-term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Impairment loss of $2.6 million was recognized for the three months ended March 31, 2021. Of this amount, $1.9 million and $0.7 million are included in Technology and development and General and administrative, respectively. There were no impairment charges recognized during the three months ended March 31, 2020. The impairment loss recognized for the three months ended March 31, 2021 is related to abandonment of property and equipment and sublease of certain right of use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5"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On April 30, 2020, SCH consummated its initial public offering of 41,400,000 units, consisting of one share of Class A common stock and one third of one warrant exercisable for Class A common stock, at a price of $10.00 per unit. Each whole warrant entitles the holder to purchase one share of Class A common stock at an exercise price of $11.50 per share (the “Public Warrants”). Simultaneously with the closing of the IPO, SCH completed the private sale of 6,133,333 warrants to SCH’s sponsor at a price of $1.50 per warrant (the “Sponsor Warrants”). Each Sponsor Warrant allows the sponsor to purchase one share of Class A common stock at $11.50 per share. As of December 31, 2020, there were 19,933,333 warrants outstanding.</w:t>
      </w:r>
    </w:p>
    <w:p>
      <w:pPr>
        <w:spacing w:after="0" w:line="16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Sponsor Warrants and shares of common stock issuable upon the exercise of Sponsor Warrants may not be transferred, assigned, or sold until 30 days after the completion of a Business Combination. Additionally, the Sponsor Warrants are eligible for cash and cashless exercises, at the holder’s option, and are redeemable only if the reference value, as defined in the Warrant Agreement, is less than $18.00 per share. If the Sponsor Warrants are held by someone other than the sponsors and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certain permitted transferees, the Sponsor Warrants will be redeemable and exercisable on the same basis as the Public Warrants.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 xml:space="preserve">The Company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do not meet the criteria to be classified in shareholders’ equity. Specifically, the exercise and settlement features for the Sponsor Warrants preclude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the fact that a change in the holder may impact the value of the Sponsor Warrants means the Sponsor Warrants are not indexed to the Company’s own stock. Since the Private Warrants meet the definition of a derivative under ASC 815, the Company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do not have the same exercise and settlement features as the Sponsor Warrants, meet the criteria to be classified in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December 2019, the FASB issued ASU 2019-12, Simplifying the Accounting for Income Taxes (Topic 740).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2020, and interim periods within those fiscal years. The Company adopted this ASU as of January 1, 2021 and the adoption of this ASU did not have a material impact to the Company’s consolidated financial statements given that the Company has a full valuation allowance and the scenarios for which the guidance offer simplification are not significant for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In March 2020, the FASB issued ASU 2020-04 which provides optional expedients and exceptions for applying GAAP to contracts, hedging relationships and other transactions that reference the London Inter- 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This guidance is effective from March 12, 2020 through December 31, 2022. Entities may elect to adopt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Company may elect to take advantage of this optional guidance in its transition away from LIBOR within certain debt contracts. While the goal of the reference rate reform transition is for it to be economically neutral to entities, the Company has not yet adopted this standard nor has the Company determined the impact the adoption of this guidance will have on the Company’s financial position, results of operations or cash flows.</w:t>
      </w:r>
    </w:p>
    <w:p>
      <w:pPr>
        <w:spacing w:after="0" w:line="16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Opendoor Labs Inc. entered into a merger agreement (the “Merger Agreement”) with Social Capital Hedosophia Holdings Corp. II,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These transactions are collectively referred to as the “Business Combination.”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The Business Combination was accounted for as a reverse recapitalization whereby SCH was determined as the accounting acquiree and Opendoor Labs Inc. as the accounting acquirer. This accounting treatment is equivalent to Opendoor Labs Inc. issuing stock for the net assets of SCH, accompanied by a recapitalization whereby no goodwill or other intangible assets are recorded. Operations prior to the Business Combination are those of Opendoor Labs Inc. At the Closing, the Company received consideration of $376.6 million in cash as a result of the reverse recapitalization.</w:t>
      </w:r>
    </w:p>
    <w:p>
      <w:pPr>
        <w:spacing w:after="0" w:line="15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connection with the Business Combination, SCH entered into subscription agreements with certain investors, whereby it issued 60,005,000 shares of common stock at $10.00 per share (“PIPE Shares”) for an aggregate purchase price of $600.1 million (“PIPE Investment”), which closed simultaneously with the consummation of the Business Combination. Upon the Closing, the PIPE Shares were automatically converted into shares of the Company's common stock on a one-for-one basis.</w:t>
      </w:r>
    </w:p>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Upon the Closing, holders of Opendoor Labs Inc. common stock received shares of Opendoor Technologies common stock in an amount determined by application of the exchange ratio of 1.618 (“Exchange Ratio”), which was based on Opendoor Labs Inc.’s implied price per share prior to the Business Combination. For periods prior to the Business Combination, the reported share and per share amounts have been retroactively converted (“Retroactive Conversion”) by applying the Exchange Ratio.</w:t>
      </w:r>
    </w:p>
    <w:p>
      <w:pPr>
        <w:spacing w:after="0" w:line="187" w:lineRule="exact"/>
        <w:rPr>
          <w:sz w:val="20"/>
          <w:szCs w:val="20"/>
          <w:color w:val="auto"/>
        </w:rPr>
      </w:pPr>
    </w:p>
    <w:p>
      <w:pPr>
        <w:ind w:right="980" w:firstLine="405"/>
        <w:spacing w:after="0" w:line="308" w:lineRule="auto"/>
        <w:rPr>
          <w:sz w:val="20"/>
          <w:szCs w:val="20"/>
          <w:color w:val="auto"/>
        </w:rPr>
      </w:pPr>
      <w:r>
        <w:rPr>
          <w:rFonts w:ascii="Arial" w:cs="Arial" w:eastAsia="Arial" w:hAnsi="Arial"/>
          <w:sz w:val="17"/>
          <w:szCs w:val="17"/>
          <w:color w:val="auto"/>
        </w:rPr>
        <w:t>In connection with the Business Combination, the Company incurred approximately $43.6 million of equity issuance costs, consisting of underwriting, legal, and other professional fees, which are recorded to additional paid-in capital as a reduction of proceeds.</w:t>
      </w:r>
    </w:p>
    <w:p>
      <w:pPr>
        <w:spacing w:after="0" w:line="14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presents the components of inventory, net of applicable real estate inventory valuation adjustments, as of the dates presented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5"/>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206,943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183,004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633,689</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282,932</w:t>
            </w: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inventory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840,632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465,936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527177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177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5271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7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amortized cost, gross unrealized gains and losses, and fair value of cash, cash equivalents, and marketable securities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6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Marketable</w:t>
            </w: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9"/>
                <w:szCs w:val="19"/>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Securities</w:t>
            </w:r>
          </w:p>
        </w:tc>
      </w:tr>
      <w:tr>
        <w:trPr>
          <w:trHeight w:val="25"/>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1,252,134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23,640</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21,186</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6,794</w:t>
            </w:r>
          </w:p>
        </w:tc>
      </w:tr>
      <w:tr>
        <w:trPr>
          <w:trHeight w:val="27"/>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2,098,488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2,098,495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58,619</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28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1791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2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Marketable</w:t>
            </w:r>
          </w:p>
        </w:tc>
      </w:tr>
      <w:tr>
        <w:trPr>
          <w:trHeight w:val="227"/>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Securities</w:t>
            </w:r>
          </w:p>
        </w:tc>
      </w:tr>
      <w:tr>
        <w:trPr>
          <w:trHeight w:val="26"/>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618,197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ind w:left="88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26,409</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6,995</w:t>
            </w: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63"/>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1,460,260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1,460,302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47,637</w:t>
            </w:r>
          </w:p>
        </w:tc>
      </w:tr>
      <w:tr>
        <w:trPr>
          <w:trHeight w:val="21"/>
        </w:trPr>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1791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debt securities with unrealized losses aggregated by period of continuous unrealized loss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6"/>
                <w:szCs w:val="16"/>
                <w:color w:val="auto"/>
              </w:rPr>
            </w:pPr>
          </w:p>
        </w:tc>
        <w:tc>
          <w:tcPr>
            <w:tcW w:w="2100" w:type="dxa"/>
            <w:vAlign w:val="bottom"/>
            <w:gridSpan w:val="3"/>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6"/>
                <w:szCs w:val="16"/>
                <w:color w:val="auto"/>
              </w:rPr>
            </w:pPr>
          </w:p>
        </w:tc>
      </w:tr>
      <w:tr>
        <w:trPr>
          <w:trHeight w:val="26"/>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ind w:left="196"/>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Unrealized</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center"/>
              <w:ind w:left="176"/>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2"/>
              </w:rPr>
              <w:t>Losses</w:t>
            </w:r>
          </w:p>
        </w:tc>
      </w:tr>
      <w:tr>
        <w:trPr>
          <w:trHeight w:val="26"/>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8"/>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24"/>
                <w:szCs w:val="24"/>
                <w:color w:val="auto"/>
              </w:rPr>
            </w:pPr>
          </w:p>
        </w:tc>
        <w:tc>
          <w:tcPr>
            <w:tcW w:w="2100" w:type="dxa"/>
            <w:vAlign w:val="bottom"/>
            <w:gridSpan w:val="3"/>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24"/>
                <w:szCs w:val="24"/>
                <w:color w:val="auto"/>
              </w:rPr>
            </w:pPr>
          </w:p>
        </w:tc>
      </w:tr>
      <w:tr>
        <w:trPr>
          <w:trHeight w:val="25"/>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ind w:left="196"/>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Unrealized</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center"/>
              <w:ind w:left="176"/>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8"/>
                <w:szCs w:val="18"/>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2"/>
              </w:rPr>
              <w:t>Losses</w:t>
            </w:r>
          </w:p>
        </w:tc>
      </w:tr>
      <w:tr>
        <w:trPr>
          <w:trHeight w:val="25"/>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scheduled contractual maturities of debt securities as of March 31, 2021 are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58"/>
              <w:spacing w:after="0"/>
              <w:rPr>
                <w:sz w:val="20"/>
                <w:szCs w:val="20"/>
                <w:color w:val="auto"/>
              </w:rPr>
            </w:pPr>
            <w:r>
              <w:rPr>
                <w:rFonts w:ascii="Arial" w:cs="Arial" w:eastAsia="Arial" w:hAnsi="Arial"/>
                <w:sz w:val="14"/>
                <w:szCs w:val="14"/>
                <w:b w:val="1"/>
                <w:bCs w:val="1"/>
                <w:color w:val="auto"/>
              </w:rPr>
              <w:t>After</w:t>
            </w:r>
          </w:p>
        </w:tc>
      </w:tr>
      <w:tr>
        <w:trPr>
          <w:trHeight w:val="189"/>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1 Year</w:t>
            </w:r>
          </w:p>
        </w:tc>
      </w:tr>
      <w:tr>
        <w:trPr>
          <w:trHeight w:val="192"/>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6"/>
                <w:szCs w:val="16"/>
                <w:color w:val="auto"/>
              </w:rPr>
            </w:pPr>
          </w:p>
        </w:tc>
        <w:tc>
          <w:tcPr>
            <w:tcW w:w="10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through</w:t>
            </w:r>
          </w:p>
        </w:tc>
      </w:tr>
      <w:tr>
        <w:trPr>
          <w:trHeight w:val="227"/>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9"/>
                <w:szCs w:val="19"/>
                <w:color w:val="auto"/>
              </w:rPr>
            </w:pPr>
          </w:p>
        </w:tc>
        <w:tc>
          <w:tcPr>
            <w:tcW w:w="10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5 Years</w:t>
            </w:r>
          </w:p>
        </w:tc>
      </w:tr>
      <w:tr>
        <w:trPr>
          <w:trHeight w:val="25"/>
        </w:trPr>
        <w:tc>
          <w:tcPr>
            <w:tcW w:w="7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Corporate-debt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As of March 31, 2021, the Company had $10.0 million of non-marketable equity securities without a readily determinable fair value, carried at cost under the Measurement Alternative. The Company did not record any adjustments to the carrying value of its non-marketable equity securities.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uses certain types of derivative instruments in the normal course of business and the Company’s use of derivatives includes interest rate caps to manage interest rate risk, IRLCs with respect to our MLHFS, and embedded conversion options with respect to the Company’s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Caps</w:t>
      </w:r>
    </w:p>
    <w:p>
      <w:pPr>
        <w:spacing w:after="0" w:line="229"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The Company uses free-standing derivative instruments in the normal course of business as economic hedges to manage interest rate risks with respect to its variable senior revolving credit facilities. The interest rate caps were carried at fair value in Other current assets with changes in fair value included in Other income. The Company’s interest rate cap position expired in November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originating mortgage loans, the Company enters into IRLCs with prospective borrowers which are freestanding derivative instruments. IRLCs are a commitment that binds the Company, subject to loan underwriting and approval process, to 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the Company operates under the best effort basis whereby at the time of commitment, the Company enters into a sales commitment with a third-party for the same prospective loan. The fair value of interest rate lock commitments is presented in Other current assets. The change in fair value on IRLCs is a component of Other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Conversion Options</w:t>
      </w:r>
    </w:p>
    <w:p>
      <w:pPr>
        <w:spacing w:after="0" w:line="229"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In connection with the Company’s issuance of convertible notes in 2019 (the “Convertible Notes”), the Company bifurcated the embedded conversion features associated with the Convertible Notes. The Convertible Notes and the related bifurcated embedded conversion options were extinguished in September 2020. Prior to extinguishment, the embedded conversion options were measured at fair value and were presented in Derivative and warrant liabilities. The change in fair value of the embedded conversion options is a component of Derivative and warrant fair value adjustment.</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total notional amounts and fair values for the Company’s derivatives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Fair Value Derivatives</w:t>
            </w: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5"/>
        </w:trPr>
        <w:tc>
          <w:tcPr>
            <w:tcW w:w="7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17,958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Fair Value Derivatives</w:t>
            </w:r>
          </w:p>
        </w:tc>
        <w:tc>
          <w:tcPr>
            <w:tcW w:w="0" w:type="dxa"/>
            <w:vAlign w:val="bottom"/>
          </w:tcPr>
          <w:p>
            <w:pPr>
              <w:spacing w:after="0"/>
              <w:rPr>
                <w:sz w:val="1"/>
                <w:szCs w:val="1"/>
                <w:color w:val="auto"/>
              </w:rPr>
            </w:pPr>
          </w:p>
        </w:tc>
      </w:tr>
      <w:tr>
        <w:trPr>
          <w:trHeight w:val="171"/>
        </w:trPr>
        <w:tc>
          <w:tcPr>
            <w:tcW w:w="7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54"/>
        </w:trPr>
        <w:tc>
          <w:tcPr>
            <w:tcW w:w="71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7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15,130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the net gains and losses recognized on derivatives within the respective line items in the statement of operations for the periods indicated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5"/>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48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51860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established certain special purpose entities (“SPEs”) for the purpose of financing the Company’s purchase and renovation of real estate inventory through the issuance of senior revolving credit facility debt and mezzanine term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9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as of March 31, 2021 and December 31,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6"/>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82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15,849</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81,408</w:t>
            </w:r>
          </w:p>
        </w:tc>
      </w:tr>
      <w:tr>
        <w:trPr>
          <w:trHeight w:val="243"/>
        </w:trPr>
        <w:tc>
          <w:tcPr>
            <w:tcW w:w="2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Real estate inventory</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820,961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460,680</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r>
      <w:tr>
        <w:trPr>
          <w:trHeight w:val="263"/>
        </w:trPr>
        <w:tc>
          <w:tcPr>
            <w:tcW w:w="20" w:type="dxa"/>
            <w:vAlign w:val="bottom"/>
          </w:tcPr>
          <w:p>
            <w:pPr>
              <w:spacing w:after="0"/>
              <w:rPr>
                <w:sz w:val="22"/>
                <w:szCs w:val="22"/>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993,015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Liabilities</w:t>
            </w:r>
          </w:p>
        </w:tc>
        <w:tc>
          <w:tcPr>
            <w:tcW w:w="7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Credit facilities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725,247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474,640</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64"/>
        </w:trPr>
        <w:tc>
          <w:tcPr>
            <w:tcW w:w="20" w:type="dxa"/>
            <w:vAlign w:val="bottom"/>
          </w:tcPr>
          <w:p>
            <w:pPr>
              <w:spacing w:after="0"/>
              <w:rPr>
                <w:sz w:val="22"/>
                <w:szCs w:val="22"/>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730,557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478,034</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5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escrow receivable and other current assets.</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accounts payable and other accrued liabilities and interest payable.</w:t>
      </w:r>
    </w:p>
    <w:p>
      <w:pPr>
        <w:spacing w:after="0" w:line="20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 xml:space="preserve">The creditors of the VIEs generally do not have recourse to the Company’s general credit solely by virtue of being creditors of the VIEs, with the exception of limited guarantees provided by an Opendoor subsidiary for credit facilities. See </w:t>
      </w:r>
      <w:r>
        <w:rPr>
          <w:rFonts w:ascii="Arial" w:cs="Arial" w:eastAsia="Arial" w:hAnsi="Arial"/>
          <w:sz w:val="18"/>
          <w:szCs w:val="18"/>
          <w:i w:val="1"/>
          <w:iCs w:val="1"/>
          <w:color w:val="auto"/>
        </w:rPr>
        <w:t>“Note 7 — Credit Facilities and Long-Term Debt”</w:t>
      </w:r>
      <w:r>
        <w:rPr>
          <w:rFonts w:ascii="Arial" w:cs="Arial" w:eastAsia="Arial" w:hAnsi="Arial"/>
          <w:sz w:val="18"/>
          <w:szCs w:val="18"/>
          <w:color w:val="auto"/>
        </w:rPr>
        <w:t xml:space="preserve"> for further discussion of the recourse obligations with respect to the VIEs.</w:t>
      </w:r>
    </w:p>
    <w:p>
      <w:pPr>
        <w:spacing w:after="0" w:line="180"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Asset-backed Financing Facilities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utilizes inventory financing facilities consisting of asset-backed senior revolving credit facilities and asset-backed mezzanine term debt facilities to provide financing for the Company’s real estate inventory purchases and renovation. The credit facilities are secured by the assets and equity of one or more SPEs.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These facilities are non-recourse to Opendoor and, with limited exceptions, non-recourse to other Opendoor subsidiaries. These SPEs are variable interest entities and Opendoor is determined to be the primary beneficiary based on its power to direct the activities that most significantly impact the economic outcomes of the entities through its role in designing the entities and managing the real estate inventory purchased and sold by the entities. The Company has potentially significant variable interest in the entities based upon the equity interest the Company holds in the VIEs.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classifies the senior revolving credit facilities as current liabilities on the Company’s consolidated balance sheets as amounts drawn to acquire and renovate homes are required to be repaid as the related real estate inventory is sold, which the Company expects to occur within 12 months. The following table summarizes certain details related to the Company’s credit facilities outstanding as of March 31, 2021 and December 31, 2020 (in thousands, except interest rates):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End of</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Borrowing</w:t>
            </w:r>
          </w:p>
        </w:tc>
        <w:tc>
          <w:tcPr>
            <w:tcW w:w="200" w:type="dxa"/>
            <w:vAlign w:val="bottom"/>
          </w:tcPr>
          <w:p>
            <w:pPr>
              <w:spacing w:after="0"/>
              <w:rPr>
                <w:sz w:val="16"/>
                <w:szCs w:val="16"/>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Revolving</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Capacity</w:t>
            </w:r>
          </w:p>
        </w:tc>
        <w:tc>
          <w:tcPr>
            <w:tcW w:w="200" w:type="dxa"/>
            <w:vAlign w:val="bottom"/>
          </w:tcPr>
          <w:p>
            <w:pPr>
              <w:spacing w:after="0"/>
              <w:rPr>
                <w:sz w:val="19"/>
                <w:szCs w:val="19"/>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6"/>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September 23,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23, 2022</w:t>
            </w: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Revolving Facility 2018-3</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June 1, 2023</w:t>
            </w:r>
          </w:p>
        </w:tc>
        <w:tc>
          <w:tcPr>
            <w:tcW w:w="1900" w:type="dxa"/>
            <w:vAlign w:val="bottom"/>
          </w:tcPr>
          <w:p>
            <w:pPr>
              <w:jc w:val="right"/>
              <w:spacing w:after="0"/>
              <w:rPr>
                <w:sz w:val="20"/>
                <w:szCs w:val="20"/>
                <w:color w:val="auto"/>
              </w:rPr>
            </w:pPr>
            <w:r>
              <w:rPr>
                <w:rFonts w:ascii="Arial" w:cs="Arial" w:eastAsia="Arial" w:hAnsi="Arial"/>
                <w:sz w:val="18"/>
                <w:szCs w:val="18"/>
                <w:color w:val="auto"/>
              </w:rPr>
              <w:t>June 1, 2023</w:t>
            </w: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4,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4, 2022</w:t>
            </w: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Revolving Facility 2019-2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398,952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July 8, 2021</w:t>
            </w:r>
          </w:p>
        </w:tc>
        <w:tc>
          <w:tcPr>
            <w:tcW w:w="1900" w:type="dxa"/>
            <w:vAlign w:val="bottom"/>
          </w:tcPr>
          <w:p>
            <w:pPr>
              <w:jc w:val="right"/>
              <w:spacing w:after="0"/>
              <w:rPr>
                <w:sz w:val="20"/>
                <w:szCs w:val="20"/>
                <w:color w:val="auto"/>
              </w:rPr>
            </w:pPr>
            <w:r>
              <w:rPr>
                <w:rFonts w:ascii="Arial" w:cs="Arial" w:eastAsia="Arial" w:hAnsi="Arial"/>
                <w:sz w:val="18"/>
                <w:szCs w:val="18"/>
                <w:color w:val="auto"/>
              </w:rPr>
              <w:t>July 7, 2022</w:t>
            </w: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22,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21, 2023</w:t>
            </w: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588,774</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560" w:type="dxa"/>
            <w:vAlign w:val="bottom"/>
          </w:tcPr>
          <w:p>
            <w:pPr>
              <w:jc w:val="right"/>
              <w:ind w:right="142"/>
              <w:spacing w:after="0"/>
              <w:rPr>
                <w:sz w:val="20"/>
                <w:szCs w:val="20"/>
                <w:color w:val="auto"/>
              </w:rPr>
            </w:pPr>
            <w:r>
              <w:rPr>
                <w:rFonts w:ascii="Arial" w:cs="Arial" w:eastAsia="Arial" w:hAnsi="Arial"/>
                <w:sz w:val="14"/>
                <w:szCs w:val="14"/>
                <w:b w:val="1"/>
                <w:bCs w:val="1"/>
                <w:color w:val="auto"/>
              </w:rPr>
              <w:t>Weighted Average</w:t>
            </w:r>
          </w:p>
        </w:tc>
      </w:tr>
      <w:tr>
        <w:trPr>
          <w:trHeight w:val="240"/>
        </w:trPr>
        <w:tc>
          <w:tcPr>
            <w:tcW w:w="8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20"/>
                <w:szCs w:val="20"/>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0"/>
                <w:szCs w:val="20"/>
                <w:color w:val="auto"/>
              </w:rPr>
            </w:pPr>
          </w:p>
        </w:tc>
        <w:tc>
          <w:tcPr>
            <w:tcW w:w="1560" w:type="dxa"/>
            <w:vAlign w:val="bottom"/>
          </w:tcPr>
          <w:p>
            <w:pPr>
              <w:jc w:val="right"/>
              <w:ind w:right="302"/>
              <w:spacing w:after="0"/>
              <w:rPr>
                <w:sz w:val="20"/>
                <w:szCs w:val="20"/>
                <w:color w:val="auto"/>
              </w:rPr>
            </w:pPr>
            <w:r>
              <w:rPr>
                <w:rFonts w:ascii="Arial" w:cs="Arial" w:eastAsia="Arial" w:hAnsi="Arial"/>
                <w:sz w:val="14"/>
                <w:szCs w:val="14"/>
                <w:b w:val="1"/>
                <w:bCs w:val="1"/>
                <w:color w:val="auto"/>
              </w:rPr>
              <w:t>Interest Rate</w:t>
            </w:r>
          </w:p>
        </w:tc>
      </w:tr>
      <w:tr>
        <w:trPr>
          <w:trHeight w:val="26"/>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Revolving Facility 2018-2</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4.36 %</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4.19 %</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Revolving Facility 2019-1</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32,535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2019-2</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230,352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Revolving Facility 2019-3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7"/>
        </w:trPr>
        <w:tc>
          <w:tcPr>
            <w:tcW w:w="8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8"/>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339,173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-213995</wp:posOffset>
            </wp:positionV>
            <wp:extent cx="9944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-1250950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As of March 31, 2021, the Company had multiple senior revolving credit facilities with various financial institutions with a total borrowing capacity of $2,655.0 million. Undrawn borrowing capacity amounts under the senior revolving credit facilities as reflected in the table above are in some cases not fully committed and any borrowings above the fully committed amounts are subject to the applicable lender’s discretion. As of March 31, 2021, the Company had fully committed borrowing capacity with respect to the Company’s senior revolving credit facilities of $1,464.5 million.</w:t>
      </w:r>
    </w:p>
    <w:p>
      <w:pPr>
        <w:spacing w:after="0" w:line="15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These facilities are typically structured with an initial 24 month revolving period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 Company’s senior revolving credit facilities may also have extensions subject to lender discretion that are not reflected in the table above.</w:t>
      </w:r>
    </w:p>
    <w:p>
      <w:pPr>
        <w:spacing w:after="0" w:line="19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Borrowings accrue interest at a rate based on a LIBOR reference rate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w:t>
      </w:r>
    </w:p>
    <w:p>
      <w:pPr>
        <w:spacing w:after="0" w:line="17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These borrowings are collateralized by cash, equity in the real estate owning SPEs, and the real estate inventory funded by the relevant revolving credit facility. The lenders have legal recourse only to the real estate-owning SPE borrowers, certain SPE guarantors, and the assets securing the debt, and do not have general recourse to the Company.</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revolving senior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680" w:firstLine="405"/>
        <w:spacing w:after="0" w:line="279" w:lineRule="auto"/>
        <w:rPr>
          <w:sz w:val="20"/>
          <w:szCs w:val="20"/>
          <w:color w:val="auto"/>
        </w:rPr>
      </w:pPr>
      <w:r>
        <w:rPr>
          <w:rFonts w:ascii="Arial" w:cs="Arial" w:eastAsia="Arial" w:hAnsi="Arial"/>
          <w:sz w:val="17"/>
          <w:szCs w:val="17"/>
          <w:color w:val="auto"/>
        </w:rPr>
        <w:t>The Company classifies its mezzanine term debt facilities as long-term liabilities on the Company’s consolidated balance sheets because its borrowings under these facilities are generally not required to be repaid until the applicable final maturity date. These facilities are structurally and contractually subordinated to the related senior revolving credit facilities. The following table summarizes certain details related to the Company’s mezzanine term debt facilities as of March 31, 2021 (in thousands, except interest rates):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89"/>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Borrowing</w:t>
            </w:r>
          </w:p>
        </w:tc>
        <w:tc>
          <w:tcPr>
            <w:tcW w:w="220" w:type="dxa"/>
            <w:vAlign w:val="bottom"/>
          </w:tcPr>
          <w:p>
            <w:pPr>
              <w:spacing w:after="0"/>
              <w:rPr>
                <w:sz w:val="16"/>
                <w:szCs w:val="16"/>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End of Draw</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Capacity</w:t>
            </w:r>
          </w:p>
        </w:tc>
        <w:tc>
          <w:tcPr>
            <w:tcW w:w="22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6"/>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Debt Facility 2016-M1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31, 2023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31, 2025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Term Debt Facility 2020-M1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23, 2023</w:t>
            </w:r>
          </w:p>
        </w:tc>
        <w:tc>
          <w:tcPr>
            <w:tcW w:w="1820" w:type="dxa"/>
            <w:vAlign w:val="bottom"/>
          </w:tcPr>
          <w:p>
            <w:pPr>
              <w:jc w:val="right"/>
              <w:spacing w:after="0"/>
              <w:rPr>
                <w:sz w:val="20"/>
                <w:szCs w:val="20"/>
                <w:color w:val="auto"/>
              </w:rPr>
            </w:pPr>
            <w:r>
              <w:rPr>
                <w:rFonts w:ascii="Arial" w:cs="Arial" w:eastAsia="Arial" w:hAnsi="Arial"/>
                <w:sz w:val="18"/>
                <w:szCs w:val="18"/>
                <w:color w:val="auto"/>
              </w:rPr>
              <w:t>January 23, 2026</w:t>
            </w: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63"/>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449,000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7"/>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Issuance Costs</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88"/>
        </w:trPr>
        <w:tc>
          <w:tcPr>
            <w:tcW w:w="2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Carrying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-573405</wp:posOffset>
            </wp:positionV>
            <wp:extent cx="78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76"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As of March 31, 2021, the Company had $140.0 million in total principal outstanding under multiple mezzanine term debt facilities with various financial institutions. Undrawn amounts under the mezzanine term debt facilities of $309.0 million as reflected in the table above are fully committed and generally may be drawn at any time during the draw period; however, any amounts repaid reduce total borrowing capacity as repaid amounts are not available to be reborrowed. The final maturity dates as reflected in the table above are inclusive of any extensions at the sole discretion of the Company. The Company’s mezzanine term debt facilities may also have extensions subject to lender discretion that are not reflected in the table above.</w:t>
      </w:r>
    </w:p>
    <w:p>
      <w:pPr>
        <w:spacing w:after="0" w:line="161"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Borrowings under a given term debt facility accrue interest at a fixed rate. The Company’s mezzanine term debt facility arrangements may include upfront issuance costs that are capitalized as part of the facilities’ respective carrying values. These facilities are fully prepayable at any time but may be subject to certain prepayment penalties.</w:t>
      </w:r>
    </w:p>
    <w:p>
      <w:pPr>
        <w:spacing w:after="0" w:line="184"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These borrowings are collateralized by cash and equity in certain holding companies that own the Company’s real estate owning SPEs. The lenders generally have legal recourse only to the applicable borrowers of the debt and their assets securing the debt and do not have recourse to Opendoor and, with limited exceptions, do not have recourse to other Opendoor subsidiaries.</w:t>
      </w:r>
    </w:p>
    <w:p>
      <w:pPr>
        <w:spacing w:after="0" w:line="18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facilities have aggregated property borrowing bases, which increase or decrease based on the cost and the value of the properties financed under a given facility and time in the Company’s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70"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terms of these facilities and related financing documents require Opendoor to comply with a number of customary financial and other covenants, such as maintaining certain levels of liquidity, tangible net worth or leverage (ratio of debt to equity). As of March 31, 2021, the Company was in compliance with all financial covenants and no event of default had occurred.</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Financing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certain details related to the Company’s mortgage financing (in thousands, except interest rates):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Borrowing</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52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End of Revolving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43"/>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3"/>
                <w:szCs w:val="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4"/>
            <w:vMerge w:val="continue"/>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4"/>
              </w:rPr>
              <w:t>Interest Rate</w:t>
            </w: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Repo Facility 2019-R1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April 29,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29, 2021</w:t>
            </w:r>
          </w:p>
        </w:tc>
        <w:tc>
          <w:tcPr>
            <w:tcW w:w="0" w:type="dxa"/>
            <w:vAlign w:val="bottom"/>
          </w:tcPr>
          <w:p>
            <w:pPr>
              <w:spacing w:after="0"/>
              <w:rPr>
                <w:sz w:val="1"/>
                <w:szCs w:val="1"/>
                <w:color w:val="auto"/>
              </w:rPr>
            </w:pPr>
          </w:p>
        </w:tc>
      </w:tr>
      <w:tr>
        <w:trPr>
          <w:trHeight w:val="504"/>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163"/>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Outstanding Amount</w:t>
            </w:r>
          </w:p>
        </w:tc>
        <w:tc>
          <w:tcPr>
            <w:tcW w:w="1440" w:type="dxa"/>
            <w:vAlign w:val="bottom"/>
          </w:tcPr>
          <w:p>
            <w:pPr>
              <w:jc w:val="right"/>
              <w:ind w:right="323"/>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6"/>
        </w:trPr>
        <w:tc>
          <w:tcPr>
            <w:tcW w:w="4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 Facility 2019-R1</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To provide capital for Opendoor Home Loans, we utilize a master repurchase agreement (the “Repurchase Agreement”) which is classified as a current liability on our balance sheets. In March 2019, we entered into the Repurchase Agreement with a lender to provide short-term funding for mortgage loans originated by Opendoor Home Loans. The facility provides short-term financing between the issuance of a mortgage loan and when Opendoor Home Loans 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w:t>
      </w:r>
    </w:p>
    <w:p>
      <w:pPr>
        <w:spacing w:after="0" w:line="17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March 31, 2021, the Repurchase Agreement has a borrowing capacity of $50.0 million, of which $20.0 million is fully committed. The Repurchase Agreement includes customary representations and warranties, covenants and provisions regarding events of default. As of March 31, 2021, $8.2 million in mortgage loans were financed under the facility, and Opendoor was in compliance with all financial covenants and no event of default had occurred. On April 28, 2021, the Company amended the Repurchase Agreement to extend the final maturity date to May 28, 2021.</w:t>
      </w:r>
    </w:p>
    <w:p>
      <w:pPr>
        <w:spacing w:after="0" w:line="17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 Labs Inc.</w:t>
      </w:r>
    </w:p>
    <w:p>
      <w:pPr>
        <w:spacing w:after="0" w:line="18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48"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measurements of assets and liabilities are categorized based on the following hierarchy: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Fair value determined based on quoted prices in active markets for identical assets or liabilities.</w:t>
      </w:r>
    </w:p>
    <w:p>
      <w:pPr>
        <w:spacing w:after="0" w:line="225" w:lineRule="exact"/>
        <w:rPr>
          <w:sz w:val="20"/>
          <w:szCs w:val="20"/>
          <w:color w:val="auto"/>
        </w:rPr>
      </w:pPr>
    </w:p>
    <w:p>
      <w:pPr>
        <w:ind w:right="20" w:firstLine="360"/>
        <w:spacing w:after="0" w:line="263" w:lineRule="auto"/>
        <w:rPr>
          <w:sz w:val="20"/>
          <w:szCs w:val="20"/>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Fair value determined using significant observable inputs, such as quoted prices for similar assets or liabilities or quoted prices for identical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Level 3 — </w:t>
      </w:r>
      <w:r>
        <w:rPr>
          <w:rFonts w:ascii="Arial" w:cs="Arial" w:eastAsia="Arial" w:hAnsi="Arial"/>
          <w:sz w:val="16"/>
          <w:szCs w:val="16"/>
          <w:color w:val="auto"/>
        </w:rPr>
        <w:t>Fair value determined using significant unobservable inputs, such as pricing models, discounted cash flows, or similar techniques.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Fair Value</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1200"/>
          </w:cols>
          <w:pgMar w:left="320" w:top="139" w:right="3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348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Restricted cash</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Marketable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180"/>
        <w:spacing w:after="0" w:line="282" w:lineRule="auto"/>
        <w:rPr>
          <w:sz w:val="20"/>
          <w:szCs w:val="20"/>
          <w:color w:val="auto"/>
        </w:rPr>
      </w:pPr>
      <w:r>
        <w:rPr>
          <w:rFonts w:ascii="Arial" w:cs="Arial" w:eastAsia="Arial" w:hAnsi="Arial"/>
          <w:sz w:val="18"/>
          <w:szCs w:val="18"/>
          <w:b w:val="1"/>
          <w:bCs w:val="1"/>
          <w:color w:val="auto"/>
        </w:rPr>
        <w:t>Mortgage loans held for sale pledged under agreements to repurchase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current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lock commitments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Non-marketable equity securities</w:t>
      </w:r>
    </w:p>
    <w:p>
      <w:pPr>
        <w:spacing w:after="0" w:line="275" w:lineRule="exact"/>
        <w:rPr>
          <w:sz w:val="20"/>
          <w:szCs w:val="20"/>
          <w:color w:val="auto"/>
        </w:rPr>
      </w:pPr>
    </w:p>
    <w:p>
      <w:pPr>
        <w:ind w:left="20"/>
        <w:spacing w:after="0" w:line="344" w:lineRule="auto"/>
        <w:rPr>
          <w:sz w:val="20"/>
          <w:szCs w:val="20"/>
          <w:color w:val="auto"/>
        </w:rPr>
      </w:pPr>
      <w:r>
        <w:rPr>
          <w:rFonts w:ascii="Arial" w:cs="Arial" w:eastAsia="Arial" w:hAnsi="Arial"/>
          <w:sz w:val="18"/>
          <w:szCs w:val="18"/>
          <w:b w:val="1"/>
          <w:bCs w:val="1"/>
          <w:color w:val="auto"/>
        </w:rPr>
        <w:t xml:space="preserve">Credit facilities and other secured borrowings </w:t>
      </w:r>
      <w:r>
        <w:rPr>
          <w:rFonts w:ascii="Arial" w:cs="Arial" w:eastAsia="Arial" w:hAnsi="Arial"/>
          <w:sz w:val="18"/>
          <w:szCs w:val="18"/>
          <w:color w:val="auto"/>
        </w:rPr>
        <w:t>Credit facilities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Loans sold under agreements to repurchase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Warrant liabilities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Sponsor Warrants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520"/>
        <w:spacing w:after="0" w:line="279" w:lineRule="auto"/>
        <w:rPr>
          <w:sz w:val="20"/>
          <w:szCs w:val="20"/>
          <w:color w:val="auto"/>
        </w:rPr>
      </w:pPr>
      <w:r>
        <w:rPr>
          <w:rFonts w:ascii="Arial" w:cs="Arial" w:eastAsia="Arial" w:hAnsi="Arial"/>
          <w:sz w:val="14"/>
          <w:szCs w:val="14"/>
          <w:b w:val="1"/>
          <w:bCs w:val="1"/>
          <w:color w:val="auto"/>
        </w:rPr>
        <w:t>Valuation Methodology, Inputs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16510</wp:posOffset>
            </wp:positionV>
            <wp:extent cx="23571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Prices obtained from third-party vendors that compile prices from various sources and often apply matrix pricing for similar securities when no price is observable.</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estimated based on observable market data including quoted market prices, deal price quotes, and sale commitments.</w:t>
      </w:r>
    </w:p>
    <w:p>
      <w:pPr>
        <w:spacing w:after="0" w:line="2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Fair value of the underlying loan based on observable quoted market prices in the secondary market and sale commitments, with adjustments for the estimated pull-through rate.</w:t>
      </w:r>
    </w:p>
    <w:p>
      <w:pPr>
        <w:spacing w:after="0" w:line="2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Fair value is estimated using the observable transaction price.</w:t>
      </w:r>
    </w:p>
    <w:p>
      <w:pPr>
        <w:spacing w:after="0" w:line="2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Fair value is estimated using discounted cash flows based on current lending rates for similar credit facilities with similar terms and remaining time to maturity.</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Fair value is estimated using discounted cash flows based on current lending rates for similar asset-backed financing facilities with similar terms and remaining time to maturity.</w:t>
      </w:r>
    </w:p>
    <w:p>
      <w:pPr>
        <w:spacing w:after="0" w:line="29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Fair value is estimated using the price of the Public Warrants and applying an adjustment for short-term marketability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2305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Level 2 recurring fair value measurement for fair value based on observable inputs. Level 3 recurring fair value measurement for fair value with unobservable inputs.</w:t>
      </w:r>
    </w:p>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Level 2 non-recurring fair value measurement for fair value based on transaction price.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691" w:lineRule="exact"/>
        <w:rPr>
          <w:sz w:val="20"/>
          <w:szCs w:val="20"/>
          <w:color w:val="auto"/>
        </w:rPr>
      </w:pPr>
    </w:p>
    <w:p>
      <w:pPr>
        <w:sectPr>
          <w:pgSz w:w="11900" w:h="16838" w:orient="portrait"/>
          <w:cols w:equalWidth="0" w:num="3">
            <w:col w:w="3540" w:space="280"/>
            <w:col w:w="3680" w:space="120"/>
            <w:col w:w="3580"/>
          </w:cols>
          <w:pgMar w:left="320" w:top="139" w:right="37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Balance at Fair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5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U.S. agency securities</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w w:val="93"/>
              </w:rPr>
              <w:t>Mortgage loans held for sale pledged under agreements to repurchase</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Interest rate lock commitments</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Warrant liabilities:</w:t>
            </w: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Sponsor Warrants</w:t>
            </w: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5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Balance at Fair</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
        </w:trPr>
        <w:tc>
          <w:tcPr>
            <w:tcW w:w="5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26,409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26,409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U.S. agency securities</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w w:val="93"/>
              </w:rPr>
              <w:t>Mortgage loans held for sale pledged under agreements to repurchase</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Interest rate lock commitments</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Warrant liabilities:</w:t>
            </w: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Sponsor Warrants</w:t>
            </w: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2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presents the carrying value, estimated fair value and the levels of the fair value hierarchy for the Company’s financial instruments other than assets and liabilities measured at fair value on a recurring basis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
        </w:trPr>
        <w:tc>
          <w:tcPr>
            <w:tcW w:w="5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r>
      <w:tr>
        <w:trPr>
          <w:trHeight w:val="26"/>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2,039,876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2,039,876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2,039,876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Credit facilities and other secured borrowings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736,563</w:t>
            </w:r>
          </w:p>
        </w:tc>
      </w:tr>
      <w:tr>
        <w:trPr>
          <w:trHeight w:val="528"/>
        </w:trPr>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
        </w:trPr>
        <w:tc>
          <w:tcPr>
            <w:tcW w:w="5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r>
      <w:tr>
        <w:trPr>
          <w:trHeight w:val="26"/>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1,412,665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facilities and other secured borrowings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486,322</w:t>
            </w:r>
          </w:p>
        </w:tc>
      </w:tr>
      <w:tr>
        <w:trPr>
          <w:trHeight w:val="27"/>
        </w:trPr>
        <w:tc>
          <w:tcPr>
            <w:tcW w:w="5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a reconciliation from the opening balances to the closing balances for Level 3 Fair values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Embedded</w:t>
            </w:r>
          </w:p>
        </w:tc>
        <w:tc>
          <w:tcPr>
            <w:tcW w:w="160" w:type="dxa"/>
            <w:vAlign w:val="bottom"/>
          </w:tcPr>
          <w:p>
            <w:pPr>
              <w:spacing w:after="0"/>
              <w:rPr>
                <w:sz w:val="14"/>
                <w:szCs w:val="14"/>
                <w:color w:val="auto"/>
              </w:rPr>
            </w:pPr>
          </w:p>
        </w:tc>
        <w:tc>
          <w:tcPr>
            <w:tcW w:w="12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Interest rate lock</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 Option</w:t>
            </w:r>
          </w:p>
        </w:tc>
        <w:tc>
          <w:tcPr>
            <w:tcW w:w="16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5"/>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8"/>
                <w:szCs w:val="18"/>
                <w:color w:val="auto"/>
              </w:rPr>
              <w:t>Net change in fair value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40" w:type="dxa"/>
            <w:vAlign w:val="bottom"/>
            <w:tcBorders>
              <w:bottom w:val="single" w:sz="8" w:color="9A9A9A"/>
            </w:tcBorders>
          </w:tcPr>
          <w:p>
            <w:pPr>
              <w:spacing w:after="0"/>
              <w:rPr>
                <w:sz w:val="11"/>
                <w:szCs w:val="11"/>
                <w:color w:val="auto"/>
              </w:rPr>
            </w:pPr>
          </w:p>
        </w:tc>
        <w:tc>
          <w:tcPr>
            <w:tcW w:w="27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March 31, 2021 and December 31, 2020,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6"/>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Computers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5,511</w:t>
            </w: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2,456</w:t>
            </w: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implementation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2,056</w:t>
            </w: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systems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68,253</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63,486</w:t>
            </w: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(34,258)</w:t>
            </w:r>
          </w:p>
        </w:tc>
      </w:tr>
      <w:tr>
        <w:trPr>
          <w:trHeight w:val="264"/>
        </w:trPr>
        <w:tc>
          <w:tcPr>
            <w:tcW w:w="828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29,228</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Depreciation and amortization expense of $5.6 million and $5.0 million was recorded for the three months ended March 31, 2021 and 2020, respectively.</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GOODWILL AND INTANGIBLE ASSETS</w:t>
      </w:r>
    </w:p>
    <w:p>
      <w:pPr>
        <w:spacing w:after="0" w:line="22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There were no additions to goodwill for the three months ended March 31, 2021 or twelve months ended December 31, 2020. No impairment of goodwill was identified for the three months ended March 31, 2021 and 2020.</w:t>
      </w:r>
    </w:p>
    <w:p>
      <w:pPr>
        <w:spacing w:after="0" w:line="170" w:lineRule="exact"/>
        <w:rPr>
          <w:sz w:val="20"/>
          <w:szCs w:val="20"/>
          <w:color w:val="auto"/>
        </w:rPr>
      </w:pPr>
    </w:p>
    <w:p>
      <w:pPr>
        <w:ind w:right="900" w:firstLine="405"/>
        <w:spacing w:after="0" w:line="277" w:lineRule="auto"/>
        <w:rPr>
          <w:sz w:val="20"/>
          <w:szCs w:val="20"/>
          <w:color w:val="auto"/>
        </w:rPr>
      </w:pPr>
      <w:r>
        <w:rPr>
          <w:rFonts w:ascii="Arial" w:cs="Arial" w:eastAsia="Arial" w:hAnsi="Arial"/>
          <w:sz w:val="18"/>
          <w:szCs w:val="18"/>
          <w:color w:val="auto"/>
        </w:rPr>
        <w:t>Intangible assets subject to amortization consisted of the follow as of March 31, 2021 and December 31, 2020, respectively (in thousands, except years):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6"/>
                <w:szCs w:val="16"/>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40"/>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20"/>
                <w:szCs w:val="20"/>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4,453</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3.4</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3.4</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559"/>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6"/>
                <w:szCs w:val="16"/>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27"/>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9"/>
                <w:szCs w:val="19"/>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4,778</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3.7</w:t>
            </w:r>
          </w:p>
        </w:tc>
      </w:tr>
      <w:tr>
        <w:trPr>
          <w:trHeight w:val="27"/>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3.7</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Company also has domain name intangible assets, which are not subject to amortization, with a carrying amount of $0.2 million as of both March 31, 2021 and December 31, 2020,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for intangible assets was $0.6 million and $1.1 million for the three months ended March 31, 2021 and 2020, respectively.</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expected amortization of intangible assets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(In thousands)</w:t>
            </w:r>
          </w:p>
        </w:tc>
      </w:tr>
      <w:tr>
        <w:trPr>
          <w:trHeight w:val="26"/>
        </w:trPr>
        <w:tc>
          <w:tcPr>
            <w:tcW w:w="9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SHAREHOLDERS’ EQUITY</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$859.5 million after deducting underwriting discounts and commissions and offering expenses payable by the Company upon closing. The February 2021 Offering satisfied the liquidity event vesting condition of certain RSUs. For further information on the RSUs, see “</w:t>
      </w:r>
      <w:r>
        <w:rPr>
          <w:rFonts w:ascii="Arial" w:cs="Arial" w:eastAsia="Arial" w:hAnsi="Arial"/>
          <w:sz w:val="18"/>
          <w:szCs w:val="18"/>
          <w:i w:val="1"/>
          <w:iCs w:val="1"/>
          <w:color w:val="auto"/>
        </w:rPr>
        <w:t>Note 12 — Share-Based Awards”.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25" w:lineRule="exact"/>
        <w:rPr>
          <w:sz w:val="20"/>
          <w:szCs w:val="20"/>
          <w:color w:val="auto"/>
        </w:rPr>
      </w:pPr>
    </w:p>
    <w:p>
      <w:pPr>
        <w:jc w:val="both"/>
        <w:ind w:right="280" w:firstLine="360"/>
        <w:spacing w:after="0" w:line="263" w:lineRule="auto"/>
        <w:rPr>
          <w:sz w:val="20"/>
          <w:szCs w:val="20"/>
          <w:color w:val="auto"/>
        </w:rPr>
      </w:pPr>
      <w:r>
        <w:rPr>
          <w:rFonts w:ascii="Arial" w:cs="Arial" w:eastAsia="Arial" w:hAnsi="Arial"/>
          <w:sz w:val="18"/>
          <w:szCs w:val="18"/>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stock option activity for the three months ended March 31, 2021,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r>
      <w:tr>
        <w:trPr>
          <w:trHeight w:val="189"/>
        </w:trPr>
        <w:tc>
          <w:tcPr>
            <w:tcW w:w="5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Intrinsic</w:t>
            </w:r>
          </w:p>
        </w:tc>
      </w:tr>
      <w:tr>
        <w:trPr>
          <w:trHeight w:val="189"/>
        </w:trPr>
        <w:tc>
          <w:tcPr>
            <w:tcW w:w="5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89"/>
        </w:trPr>
        <w:tc>
          <w:tcPr>
            <w:tcW w:w="5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r>
      <w:tr>
        <w:trPr>
          <w:trHeight w:val="79"/>
        </w:trPr>
        <w:tc>
          <w:tcPr>
            <w:tcW w:w="522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6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1.91</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502,767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17"/>
        </w:trPr>
        <w:tc>
          <w:tcPr>
            <w:tcW w:w="52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2.65</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2.58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3.02</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1.91</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461,961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44"/>
        </w:trPr>
        <w:tc>
          <w:tcPr>
            <w:tcW w:w="5220" w:type="dxa"/>
            <w:vAlign w:val="bottom"/>
          </w:tcPr>
          <w:p>
            <w:pPr>
              <w:ind w:left="20"/>
              <w:spacing w:after="0"/>
              <w:rPr>
                <w:sz w:val="20"/>
                <w:szCs w:val="20"/>
                <w:color w:val="auto"/>
              </w:rPr>
            </w:pPr>
            <w:r>
              <w:rPr>
                <w:rFonts w:ascii="Arial" w:cs="Arial" w:eastAsia="Arial" w:hAnsi="Arial"/>
                <w:sz w:val="18"/>
                <w:szCs w:val="18"/>
                <w:color w:val="auto"/>
              </w:rPr>
              <w:t>Exercisable-March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19,766</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1.61</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387,097</w:t>
            </w: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options granted during the three months ended March 31, 2021.</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RSUs typically vest upon both a service-based requirement, generally over a four year period, and a performance condition. For certain awards, the performance condition is met by the completion of a Company liquidity event, which is generally defined as a change of control event or the effective date of a registration statement of the Company filed under the Securities Act for the sale of the Company’s common stock. The February 2021 Offering met the liquidity event vesting condition and triggered the recognition of compensation expense for certain RSUs for which the time-based vesting condition had been satisfied or partially satisfied. If a participant terminates service, any portion of an RSU unit that has met the service-based requirement will remain outstanding and remain eligible to vest when the performance condition has been satisfied. The vesting requirements of the RSUs typically have a maximum term of seven years from the date of grant.</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RSU activity for the three months ended March 31, 2021,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RSUs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9"/>
              </w:rPr>
              <w:t>Grant-Date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r>
      <w:tr>
        <w:trPr>
          <w:trHeight w:val="66"/>
        </w:trPr>
        <w:tc>
          <w:tcPr>
            <w:tcW w:w="828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17"/>
        </w:trPr>
        <w:tc>
          <w:tcPr>
            <w:tcW w:w="8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17,471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52,106</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We have granted Restricted Shares to certain continuing employees, primarily in connection with acquisitions. The Restricted Shares vest upon satisfaction of a service condition, which generally ranges from three to four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Restricted Shares activity for the three months ended March 31, 2021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 Shares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9"/>
              </w:rPr>
              <w:t>Grant-Date</w:t>
            </w:r>
          </w:p>
        </w:tc>
      </w:tr>
      <w:tr>
        <w:trPr>
          <w:trHeight w:val="189"/>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r>
      <w:tr>
        <w:trPr>
          <w:trHeight w:val="80"/>
        </w:trPr>
        <w:tc>
          <w:tcPr>
            <w:tcW w:w="828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color w:val="auto"/>
              </w:rPr>
              <w:t>Unvested-March 31,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outstanding-March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total stock-based compensation expense by function as presented in the statements of operations for the three months ended March 31, 2021 and 2020,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Sales, marketing and operations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2020 and during the three months ended March 31, 2021, the Company issued market condition RSUs to certain executives. The grant-date fair value for the awards is $357.4 million and $22.4 million, respectively, and will be recognized over a requisite service period ranging from 6 months to 3.5 years and 6 months to 3 years, respectively. The Company recognized $133.2 million of compensation expense during the three months ended March 31, 2021 related to all market condition awards outstanding.</w:t>
      </w:r>
    </w:p>
    <w:p>
      <w:pPr>
        <w:spacing w:after="0" w:line="187"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As of March 31, 2021, there was $651.8 million of unamortized stock-based compensation costs related to unvested RSUs, stock options, and Restricted Shares. The unamortized compensation costs are expected to be recognized over a weighted-average period of approximately 2.7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Black-Scholes Model used to value stock options incorporates the following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25"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w:t>
      </w:r>
    </w:p>
    <w:p>
      <w:pPr>
        <w:spacing w:after="0" w:line="2" w:lineRule="exact"/>
        <w:rPr>
          <w:sz w:val="20"/>
          <w:szCs w:val="20"/>
          <w:color w:val="auto"/>
        </w:rPr>
      </w:pPr>
    </w:p>
    <w:p>
      <w:pPr>
        <w:jc w:val="both"/>
        <w:ind w:firstLine="8"/>
        <w:spacing w:after="0" w:line="255"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expected stock price volatilities are estimated based on the historical and implied volatilities of comparable publicly traded companies as the Company does not have sufficient history of trading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risk-free interest rates are based on U.S. Treasury yields in effect at the grant date for notes with comparable terms as the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Life</w:t>
      </w:r>
    </w:p>
    <w:p>
      <w:pPr>
        <w:spacing w:after="0" w:line="225"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Yield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RSUs and Restricted Stock</w:t>
      </w:r>
    </w:p>
    <w:p>
      <w:pPr>
        <w:spacing w:after="0" w:line="225"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contemporaneous valuations of common stock performed by an independent valuation specialist; developments in the Company’s business and stage of development; the Company’s operational and financial performance and condition; issuances of preferred stock and the rights and preferences of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considers the amount of time between the valuation date and the grant date to determine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Prior to the Business Combination, SCH issued 6,133,333 Sponsor Warrants and 13,800,000 Public Warrants (collectively “Warrants”). Upon Closing, the Company assumed the Warrants. Each whole warrant entitles the holder to purchase one share 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18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may redeem the outstanding Warrants for cash at a price of $0.01 per warrant if the Reference Value equals or exceeds $18.00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The warrant holders have the right to exercise their outstanding warrants prior to the scheduled redemption date during the Redemption Period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$11.50 per share. The Sponsor Warrants are exempt from redemption if the Reference Value is at or above $18.00 and the Sponsor Warrants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held by the original warrant holder (“Sponsor") or a permitted transferee.</w:t>
      </w:r>
    </w:p>
    <w:p>
      <w:pPr>
        <w:spacing w:after="0" w:line="21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As of March 31, 2021, there were 19,933,333 warrants outstanding and no warrants have been exercised. As of March 31, 2021, the Company had Warrant liabilities of $62.6 million related to the Sponsor Warrants and recorded a Derivative and warrant fair value adjustment of $15.3 million for the change in fair value of the Sponsor Warrants for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Series D Preferred Stock</w:t>
      </w:r>
    </w:p>
    <w:p>
      <w:pPr>
        <w:spacing w:after="0" w:line="225"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On June 12, 2018, the Company issued warrants to purchase 485,262 shares of Series D Preferred Stock at a price of $0.006 (“Penny Warrants”). On November 12, 2020, the Penny Warrants were exercised and the Company issued 485,262 shares of Series D Preferred Stock in exchange for proceeds of $3.0 thousand. As of March 31, 2021, there were no Penny Warrants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Issue Warrants</w:t>
      </w:r>
    </w:p>
    <w:p>
      <w:pPr>
        <w:spacing w:after="0" w:line="225"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In June 2018, the Company entered into a commitment to issue warrants (“Warrant Commitment”). The Warrant Commitment obligates the Company to issue warrants on an annual basis until 2025 (“Issuance Date”). The Warrant Commitment and the Company’s obligation to issue warrants was terminated upon the consummation of the Business Combination through notice provided by the Company and acknowledged by the counterparty.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each Warrant Commitment Issuance date in June 2019 and June 2020, the Company issued warrants to purchase 121,356 shares and 242,713 shares of Series E Preferred Stock at a price of $5.92 per share (“Series E Warrants”). On November 7, 2020 the Series E Warrants were exercised and the Company issued 364,069 shares of Series E in exchange for proceeds of $2.2 million. As of March 31, 2021, there were no Series E Warrants or Warrant Commitments outstanding.</w:t>
      </w:r>
    </w:p>
    <w:p>
      <w:pPr>
        <w:spacing w:after="0" w:line="187"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The Penny Warrants, the Warrant Commitment, and the Series E Warrants have been determined to be liabilities under ASC 480 as the underlying preferred shares have certain liquidation preferences in the event of a deemed liquidation. The Company recorded no warrant fair value adjustment for the three months ended March 31, 2021 and an increase to the warrant fair value adjustments of $1.0 million for the three months ended March 31, 2020.</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Company’s provision for income taxes has not been historically significant to the business as the Company has incurred operating losses to date. Due to projected and actual losses in the current and prior years, the Company believes that based on the weight of available evidence, it is more likely than not that all of the deferred tax assets will not be realized and recorded a full valuation allowance on its net deferred tax assets as of March 31, 2021 and December 31, 2020. Therefore, only an immaterial amount of state tax expense has been recorded for the three months ended March 31, 2021.</w:t>
      </w:r>
    </w:p>
    <w:p>
      <w:pPr>
        <w:spacing w:after="0" w:line="15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Company’s provision for income taxes was $0.1 million for each of the three months ended March 31, 2021 and 2020, with an effective tax rate of (0.03)% and (0.19)%, respectively. The effective tax rate differs from the U.S. statutory tax rate primarily due to the recording of a full valuation allowance against the net deferred tax assets.</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PARTIES</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Prior to the Business Combination, one of the Preferred Stock investors held more than a 10% interest in the Company and had one seat as a member of the board of directors and another seat as an observer of the board of directors.</w:t>
      </w:r>
    </w:p>
    <w:p>
      <w:pPr>
        <w:spacing w:after="0" w:line="170"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In 2019, an executive early exercised their option to purchase 1,479,459 shares of unvested common stock at a price per share of $1.01 by issuing a promissory note to the Company for a total price of $1.5 million with an interest rate of 2.31% per annum. The promissory note was still outstanding as of March 31, 2021.</w:t>
      </w:r>
    </w:p>
    <w:p>
      <w:pPr>
        <w:spacing w:after="0" w:line="18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 xml:space="preserve">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counterparty provided to the Company. See </w:t>
      </w:r>
      <w:r>
        <w:rPr>
          <w:rFonts w:ascii="Arial" w:cs="Arial" w:eastAsia="Arial" w:hAnsi="Arial"/>
          <w:sz w:val="18"/>
          <w:szCs w:val="18"/>
          <w:i w:val="1"/>
          <w:iCs w:val="1"/>
          <w:color w:val="auto"/>
        </w:rPr>
        <w:t>“Note 13 — Warrants”</w:t>
      </w:r>
      <w:r>
        <w:rPr>
          <w:rFonts w:ascii="Arial" w:cs="Arial" w:eastAsia="Arial" w:hAnsi="Arial"/>
          <w:sz w:val="18"/>
          <w:szCs w:val="18"/>
          <w:color w:val="auto"/>
        </w:rPr>
        <w:t xml:space="preserve"> for further information.</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NET LOSS PER SHARE</w:t>
      </w:r>
    </w:p>
    <w:p>
      <w:pPr>
        <w:spacing w:after="0" w:line="22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uses the two-class method to calculate basic net loss per share and apply the more dilutive of the two-class method, treasury stock method or if-converted method to calculate diluted net loss per share. No dividends were declared or paid for the three months ended March 31, 2021 or 2020. Undistributed earnings for each period are allocated to participating securities, including the Preferred Stock for applicable periods, based on the contractual participation rights of the security to share in the current earnings as if all current period earnings had been distributed. As there is no contractual obligation for the Preferred Stock to share in losses, the Company’s basic net loss per share is computed by dividing the net loss attributable to common shareholders by the weighted-average shares of common stock outstanding during periods with undistributed losses.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shareholders for the three months ended March 31, 2021 and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6"/>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loss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 –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84,027</w:t>
            </w: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preferred dividends declared or accumulated for the period.</w:t>
      </w:r>
    </w:p>
    <w:p>
      <w:pPr>
        <w:spacing w:after="0" w:line="22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92"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32385</wp:posOffset>
            </wp:positionV>
            <wp:extent cx="18770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gridSpan w:val="2"/>
          </w:tcPr>
          <w:p>
            <w:pPr>
              <w:ind w:left="8860"/>
              <w:spacing w:after="0"/>
              <w:rPr>
                <w:sz w:val="20"/>
                <w:szCs w:val="20"/>
                <w:color w:val="auto"/>
              </w:rPr>
            </w:pPr>
            <w:r>
              <w:rPr>
                <w:rFonts w:ascii="Arial" w:cs="Arial" w:eastAsia="Arial" w:hAnsi="Arial"/>
                <w:sz w:val="14"/>
                <w:szCs w:val="14"/>
                <w:b w:val="1"/>
                <w:bCs w:val="1"/>
                <w:color w:val="auto"/>
                <w:w w:val="83"/>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6"/>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19,933</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Series D Preferred Stock Warrants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E Preferred Stock Warrants</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52,106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22,839</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23,965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34,680</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Unvested Shares from Early Exercise</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314,424</w:t>
            </w: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97,877</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379,135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225"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 xml:space="preserve">The Company entered into interest rate lock commitments with prospective borrowers whereby the Company commits to lend a certain loan amount under specific terms and interest rate to the borrower. These commitments are treated as derivatives and are carried at fair value. See </w:t>
      </w:r>
      <w:r>
        <w:rPr>
          <w:rFonts w:ascii="Arial" w:cs="Arial" w:eastAsia="Arial" w:hAnsi="Arial"/>
          <w:sz w:val="18"/>
          <w:szCs w:val="18"/>
          <w:i w:val="1"/>
          <w:iCs w:val="1"/>
          <w:color w:val="auto"/>
        </w:rPr>
        <w:t>“Note 5 —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the Company was in contract to purchase 4,027 homes for an aggregate purchase price of $1,302.5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During the three months ended March 31, 2021, the Company did not enter into any material new leases, lease renewals, or lease modifications. On September 25, 2020, the Company exercised an option to early terminate the San Francisco headquarters lease, effective September 30, 2021. In September 2020, the Company did not anticipate returning to the San Francisco space, so the Company accelerated amortization of the right-of-use asset and incurred and paid early termination fees. In January 2021, the Company terminated the San Francisco lease prior to the anticipated termination date of September 30, 2021, which resulted in a $5.2 million gain recognized in the consolidated statements of operations for the three months ended March 31, 2021.</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consolidated results of operations or financial condition except as noted below.</w:t>
      </w:r>
    </w:p>
    <w:p>
      <w:pPr>
        <w:spacing w:after="0" w:line="18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December 23, 2020, the Federal Trade Commission (“FTC”) notified the Company that they intend to recommend that the agency pursue an enforcement action against the Company and certain of its officers, if the Company is unable to reach a negotiated settlement acceptable to all parties. This notice is related to an initial FTC civil investigative demand sent to the Company in August 2019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 Company is engaged in settlement negotiations with the FTC and has accrued an immaterial amount for this matter. Any settlement could result in material monetary remedies and/or compliance requirements that could have a materially adverse impact on its financial results. The Company cannot make an estimate of the possible loss or range of loss incremental to the amount accrued, if any, resulting from negotiations with the FTC at this time.</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April 1, 2021, the Company entered into a new senior term debt facility with $400.0 million in borrowing capacity, a 3.48% interest rate and a final maturity date of April 1, 2025.</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8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Quarterly Report on Form 10-Q, and in “Part I - Item 1A. Risk Factors” in the Company's Annual Report on Form 10-K for the year ended December 31, 2020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Opendoor’s mission is to empower everyone with the freedom to move. Since our inception in 2014, we have reimagined the residential real estate transaction to provide a new, radically simple way to buy and sell a home with more convenience, control and cost savings than ever before. We believe our consumer-first orientation, scalable and integrated home transaction platform and our proprietary, machine learning-based pricing models are among our core advantages and differentiators for our business. Collectively, these underpin Opendoor’s digital suite of services, which brings simplicity, certainty and speed to the home selling and buying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2021 Offering</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 February 11, 2021. We received aggregate net proceeds from the February 2021 Offering of approximately $859.5 million after deducting underwriting discounts and commissions and offering expenses payable by us. We currently intend to use the net proceeds from this offering to invest in increasing existing market penetration, to expand into new markets, and for working capital and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We entered into a Merger Agreement with SCH, a special purpose acquisition company, on September 15, 2020. Pursuant to the Merger Agreement, Merger Sub, a newly formed subsidiary of SCH, merged with and into Opendoor Labs Inc. Upon the consummation of the Closing on December 18, 2020, the separate corporate existence of Merger Sub ceased; Opendoor Labs Inc. survived and became a wholly owned subsidiary of SCH, which was renamed Opendoor Technologies Inc.</w:t>
      </w:r>
    </w:p>
    <w:p>
      <w:pPr>
        <w:spacing w:after="0" w:line="18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Business Combination was accounted for as a reverse recapitalization, in accordance with GAAP. Under the guidance in ASC 805, Opendoor Technologies was treated as the “acquired” company for financial reporting purposes. Opendoor Labs Inc. was deemed the accounting predecessor of the combined business, and Opendoor Technologies, as the parent company of the combined business, was the successor SEC registrant, meaning that our financial statements for previous periods will be disclosed in the registrant’s future periodic reports filed with the SEC. The Business Combination had a significant impact on our reported financial position and results as a consequence of the reverse recapitalization. The most significant changes in Opendoor Technologies’ reported financial position and results are a net increase in cash of $970 million. The increase in cash includes approximately $600 million in proceeds from the private placement (“PIPE Investment”) consummated substantially simultaneously with the Business Combination, offset by additional transaction costs for the Business Combination. The transaction costs for the Business Combination are approximately $44 million, of which $14.5 million represents deferred underwriter fees related to SCH’s initial public offering.</w:t>
      </w:r>
    </w:p>
    <w:p>
      <w:pPr>
        <w:spacing w:after="0" w:line="166"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As a result of the Business Combination, we became an SEC-registered and Nasdaq-listed company, which will require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 We estimate that these incremental costs will be approximately $15 million per year.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COVID-19</w:t>
      </w:r>
    </w:p>
    <w:p>
      <w:pPr>
        <w:spacing w:after="0" w:line="229" w:lineRule="exact"/>
        <w:rPr>
          <w:sz w:val="20"/>
          <w:szCs w:val="20"/>
          <w:color w:val="auto"/>
        </w:rPr>
      </w:pPr>
    </w:p>
    <w:p>
      <w:pPr>
        <w:ind w:right="320" w:firstLine="405"/>
        <w:spacing w:after="0" w:line="296" w:lineRule="auto"/>
        <w:rPr>
          <w:sz w:val="20"/>
          <w:szCs w:val="20"/>
          <w:color w:val="auto"/>
        </w:rPr>
      </w:pPr>
      <w:r>
        <w:rPr>
          <w:rFonts w:ascii="Arial" w:cs="Arial" w:eastAsia="Arial" w:hAnsi="Arial"/>
          <w:sz w:val="16"/>
          <w:szCs w:val="16"/>
          <w:color w:val="auto"/>
        </w:rPr>
        <w:t>In December 2019, a novel strain of coronavirus (“COVID-19”) was reported and subsequently spread worldwide. On March 11, 2020, the World Health Organization declared COVID-19 a pandemic. In response to the COVID-19 pandemic and the consequent health risks, we substantially ceased purchasing additional homes in March 2020 to safeguard the health and safety of our customers and employees. After ensuring our ability to close transactions safely, seeing the lifting of shelter-in-place mandates, and retooling certain operational processes to enable “contactless” transactions, we resumed making offers to purchase homes in select markets in May 2020. We resumed operations across all of our markets by the end of August 2020.</w:t>
      </w:r>
    </w:p>
    <w:p>
      <w:pPr>
        <w:spacing w:after="0" w:line="16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Despite pausing new acquisitions in March 2020, we continued to sell down inventory at a healthy pace, leading to a low point in home inventory of $152 million as of September 30, 2020 compared to inventory of $1,312 million as of December 31, 2019. As our revenues are dependent on inventory levels available for sale, our top line was pressured due to limited inventory. Accordingly, we experienced sequential, quarter-over-quarter declines in revenue in the second, third and fourth quarters of 2020. We have been actively rebuilding our inventory since August 2020, leading to sequential growth in the fourth quarter of 2020 and the first quarter of 2021. Likewise, we returned to sequential revenue growth in the first quarter of 2021 and we expect this trend to continue for the remainder of the year. See “— </w:t>
      </w:r>
      <w:r>
        <w:rPr>
          <w:rFonts w:ascii="Arial" w:cs="Arial" w:eastAsia="Arial" w:hAnsi="Arial"/>
          <w:sz w:val="17"/>
          <w:szCs w:val="17"/>
          <w:i w:val="1"/>
          <w:iCs w:val="1"/>
          <w:color w:val="auto"/>
        </w:rPr>
        <w:t>Components of Our Results of Operations — Revenue</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margin model</w:t>
      </w:r>
    </w:p>
    <w:p>
      <w:pPr>
        <w:spacing w:after="0" w:line="225"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acquire homes directly from individual sellers and resell those homes to buyers, including both individual consumers and institutional investors. Upon acquiring a home, we typically make necessary renovations and repairs before listing it for sale on our website, our mobile app, Multiple Listing Services (“MLS”) and other online real estate portals. Our average hold period for homes purchased since January 2020, from acquisition to resale, ranged from 70 to 100 days and varied by market. Home sales comprise the vast majority of our revenues today, but we expect increasing contribution from adjacent services as our current offerings mature and we introduce additional services over time.</w:t>
      </w:r>
    </w:p>
    <w:p>
      <w:pPr>
        <w:spacing w:after="0" w:line="17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To achieve our long-term margin objectives, we must both maintain pricing accuracy as the business expands and increase customer adoption of our newer services, such as Opendoor Home Loans, Buy with Opendoor, and List with Opendoor. We also plan to achieve operating leverage by growing our revenue at a faster pace than our fixed cost base, which includes general and administrative as well as technology and development expenses. Given the size of the opportunity in front of us, we plan to invest aggressively in the near term and appropriately balance trade-offs between growth and margin as we scale.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Offers</w:t>
      </w:r>
    </w:p>
    <w:p>
      <w:pPr>
        <w:spacing w:after="0" w:line="225"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We generate demand for our services through organic awareness and word-of-mouth, paid media spend, and partnership channels such as our relationships with homebuilders and online portals. Home sellers can visit our website or mobile app and answer a few questions about their home’s condition, features and upgrades. For eligible homes, customers receive an initial home valuation range, which can be refreshed at any time through their personalized seller dashboard. The majority of our initial offers are algorithmically generated and do not require any human intervention.</w:t>
      </w:r>
    </w:p>
    <w:p>
      <w:pPr>
        <w:spacing w:after="0" w:line="15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order to finalize our offer, we conduct a free assessment to confirm all of the home details and identify any repairs that may need to be performed. We have developed purpose-built software to guide home assessment workflows and collect over 100 unique data points regarding a home’s condition and quality, which we incorporate as structured data into our underlying pricing models. Once completed, we finalize our offer, taking into consideration any necessary repairs, and produce the purchase agreement for the seller. Our objective is to provide a competitive cash offer to sellers and we believe this approach builds trust with our potential customers. Our business model is designed to generate margins from our service charge to sellers and adjacent products and services associated with a transaction, and not from the spread between acquisition price and resale price.</w:t>
      </w:r>
    </w:p>
    <w:p>
      <w:pPr>
        <w:spacing w:after="0" w:line="1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closely track the number of potential sellers who accept the Opendoor offer versus listing their home on the MLS, and this conversion rate is an important factor for our growth.</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acquisition and renovation</w:t>
      </w:r>
    </w:p>
    <w:p>
      <w:pPr>
        <w:spacing w:after="0" w:line="22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Once a seller has received and accepted our final purchase offer, we enable the seller to close the transaction on a flexible timeline. This is a particularly important feature to sellers, as their home sale can accommodate other life events (including the purchase of their next home) and further differentiates our service from a traditional sale. Depending on the condition of the home, we leverage our vetted contractor network within each market to complete required repairs and upgrades. Our repair scopes are focused on high-return investments and ensuring the home is in market-ready condition. We continuously refine and adjust our repair strategies based on our operating experience in markets and reviewing neighborhood-level resale outcomes.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resale</w:t>
      </w:r>
    </w:p>
    <w:p>
      <w:pPr>
        <w:spacing w:after="0" w:line="225"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Post-renovation, we market our homes across a wide variety of channels to generate buyer awareness and demand. These include the Opendoor website and mobile app, local MLS and syndication across real estate portals. We also generate buyer awareness through Opendoor signage for listed properties. Efficiently turning our inventory, inclusive of repairing, listing, and reselling the home, is important to our financial performance, as we bear holding costs (including utilities, property taxes and insurance) and financing costs during our ownership period.</w:t>
      </w:r>
    </w:p>
    <w:p>
      <w:pPr>
        <w:spacing w:after="0" w:line="17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As part of the listing and marketing process, we determine an appropriate pricing strategy for each home. Our proprietary pricing engine helps automate many of these steps, including relevant adjustments over time. We measure our inventory performance compared to local market trends, and our pricing models can incorporate granular, relative demand signals to optimize pricing and sell-through across the portfolio. Our resale models, in conjunction with our pricing team, aim to maximize resale margin while maintaining appropriate transaction velocity and overall inventory health.</w:t>
      </w:r>
    </w:p>
    <w:p>
      <w:pPr>
        <w:spacing w:after="0" w:line="157"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Penetration in Existing Markets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Residential real estate is one of the largest consumer markets, with approximately $1.9 trillion of home value transacted annually. Given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Since our inception in 2014, we have expanded into 27 markets as of March 31, 2021. The following table represents the number of markets as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whole numbers)</w:t>
            </w:r>
          </w:p>
        </w:tc>
        <w:tc>
          <w:tcPr>
            <w:tcW w:w="11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5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
        </w:trPr>
        <w:tc>
          <w:tcPr>
            <w:tcW w:w="6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116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21</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After launching 12 markets in 2018, we focused on centralizing our operations platform in 2019 for long-term scalability. We launched three additional markets in 2019 and did not launch any markets in 2020, primarily due to COVID-19. We plan to double the markets we serve by the end of 2021 and have launched six new markets in the first quarter of the year. We believe our centralized systems will allow for a higher velocity and lower cost market launch process in the future. We are able to launch a market with only a small field team focused on home assessments and subcontractor oversight, with all other key functions managed centrally, including marketing, customer sales and support and pricing.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view the first year of a market launch as an investment period during which we refine our pricing models, renovation strategies and cost structure. Historically, we have seen purchase cohort Contribution Margins for new markets reach positive, steady-state levels approximately one year after initial launch. The significant number of new market launches in 2018 contributed to our lower Contribution Margins in 2019; as those same markets matured, we were able to improve Contribution Margin performance in 2020.</w:t>
      </w:r>
    </w:p>
    <w:p>
      <w:pPr>
        <w:spacing w:after="0" w:line="18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expect to make substantial investments to support our market launches in 2021, which will impact both Contribution Margin and EBITDA as these new markets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Services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believe home sellers and buyers value simplicity and convenience. To that end, we are building an online, integrated suite of home services, which currently include title insurance and escrow services, listing and real estate brokerage services, and mortgage services. We believe that vertically integrating services that are adjacent to the core real estate transaction will allow us to deliver a superior, seamless experience to the consumer. Our success with title insurance services helps validate our thesis that customers prefer an online, integrated experience. We expect that these adjacent services will also be accretive to our Contribution Margins.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will continue to evaluate new ways to improve our end-to-end solution and expect to invest in additional adjacent products and services over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economics</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62"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engine optimization and enhancements, especially as we enter new markets and expand our reach in existing markets.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Lowering platform costs through process refinement, greater automation and self-service, and more efficient forms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introduction of additional services that supplement the core transaction margin profile.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residential real estate market is seasonal, with greater demand from home buyers in the spring and summer, and typically weaker demand in late fall and winter. We expect our financial results and working capital requirements to reflect seasonal variations over time, although our growth and market expansion have obscured the impact of seasonality in our historical financials and may continue to do so. That said, we generally expect stronger sequential revenue growth in the first quarter of the year versus the third and fourth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We have invested significant time and resources into our pricing engine and inventory management systems. Our engineering, data science and pricing teams collectively focus on pricing accuracy for both home acquisition and disposition, as well as managing our inventory health across markets.</w:t>
      </w:r>
    </w:p>
    <w:p>
      <w:pPr>
        <w:spacing w:after="0" w:line="12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While residential real estate markets are subject to fluctuations, as with any market, we believe we are well-positioned to manage our inventory risk exposure due to the following:</w:t>
      </w:r>
    </w:p>
    <w:p>
      <w:pPr>
        <w:spacing w:after="0" w:line="62" w:lineRule="exact"/>
        <w:rPr>
          <w:sz w:val="20"/>
          <w:szCs w:val="20"/>
          <w:color w:val="auto"/>
        </w:rPr>
      </w:pPr>
    </w:p>
    <w:p>
      <w:pPr>
        <w:ind w:left="820" w:right="80" w:hanging="326"/>
        <w:spacing w:after="0" w:line="279"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model is based on transaction velocity and short-duration hold times, with our average days in possession typically ranging from 70 to 100 days for homes acquired since January 2020. We have historically concentrated our home purchases on the more liquid segments of the residential real estate market, thus limiting our duration risk. Moreover, residential real estate prices tend to move gradually relative to other asset classes, which meaningfully reduces our exposure to price fluctuations during our ownership period.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354" w:lineRule="exact"/>
        <w:rPr>
          <w:sz w:val="20"/>
          <w:szCs w:val="20"/>
          <w:color w:val="auto"/>
        </w:rPr>
      </w:pPr>
    </w:p>
    <w:p>
      <w:pPr>
        <w:ind w:left="820" w:right="280" w:hanging="326"/>
        <w:spacing w:after="0" w:line="263"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pricing models and inventory management systems are designed to recalibrate to market signals on a daily basis. Accordingly, changing market conditions will be immediately reflected in our pricing for new acquisitions, leaving only previously-acquired inventory at risk to potential market volatility.</w:t>
      </w:r>
    </w:p>
    <w:p>
      <w:pPr>
        <w:spacing w:after="0" w:line="75" w:lineRule="exact"/>
        <w:rPr>
          <w:rFonts w:ascii="Arial" w:cs="Arial" w:eastAsia="Arial" w:hAnsi="Arial"/>
          <w:sz w:val="18"/>
          <w:szCs w:val="18"/>
          <w:color w:val="auto"/>
        </w:rPr>
      </w:pPr>
    </w:p>
    <w:p>
      <w:pPr>
        <w:ind w:left="820" w:right="20" w:hanging="326"/>
        <w:spacing w:after="0" w:line="308"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 any moment in time, a significant portion of our inventory is under resale contract; this means we have already found buyers for those homes and are in the process of closing the resale transactions. This further limits our exposure to the remaining homes in inventory.</w:t>
      </w:r>
    </w:p>
    <w:p>
      <w:pPr>
        <w:spacing w:after="0" w:line="38" w:lineRule="exact"/>
        <w:rPr>
          <w:rFonts w:ascii="Arial" w:cs="Arial" w:eastAsia="Arial" w:hAnsi="Arial"/>
          <w:sz w:val="17"/>
          <w:szCs w:val="17"/>
          <w:color w:val="auto"/>
        </w:rPr>
      </w:pPr>
    </w:p>
    <w:p>
      <w:pPr>
        <w:ind w:left="820" w:right="200" w:hanging="326"/>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listed homes are not occupied and are in resale condition given the repairs and renovations we perform. We believe that this increases the salability and liquidity of our portfolio.</w:t>
      </w:r>
    </w:p>
    <w:p>
      <w:pPr>
        <w:spacing w:after="0" w:line="62" w:lineRule="exact"/>
        <w:rPr>
          <w:rFonts w:ascii="Arial" w:cs="Arial" w:eastAsia="Arial" w:hAnsi="Arial"/>
          <w:sz w:val="18"/>
          <w:szCs w:val="18"/>
          <w:color w:val="auto"/>
        </w:rPr>
      </w:pPr>
    </w:p>
    <w:p>
      <w:pPr>
        <w:ind w:left="820" w:hanging="326"/>
        <w:spacing w:after="0" w:line="308"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operate in 27 distinct markets as of March 31, 2021, affording us diversification across our inventory portfolio. While there are macro forces that may impact all markets, local real estate markets tend to be idiosyncratic in terms of their individual supply-demand dynamics.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will continue to make substantial investments in our pricing systems and risk management functions.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Financing</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Our business model is working capital intensive and inventory financing is a key enabler of our growth. We rely on our access to non-recourse asset-backed financing facilities, which consist of senior revolving credit facilities and asset-backed mezzanine term debt facilities, to finance our home acquisitions. See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our results of operations below, we report certain financial measures that are not required by, or presented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(“GAAP”).</w:t>
      </w:r>
    </w:p>
    <w:p>
      <w:pPr>
        <w:spacing w:after="0" w:line="2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Contribution Profit and Contribution Profit After Interest</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To provide investors with additional information regarding our margins and return on inventory acquired, we have included Adjusted Gross Profit, Contribution Profit and Contribution Profit After Interest, which are non-GAAP financial measures. We believe that Adjusted Gross Profit, Contribution Profit and Contribution Profit After Interest are useful financial measures for investors as they are supplemental measures used by management in evaluating unit level economics and our operating performance in our key markets.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8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These measures also exclude the impact of certain restructuring costs that are required under GAAP. Accordingly, these measures should not be considered in isolation or as a substitute for analysis of our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results as reported under GAAP. We include a reconciliation of these measures to the most directly comparable GAAP financial measure, which is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 Margin</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calculate Adjusted Gross Profit as gross profit under GAAP adjusted for (1) inventory impairment in the current period and (2) inventory impairment in prior periods. Inventory impairment in the current period is calculated by adding back the inventory impairment charges recorded during the period on homes that remain in inventory at period end. Inventory impairment in prior periods is calculated by subtracting the inventory impairment charges recorded in prior periods on homes sold in the current period. We define Adjusted Gross Margin as Adjusted Gross Profit as a percentage of revenue.</w:t>
      </w:r>
    </w:p>
    <w:p>
      <w:pPr>
        <w:spacing w:after="0" w:line="188"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calculate Contribution Profit as Adjusted Gross Profit, minus (1) holding costs incurred in the current period on homes sold during the period,</w:t>
      </w:r>
    </w:p>
    <w:p>
      <w:pPr>
        <w:spacing w:after="0" w:line="46" w:lineRule="exact"/>
        <w:rPr>
          <w:sz w:val="20"/>
          <w:szCs w:val="20"/>
          <w:color w:val="auto"/>
        </w:rPr>
      </w:pPr>
    </w:p>
    <w:p>
      <w:pPr>
        <w:ind w:firstLine="8"/>
        <w:spacing w:after="0" w:line="281"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holding costs incurred in prior periods on homes sold in the current period, and (3) direct selling costs incurred on homes sold during the current period. The composition of our holding costs is described in the footnotes to the reconciliation table below. Contribution Margin is Contribution Profit as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percentage of revenue.</w:t>
      </w:r>
    </w:p>
    <w:p>
      <w:pPr>
        <w:spacing w:after="0" w:line="21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 After Interest</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We define Contribution Profit After Interest as Contribution Profit, minus interest expense under our senior revolving credit facilities incurred on the homes sold during the period. This may include interest expense recorded in periods prior to the period in which the sale occurred. Our senior revolving credit facilities are secured by our homes in inventory and drawdowns are made on a per-home basis at the time of purchase and are required to be repaid at the time the homes are sold. See “— </w:t>
      </w:r>
      <w:r>
        <w:rPr>
          <w:rFonts w:ascii="Arial" w:cs="Arial" w:eastAsia="Arial" w:hAnsi="Arial"/>
          <w:sz w:val="16"/>
          <w:szCs w:val="16"/>
          <w:i w:val="1"/>
          <w:iCs w:val="1"/>
          <w:color w:val="auto"/>
        </w:rPr>
        <w:t>Liquidity and Capital Resources — Debt and Financing Arrangements.</w:t>
      </w:r>
      <w:r>
        <w:rPr>
          <w:rFonts w:ascii="Arial" w:cs="Arial" w:eastAsia="Arial" w:hAnsi="Arial"/>
          <w:sz w:val="16"/>
          <w:szCs w:val="16"/>
          <w:color w:val="auto"/>
        </w:rPr>
        <w:t>” We do not include interest expense associated with our mezzanine term debt facilities in this calculation as we do not view such facilities as reflective of our expected long term capital structure and cost of financing. Contribution Margin After Interest is Contribution Profit After Interest as a percentage of revenue.</w:t>
      </w:r>
    </w:p>
    <w:p>
      <w:pPr>
        <w:spacing w:after="0" w:line="16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view this metric as an important measure of business performance. Contribution Profit After Interest helps management assess Contribution Margin performance, per above, when fully burdened with expected long-term costs of financing.</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(GAAP)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97,132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91,047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Arial" w:cs="Arial" w:eastAsia="Arial" w:hAnsi="Arial"/>
                <w:sz w:val="18"/>
                <w:szCs w:val="18"/>
                <w:color w:val="auto"/>
              </w:rPr>
              <w:t>Inventory impairment – Current Period</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impairment – Prior Periods</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rPr>
              <w:t>97,038</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b w:val="1"/>
                <w:bCs w:val="1"/>
                <w:color w:val="auto"/>
              </w:rPr>
              <w:t>88,848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 selling costs</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(17,340)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Arial" w:cs="Arial" w:eastAsia="Arial" w:hAnsi="Arial"/>
                <w:sz w:val="18"/>
                <w:szCs w:val="18"/>
                <w:color w:val="auto"/>
              </w:rPr>
              <w:t>Holding costs on sales – Current Period</w:t>
            </w:r>
            <w:r>
              <w:rPr>
                <w:rFonts w:ascii="Arial" w:cs="Arial" w:eastAsia="Arial" w:hAnsi="Arial"/>
                <w:sz w:val="23"/>
                <w:szCs w:val="23"/>
                <w:color w:val="auto"/>
                <w:vertAlign w:val="superscript"/>
              </w:rPr>
              <w:t>(4)(5)</w:t>
            </w:r>
          </w:p>
        </w:tc>
        <w:tc>
          <w:tcPr>
            <w:tcW w:w="36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(2,126)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Holding costs on sales – Prior Periods</w:t>
            </w:r>
            <w:r>
              <w:rPr>
                <w:rFonts w:ascii="Arial" w:cs="Arial" w:eastAsia="Arial" w:hAnsi="Arial"/>
                <w:sz w:val="23"/>
                <w:szCs w:val="23"/>
                <w:color w:val="auto"/>
                <w:vertAlign w:val="superscript"/>
              </w:rPr>
              <w:t>(4)(6)</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(1,426)</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rPr>
              <w:t>76,146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b w:val="1"/>
                <w:bCs w:val="1"/>
                <w:color w:val="auto"/>
              </w:rPr>
              <w:t>38,556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Contribution Margin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homes sold – Current Period</w:t>
            </w:r>
            <w:r>
              <w:rPr>
                <w:rFonts w:ascii="Arial" w:cs="Arial" w:eastAsia="Arial" w:hAnsi="Arial"/>
                <w:sz w:val="23"/>
                <w:szCs w:val="23"/>
                <w:color w:val="auto"/>
                <w:vertAlign w:val="superscript"/>
              </w:rPr>
              <w:t>(7)(8)</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70"/>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on homes sold – Prior Periods</w:t>
            </w:r>
            <w:r>
              <w:rPr>
                <w:rFonts w:ascii="Arial" w:cs="Arial" w:eastAsia="Arial" w:hAnsi="Arial"/>
                <w:sz w:val="23"/>
                <w:szCs w:val="23"/>
                <w:color w:val="auto"/>
                <w:vertAlign w:val="superscript"/>
              </w:rPr>
              <w:t>(7)(9)</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(902)</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Profit After Interest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72,911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23,415</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i w:val="1"/>
                <w:iCs w:val="1"/>
                <w:color w:val="auto"/>
              </w:rPr>
              <w:t>Contribution Margin After Interest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90" w:lineRule="exact"/>
        <w:rPr>
          <w:sz w:val="20"/>
          <w:szCs w:val="20"/>
          <w:color w:val="auto"/>
        </w:rPr>
      </w:pPr>
    </w:p>
    <w:p>
      <w:pPr>
        <w:ind w:left="340" w:right="4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Inventory impairment — Current Period is the inventory valuation adjustments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26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Inventory impairment — Prior Periods is the inventory valuation adjustments recorded in prior periods associated with homes that sold in the period presented.</w:t>
      </w:r>
    </w:p>
    <w:p>
      <w:pPr>
        <w:spacing w:after="0" w:line="94" w:lineRule="exact"/>
        <w:rPr>
          <w:rFonts w:ascii="Arial" w:cs="Arial" w:eastAsia="Arial" w:hAnsi="Arial"/>
          <w:sz w:val="23"/>
          <w:szCs w:val="23"/>
          <w:color w:val="auto"/>
          <w:vertAlign w:val="superscript"/>
        </w:rPr>
      </w:pPr>
    </w:p>
    <w:p>
      <w:pPr>
        <w:ind w:left="340" w:right="22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selling costs incurred related to homes sold in the relevant period. This primarily includes broker commissions, external title and escrow-related fees and transfer taxes.</w:t>
      </w:r>
    </w:p>
    <w:p>
      <w:pPr>
        <w:spacing w:after="0" w:line="94" w:lineRule="exact"/>
        <w:rPr>
          <w:rFonts w:ascii="Arial" w:cs="Arial" w:eastAsia="Arial" w:hAnsi="Arial"/>
          <w:sz w:val="23"/>
          <w:szCs w:val="23"/>
          <w:color w:val="auto"/>
          <w:vertAlign w:val="superscript"/>
        </w:rPr>
      </w:pPr>
    </w:p>
    <w:p>
      <w:pPr>
        <w:ind w:left="340" w:right="4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Holding costs include mainly property taxes, insurance, utilities, association dues, cleaning and maintenance costs. Holding costs are included in Sales, marketing, and operations on the Consolidated Statements of Operations.</w:t>
      </w:r>
    </w:p>
    <w:p>
      <w:pPr>
        <w:sectPr>
          <w:pgSz w:w="11900" w:h="16838" w:orient="portrait"/>
          <w:cols w:equalWidth="0" w:num="1">
            <w:col w:w="11240"/>
          </w:cols>
          <w:pgMar w:left="320" w:top="139"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Represents holding costs incurred in the period presented on homes sold in the period presented.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Represents holding costs incurred in prior periods on homes sold in the period presented.</w:t>
      </w:r>
    </w:p>
    <w:p>
      <w:pPr>
        <w:spacing w:after="0" w:line="129" w:lineRule="exact"/>
        <w:rPr>
          <w:sz w:val="20"/>
          <w:szCs w:val="20"/>
          <w:color w:val="auto"/>
        </w:rPr>
      </w:pPr>
    </w:p>
    <w:p>
      <w:pPr>
        <w:sectPr>
          <w:pgSz w:w="11900" w:h="16838" w:orient="portrait"/>
          <w:cols w:equalWidth="0" w:num="2">
            <w:col w:w="140" w:space="180"/>
            <w:col w:w="10920"/>
          </w:cols>
          <w:pgMar w:left="320" w:top="139" w:right="339" w:bottom="1440" w:gutter="0" w:footer="0" w:header="0"/>
          <w:type w:val="continuous"/>
        </w:sectPr>
      </w:pPr>
    </w:p>
    <w:p>
      <w:pPr>
        <w:ind w:left="340" w:right="8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 xml:space="preserve">This does not include interest on mezzanine term debt facilities or other indebtedness. See “— </w:t>
      </w:r>
      <w:r>
        <w:rPr>
          <w:rFonts w:ascii="Arial" w:cs="Arial" w:eastAsia="Arial" w:hAnsi="Arial"/>
          <w:sz w:val="18"/>
          <w:szCs w:val="18"/>
          <w:i w:val="1"/>
          <w:iCs w:val="1"/>
          <w:color w:val="auto"/>
        </w:rPr>
        <w:t>Liquidity and Capital Resources — Debt and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7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senior revolving credit facilities incurred on homes sold for the current period during the period.</w:t>
      </w:r>
    </w:p>
    <w:p>
      <w:pPr>
        <w:spacing w:after="0" w:line="71"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senior revolving credit facilities incurred on homes sold for the current period during prior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and Adjusted EBITDA</w:t>
      </w:r>
    </w:p>
    <w:p>
      <w:pPr>
        <w:spacing w:after="0" w:line="225"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Adjusted Net Loss and Adjusted EBITDA are supplemental measures of our operating performance and have important limitations. For example, these measures exclude the impact of certain costs required to be recorded under GAAP. These measures also include impairment costs that were recorded in prior periods under GAAP and exclude, in connection with homes held in inventory at the end of the period, impairment costs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calculate Adjusted Net Loss as GAAP net loss adjusted to exclude non-cash expenses of stock-based compensation, derivative and warrant fair value adjustment and intangible amortization. It also excludes non-recurring restructuring charges, gain on lease termination, and convertible note payment-in-kind (“PIK”) interest and issuance discount amortization. Adjusted Net Loss also aligns the timing of impairment charges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our Adjusted Net Loss and Adjusted EBITDA to our net loss, which is the most directly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measure,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(270,436)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(62,196)</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238,832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70"/>
        </w:trPr>
        <w:tc>
          <w:tcPr>
            <w:tcW w:w="8040" w:type="dxa"/>
            <w:vAlign w:val="bottom"/>
          </w:tcPr>
          <w:p>
            <w:pPr>
              <w:ind w:left="180"/>
              <w:spacing w:after="0"/>
              <w:rPr>
                <w:sz w:val="20"/>
                <w:szCs w:val="20"/>
                <w:color w:val="auto"/>
              </w:rPr>
            </w:pPr>
            <w:r>
              <w:rPr>
                <w:rFonts w:ascii="Arial" w:cs="Arial" w:eastAsia="Arial" w:hAnsi="Arial"/>
                <w:sz w:val="18"/>
                <w:szCs w:val="18"/>
                <w:color w:val="auto"/>
              </w:rPr>
              <w:t>Derivative and warrant fair value adjustment</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15,272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amortization expense</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0"/>
        </w:trPr>
        <w:tc>
          <w:tcPr>
            <w:tcW w:w="8040" w:type="dxa"/>
            <w:vAlign w:val="bottom"/>
          </w:tcPr>
          <w:p>
            <w:pPr>
              <w:ind w:left="180"/>
              <w:spacing w:after="0"/>
              <w:rPr>
                <w:sz w:val="20"/>
                <w:szCs w:val="20"/>
                <w:color w:val="auto"/>
              </w:rPr>
            </w:pPr>
            <w:r>
              <w:rPr>
                <w:rFonts w:ascii="Arial" w:cs="Arial" w:eastAsia="Arial" w:hAnsi="Arial"/>
                <w:sz w:val="18"/>
                <w:szCs w:val="18"/>
                <w:color w:val="auto"/>
              </w:rPr>
              <w:t>Inventory impairment – Current Period</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impairment — Prior Periods</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70"/>
        </w:trPr>
        <w:tc>
          <w:tcPr>
            <w:tcW w:w="8040" w:type="dxa"/>
            <w:vAlign w:val="bottom"/>
          </w:tcPr>
          <w:p>
            <w:pPr>
              <w:ind w:left="18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(5)</w:t>
            </w: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 PIK interest and discount amortization</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Gain on lease termination</w:t>
            </w:r>
          </w:p>
        </w:tc>
        <w:tc>
          <w:tcPr>
            <w:tcW w:w="36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(5,237)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(7)</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Adjusted Net Loss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(20,801)</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b w:val="1"/>
                <w:bCs w:val="1"/>
                <w:color w:val="auto"/>
              </w:rPr>
              <w:t>(55,794)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Depreciation and amortization, excluding amortization of intangibles and right of use assets</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8,434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financing</w:t>
            </w:r>
            <w:r>
              <w:rPr>
                <w:rFonts w:ascii="Arial" w:cs="Arial" w:eastAsia="Arial" w:hAnsi="Arial"/>
                <w:sz w:val="23"/>
                <w:szCs w:val="23"/>
                <w:color w:val="auto"/>
                <w:vertAlign w:val="superscript"/>
              </w:rPr>
              <w:t>(8)</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6,980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18,210</w:t>
            </w:r>
          </w:p>
        </w:tc>
        <w:tc>
          <w:tcPr>
            <w:tcW w:w="0" w:type="dxa"/>
            <w:vAlign w:val="bottom"/>
          </w:tcPr>
          <w:p>
            <w:pPr>
              <w:spacing w:after="0"/>
              <w:rPr>
                <w:sz w:val="1"/>
                <w:szCs w:val="1"/>
                <w:color w:val="auto"/>
              </w:rPr>
            </w:pPr>
          </w:p>
        </w:tc>
      </w:tr>
      <w:tr>
        <w:trPr>
          <w:trHeight w:val="270"/>
        </w:trPr>
        <w:tc>
          <w:tcPr>
            <w:tcW w:w="8040" w:type="dxa"/>
            <w:vAlign w:val="bottom"/>
          </w:tcPr>
          <w:p>
            <w:pPr>
              <w:ind w:left="180"/>
              <w:spacing w:after="0"/>
              <w:rPr>
                <w:sz w:val="20"/>
                <w:szCs w:val="20"/>
                <w:color w:val="auto"/>
              </w:rPr>
            </w:pPr>
            <w:r>
              <w:rPr>
                <w:rFonts w:ascii="Arial" w:cs="Arial" w:eastAsia="Arial" w:hAnsi="Arial"/>
                <w:sz w:val="18"/>
                <w:szCs w:val="18"/>
                <w:color w:val="auto"/>
              </w:rPr>
              <w:t>Other interest expense</w:t>
            </w:r>
            <w:r>
              <w:rPr>
                <w:rFonts w:ascii="Arial" w:cs="Arial" w:eastAsia="Arial" w:hAnsi="Arial"/>
                <w:sz w:val="23"/>
                <w:szCs w:val="23"/>
                <w:color w:val="auto"/>
                <w:vertAlign w:val="superscript"/>
              </w:rPr>
              <w:t>(9)</w:t>
            </w: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4,019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(10)</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5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gains and losses on our warrant liabilities, which are marked to fair value at the end of each period.</w:t>
      </w:r>
    </w:p>
    <w:p>
      <w:pPr>
        <w:spacing w:after="0" w:line="93" w:lineRule="exact"/>
        <w:rPr>
          <w:rFonts w:ascii="Arial" w:cs="Arial" w:eastAsia="Arial" w:hAnsi="Arial"/>
          <w:sz w:val="23"/>
          <w:szCs w:val="23"/>
          <w:color w:val="auto"/>
          <w:vertAlign w:val="superscript"/>
        </w:rPr>
      </w:pPr>
    </w:p>
    <w:p>
      <w:pPr>
        <w:jc w:val="both"/>
        <w:ind w:left="340" w:right="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amortization of intangibles acquired in the OSN and Open Listings acquisitions which contribute to revenue generation and are recorded as part of purchase accounting. The acquired intangible assets have useful lives ranging from 2 to 5 years and amortization is expected until the intangible assets are fully amortized.</w:t>
      </w:r>
    </w:p>
    <w:p>
      <w:pPr>
        <w:spacing w:after="0" w:line="94" w:lineRule="exact"/>
        <w:rPr>
          <w:rFonts w:ascii="Arial" w:cs="Arial" w:eastAsia="Arial" w:hAnsi="Arial"/>
          <w:sz w:val="23"/>
          <w:szCs w:val="23"/>
          <w:color w:val="auto"/>
          <w:vertAlign w:val="superscript"/>
        </w:rPr>
      </w:pPr>
    </w:p>
    <w:p>
      <w:pPr>
        <w:ind w:left="340" w:right="6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Inventory impairment — Current Period is the inventory impairment charge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26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Inventory impairment — Prior Periods is the inventory valuation adjustments recorded in prior periods associated with homes that sold in the period presented.</w:t>
      </w:r>
    </w:p>
    <w:p>
      <w:pPr>
        <w:spacing w:after="0" w:line="94" w:lineRule="exact"/>
        <w:rPr>
          <w:rFonts w:ascii="Arial" w:cs="Arial" w:eastAsia="Arial" w:hAnsi="Arial"/>
          <w:sz w:val="23"/>
          <w:szCs w:val="23"/>
          <w:color w:val="auto"/>
          <w:vertAlign w:val="superscript"/>
        </w:rPr>
      </w:pPr>
    </w:p>
    <w:p>
      <w:pPr>
        <w:ind w:left="340" w:right="2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Restructuring costs consist mainly of employee termination benefits, relocation packages and retention bonuses as well as costs related to the exiting of certain non-cancelable leases.</w:t>
      </w:r>
    </w:p>
    <w:p>
      <w:pPr>
        <w:spacing w:after="0" w:line="94" w:lineRule="exact"/>
        <w:rPr>
          <w:rFonts w:ascii="Arial" w:cs="Arial" w:eastAsia="Arial" w:hAnsi="Arial"/>
          <w:sz w:val="23"/>
          <w:szCs w:val="23"/>
          <w:color w:val="auto"/>
          <w:vertAlign w:val="superscript"/>
        </w:rPr>
      </w:pPr>
    </w:p>
    <w:p>
      <w:pPr>
        <w:ind w:left="340" w:right="480" w:hanging="332"/>
        <w:spacing w:after="0" w:line="238"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non-cash payment-in-kind (“PIK”) interest and amortization of the discount on the convertible notes issued from July through November 2019. We exclude convertible note PIK interest and amortization from Adjusted Net Loss since these are non-cash in nature and were converted into equity in September 2020 when the Company entered into the Convertible Notes Exchange Agreement with the convertible note holders.</w:t>
      </w:r>
    </w:p>
    <w:p>
      <w:pPr>
        <w:spacing w:after="0" w:line="93" w:lineRule="exact"/>
        <w:rPr>
          <w:rFonts w:ascii="Arial" w:cs="Arial" w:eastAsia="Arial" w:hAnsi="Arial"/>
          <w:sz w:val="23"/>
          <w:szCs w:val="23"/>
          <w:color w:val="auto"/>
          <w:vertAlign w:val="superscript"/>
        </w:rPr>
      </w:pPr>
    </w:p>
    <w:p>
      <w:pPr>
        <w:ind w:left="340" w:right="60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primarily gain or loss on disposal of fixed assets, gain or loss on interest rate lock commitments, gain or loss on the sale of marketable securities and sublease income.</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interest expense on our senior revolving credit facilities and our asset-backed mezzanine term debt facilities.</w:t>
      </w:r>
    </w:p>
    <w:p>
      <w:pPr>
        <w:spacing w:after="0" w:line="93" w:lineRule="exact"/>
        <w:rPr>
          <w:rFonts w:ascii="Arial" w:cs="Arial" w:eastAsia="Arial" w:hAnsi="Arial"/>
          <w:sz w:val="23"/>
          <w:szCs w:val="23"/>
          <w:color w:val="auto"/>
          <w:vertAlign w:val="superscript"/>
        </w:rPr>
      </w:pPr>
    </w:p>
    <w:p>
      <w:pPr>
        <w:ind w:left="340" w:right="38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debt issuance costs and loan origination fees, commitment fees, unused fees, and other interest related costs on our senior revolving credit facilities and our mezzanine term debt facilities.</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Consists mainly of interest earned on cash, cash equivalents and marketable securities.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generate revenue primarily from the sale of homes that we previously acquired from homeowners. In addition, we generate revenue from additional services we provide to both home sellers and buyers, which consists primarily of title insurance and escrow services, Buy with Opendoor, List with Opendoor and Opendoor Home Loans.</w:t>
      </w:r>
    </w:p>
    <w:p>
      <w:pPr>
        <w:spacing w:after="0" w:line="1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Due to the pause in home purchases following the outbreak of the COVID-19 pandemic, our inventory levels began to meaningfully decline in March 2020. We experienced sequential, quarter-over-quarter declines in revenue in the second, third, and fourth quarters of 2020. We resumed operations in all markets in August 2020 and have been actively rebuilding our inventory, leading to sequential growth in balances for the fourth quarter of 2020 and the first quarter of 2021. Likewise, we returned to sequential revenue growth in the first quarter of 2021 and expect this trend to continue for the remainder of the year.</w:t>
      </w:r>
    </w:p>
    <w:p>
      <w:pPr>
        <w:spacing w:after="0" w:line="18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our revenue other than home sales revenue, cost of revenue consists of any costs incurred in delivering the service, including associated headcount expenses such as salaries, benefits and stock-based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Operations Expense</w:t>
      </w:r>
    </w:p>
    <w:p>
      <w:pPr>
        <w:spacing w:after="0" w:line="225"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Sales, marketing and operations expense consists primarily of resale broker commissions (paid to the home buyers’ real estate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expect our recurring general and administrative expense to increase following the Closing, as we begin to incur public company costs. See</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The Business Combination</w:t>
      </w:r>
      <w:r>
        <w:rPr>
          <w:rFonts w:ascii="Arial" w:cs="Arial" w:eastAsia="Arial" w:hAnsi="Arial"/>
          <w:sz w:val="16"/>
          <w:szCs w:val="16"/>
          <w:color w:val="auto"/>
        </w:rPr>
        <w:t>” above. Additionally, we incurred a significant increase in stock-based compensation in the first quarter of 2021 as a result of certain performance-based awards and historical RSUs satisfying their liquidity event vesting condition. We expect stock based compensation to continue to be elevated in the second quarter of 2021 while we continue to record expense for certain performance-based awards and then decline beginning in the third quarter of 2021. The increase in stock-based compensation will impact each line item within Other 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25"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Warrant Fair Value Adjustment</w:t>
      </w:r>
    </w:p>
    <w:p>
      <w:pPr>
        <w:spacing w:after="0" w:line="225"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Derivative and warrant fair value adjustment consists of unrealized and realized gains and losses as a result of marking our warrants and embedded derivatives related to the Convertible Notes to fair value at the end of each reporting period and subsequent settlement through exercise of warrants and conversion of the Convertible Notes to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LIBOR, which impact the interest incurred on our senior revolving credit facilities (see “—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expect our overall interest expense to increase as revenue increases. Subject to market interest rate drivers, we will evaluate opportunities to reduce our borrowing costs over the long-term, including through limiting our reliance on the higher cost mezzanine term debt facilities and exploring new sources of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income-net consists primarily of interest income from our investment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57"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(508,521)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(514,606)</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6,085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(12,623)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192,501</w:t>
            </w:r>
          </w:p>
        </w:tc>
        <w:tc>
          <w:tcPr>
            <w:tcW w:w="940" w:type="dxa"/>
            <w:vAlign w:val="bottom"/>
          </w:tcPr>
          <w:p>
            <w:pPr>
              <w:jc w:val="right"/>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34,890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341,827</w:t>
            </w: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127,059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214,768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(208,683)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(14,260)</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16,728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income-net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(2,051)</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(208,266)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492"/>
              <w:spacing w:after="0"/>
              <w:rPr>
                <w:sz w:val="20"/>
                <w:szCs w:val="20"/>
                <w:color w:val="auto"/>
              </w:rPr>
            </w:pPr>
            <w:r>
              <w:rPr>
                <w:rFonts w:ascii="Arial" w:cs="Arial" w:eastAsia="Arial" w:hAnsi="Arial"/>
                <w:sz w:val="18"/>
                <w:szCs w:val="18"/>
                <w:color w:val="auto"/>
              </w:rPr>
              <w:t>26</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(208,240)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4440555"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444055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444055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4055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444055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4055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3540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 xml:space="preserve">Revenue decreased by $508.5 million, or 40%, for the three months ended March 31, 2021 compared to the three months ended March 31, 2020. The decrease in revenue was primarily attributable to lower sales volumes, reflecting the decline in our inventory levels in response to the COVID-19 pandemic. See “— </w:t>
      </w:r>
      <w:r>
        <w:rPr>
          <w:rFonts w:ascii="Arial" w:cs="Arial" w:eastAsia="Arial" w:hAnsi="Arial"/>
          <w:sz w:val="17"/>
          <w:szCs w:val="17"/>
          <w:i w:val="1"/>
          <w:iCs w:val="1"/>
          <w:color w:val="auto"/>
        </w:rPr>
        <w:t>Business Impact of COVID-19</w:t>
      </w:r>
      <w:r>
        <w:rPr>
          <w:rFonts w:ascii="Arial" w:cs="Arial" w:eastAsia="Arial" w:hAnsi="Arial"/>
          <w:sz w:val="17"/>
          <w:szCs w:val="17"/>
          <w:color w:val="auto"/>
        </w:rPr>
        <w:t>”. We sold 2,462 homes during the three months ended March 31, 2021, compared to 4,908 homes during the three months ended March 31, 2020, representing a decrease of 50%, while revenue per home sold increased 19% between periods. Average resale prices were positively impacted by mix, home price appreciation, and buybox expansion.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Cost of revenue decreased by $514.6 million, or 44%, for the three months ended March 31, 2021 compared to the three months ended March 31, 2020. This decrease in cost of revenue was primarily attributable to lower sales volumes.</w:t>
      </w:r>
    </w:p>
    <w:p>
      <w:pPr>
        <w:spacing w:after="0" w:line="17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 xml:space="preserve">Gross profit margins improved from 7.3% to 13.0% for the three months ended March 31, 2020 and March 31, 2021, respectively. For the same periods, adjusted Gross Margins improved from 7.1% to 13.0%. Gross margin improvement was primarily due to a combination of healthy inventory mix, home price appreciation and enhanced inventory management strategies. In addition, we saw gains in home renovation efficiency and margins associated with adjacent services. Contribution Margin increased from 3.1% to 10.2% for the same periods, due largely to higher Adjusted Gross Margins as well as improvements in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right="200" w:firstLine="405"/>
        <w:spacing w:after="0" w:line="275" w:lineRule="auto"/>
        <w:rPr>
          <w:sz w:val="20"/>
          <w:szCs w:val="20"/>
          <w:color w:val="auto"/>
        </w:rPr>
      </w:pPr>
      <w:r>
        <w:rPr>
          <w:rFonts w:ascii="Arial" w:cs="Arial" w:eastAsia="Arial" w:hAnsi="Arial"/>
          <w:sz w:val="17"/>
          <w:szCs w:val="17"/>
          <w:i w:val="1"/>
          <w:iCs w:val="1"/>
          <w:color w:val="auto"/>
        </w:rPr>
        <w:t>Sales, Marketing and Operations</w:t>
      </w:r>
      <w:r>
        <w:rPr>
          <w:rFonts w:ascii="Arial" w:cs="Arial" w:eastAsia="Arial" w:hAnsi="Arial"/>
          <w:sz w:val="17"/>
          <w:szCs w:val="17"/>
          <w:color w:val="auto"/>
        </w:rPr>
        <w:t>. Sales, marketing and operations decreased by $12.6 million, or 15%, for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March 31, 2020. The decrease was primarily attributable to resale broker commissions and resale transaction costs, which declined by $16.6 million and $2.4 million, respectively, due to lower resale volumes. In addition, property holding costs declined by $4.6 million due to lower inventory volumes. The decreases were partially offset by a $12.3 million increase in advertising expense as we increased advertising in an effort to ramp up acquisition volumes in both existing and new markets.</w:t>
      </w:r>
    </w:p>
    <w:p>
      <w:pPr>
        <w:sectPr>
          <w:pgSz w:w="11900" w:h="16838" w:orient="portrait"/>
          <w:cols w:equalWidth="0" w:num="1">
            <w:col w:w="11200"/>
          </w:cols>
          <w:pgMar w:left="320" w:top="139"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increased by $192.5 million, or 651%, for the three months ended March 31,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2020. The increase was primarily attributable to $195.5 million of additional stock based compensation from the commencement of expense recognition of certain performance awards following the consummation of the Business Combination in December 2020 as well as the expense recognition of certain restricted stock units ("RSUs") upon the fulfillment of the liquidity event vesting condition satisfied by the February 2021 Offering.</w:t>
      </w:r>
    </w:p>
    <w:p>
      <w:pPr>
        <w:spacing w:after="0" w:line="188"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Technology and development increased by $34.9 million, or 221%, for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March 31, 2020. The increase was primarily attributable to a $34.3 million increase in stock based compensation from the expense recognition of certain RSUs upon the fulfillment of the liquidity event vesting condition satisfied by the February 2021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25"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Derivative and warrant fair value adjustment decreased by $14.3 million for the three months ended March 31, 2021 compared to the three months ended March 31, 2020. The loss for the three months ended March 31, 2021 was attributable to an adjustment to the fair value of the Sponsor Warrants of $15.3 million. The increase in the fair value of the Sponsor Warrants is observed through the increase in the quotable price for the Public Warrants, which trade on the Nasdaq Stock Market LLC under the ticker symbol "OPENW." This is compared to the loss for the three months ended March 31, 2020 that was attributable to the increase in the fair value of the Warrant Commitment of $1.0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decreased by $16.7 million, or 60%, for the three months ended March 31, 2021 compared to the three months ended March 31,</w:t>
      </w:r>
    </w:p>
    <w:p>
      <w:pPr>
        <w:spacing w:after="0" w:line="46" w:lineRule="exact"/>
        <w:rPr>
          <w:sz w:val="20"/>
          <w:szCs w:val="20"/>
          <w:color w:val="auto"/>
        </w:rPr>
      </w:pPr>
    </w:p>
    <w:p>
      <w:pPr>
        <w:jc w:val="both"/>
        <w:ind w:right="520"/>
        <w:spacing w:after="0" w:line="323" w:lineRule="auto"/>
        <w:rPr>
          <w:sz w:val="20"/>
          <w:szCs w:val="20"/>
          <w:color w:val="auto"/>
        </w:rPr>
      </w:pPr>
      <w:r>
        <w:rPr>
          <w:rFonts w:ascii="Arial" w:cs="Arial" w:eastAsia="Arial" w:hAnsi="Arial"/>
          <w:sz w:val="16"/>
          <w:szCs w:val="16"/>
          <w:color w:val="auto"/>
        </w:rPr>
        <w:t>2020. The decrease was primarily attributable to a 48% decrease in the average outstanding balance of our financing facilities due to the reduction in inventory levels as well as the elimination of interest expense related to the Convertible Notes which were converted into equity in September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25"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Other income – net decreased by $2.1 million, or 77%, for the three months ended March 31, 2021 compared to the three months ended March 31, 2020. The decrease was primarily attributable to lower interest income from cash, cash equivalents and marketable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Income tax expense decreased by a nominal amount for the three months ended March 31, 2021 compared to the three months ended March 31,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principal sources of liquidity have historically consisted of cash generated from our operations and from financing activities. As of March 31, 2021, we had cash and cash equivalents of $2,039.9 million, marketable securities of $58.6 million and total outstanding balances on our credit facilities and secured borrowings of $736.6 million. In addition, we had committed and undrawn borrowing capacity of $875.7 million under our asset-backed senior revolving credit facilities and committed and undrawn borrowing capacity of $309.0 million under our mezzanine term debt facilities (as described further below).</w:t>
      </w:r>
    </w:p>
    <w:p>
      <w:pPr>
        <w:spacing w:after="0" w:line="18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have incurred losses from inception through March 31, 2021 and expect to incur additional losses for the foreseeable future. Our ability to service our debt, fund working capital, capital expenditures and business development efforts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expect our working capital requirements to continue to increase in the immediate future, as we seek to increase our inventory and expand into more markets across the United States. We believe our cash on hand, including the cash we obtained as a result of the Business Combination and the February 2021 Offering together with cash we expect to generate from future operations and borrowings, will be sufficient to meet our working capital and capital expenditure requirements for a period of at least twelve months from the date of this Quarterly Report on Form 10-Q. The discussion below does not include transactions that occurred subsequent to March 31, 2021. See “</w:t>
      </w:r>
      <w:r>
        <w:rPr>
          <w:rFonts w:ascii="Arial" w:cs="Arial" w:eastAsia="Arial" w:hAnsi="Arial"/>
          <w:sz w:val="16"/>
          <w:szCs w:val="16"/>
          <w:i w:val="1"/>
          <w:iCs w:val="1"/>
          <w:color w:val="auto"/>
        </w:rPr>
        <w:t>Part I – Item 1. Financial Statements – Notes to Condensed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 Note 18. Subsequent Events</w:t>
      </w:r>
      <w:r>
        <w:rPr>
          <w:rFonts w:ascii="Arial" w:cs="Arial" w:eastAsia="Arial" w:hAnsi="Arial"/>
          <w:sz w:val="16"/>
          <w:szCs w:val="16"/>
          <w:color w:val="auto"/>
        </w:rPr>
        <w:t>” for additional information regarding transactions subsequent to the balance sheet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Arrangements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financing activities include short-term borrowing under our asset-backed senior revolving credit facilities, the issuance of long-term asset-backed mezzanine term debt, borrowing under our mortgage repurchase financing,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primarily use non-recourse asset-backed financing facilities, consisting of asset-backed senior revolving credit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While there can be no assurances that these trends will continue, we have observed increased availability and engagement for this lending product across a variety of financial institutions and we have seen improved terms and an increase in our borrowing capacity over the last two years. We actively manage our relationships with multiple financial institutions and seek to optimize duration, flexibility, efficiency and cost of funds.</w:t>
      </w:r>
    </w:p>
    <w:p>
      <w:pPr>
        <w:spacing w:after="0" w:line="17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w:t>
      </w:r>
    </w:p>
    <w:p>
      <w:pPr>
        <w:spacing w:after="0" w:line="17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financing facilities are non-recourse to Opendoor except for limited guarantees provided by an Opendoor subsidiary for certain obligations in situations involving “bad acts” by an Opendoor entity and certain other limited circumstances that are generally under our control.</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asset-backed senior revolving credit facilities generally advance 80% to 90% of our cost basis in the underlying properties upon acquisition and our asset-backed mezzanine term debt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our asset-backed senior revolving credit facilities as of March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End of</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Final</w:t>
            </w:r>
          </w:p>
        </w:tc>
      </w:t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auto"/>
              </w:rPr>
              <w:t>Borrowing</w:t>
            </w:r>
          </w:p>
        </w:tc>
        <w:tc>
          <w:tcPr>
            <w:tcW w:w="2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Revolving</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Maturity</w:t>
            </w:r>
          </w:p>
        </w:tc>
      </w:tr>
      <w:tr>
        <w:trPr>
          <w:trHeight w:val="186"/>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060" w:type="dxa"/>
            <w:vAlign w:val="bottom"/>
          </w:tcPr>
          <w:p>
            <w:pPr>
              <w:jc w:val="right"/>
              <w:ind w:right="255"/>
              <w:spacing w:after="0"/>
              <w:rPr>
                <w:sz w:val="20"/>
                <w:szCs w:val="20"/>
                <w:color w:val="auto"/>
              </w:rPr>
            </w:pPr>
            <w:r>
              <w:rPr>
                <w:rFonts w:ascii="Arial" w:cs="Arial" w:eastAsia="Arial" w:hAnsi="Arial"/>
                <w:sz w:val="14"/>
                <w:szCs w:val="14"/>
                <w:b w:val="1"/>
                <w:bCs w:val="1"/>
                <w:color w:val="auto"/>
              </w:rPr>
              <w:t>Capacity</w:t>
            </w:r>
          </w:p>
        </w:tc>
        <w:tc>
          <w:tcPr>
            <w:tcW w:w="2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r>
      <w:tr>
        <w:trPr>
          <w:trHeight w:val="25"/>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September 23,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23, 2022</w:t>
            </w:r>
          </w:p>
        </w:tc>
        <w:tc>
          <w:tcPr>
            <w:tcW w:w="100" w:type="dxa"/>
            <w:vAlign w:val="bottom"/>
          </w:tcPr>
          <w:p>
            <w:pPr>
              <w:spacing w:after="0"/>
              <w:rPr>
                <w:sz w:val="21"/>
                <w:szCs w:val="2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Revolving Facility 2018-3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30,472</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June 1, 2023</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June 1, 2023</w:t>
            </w: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50,893</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4,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4, 2022</w:t>
            </w:r>
          </w:p>
        </w:tc>
        <w:tc>
          <w:tcPr>
            <w:tcW w:w="100" w:type="dxa"/>
            <w:vAlign w:val="bottom"/>
          </w:tcPr>
          <w:p>
            <w:pPr>
              <w:spacing w:after="0"/>
              <w:rPr>
                <w:sz w:val="21"/>
                <w:szCs w:val="2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Revolving Facility 2019-2</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1,030,000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398,952</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July 8, 2021</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July 7, 2022</w:t>
            </w: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r>
      <w:tr>
        <w:trPr>
          <w:trHeight w:val="27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2019-3</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108,457</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22,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21, 2023</w:t>
            </w:r>
          </w:p>
        </w:tc>
        <w:tc>
          <w:tcPr>
            <w:tcW w:w="100" w:type="dxa"/>
            <w:vAlign w:val="bottom"/>
          </w:tcPr>
          <w:p>
            <w:pPr>
              <w:spacing w:after="0"/>
              <w:rPr>
                <w:sz w:val="23"/>
                <w:szCs w:val="23"/>
                <w:color w:val="auto"/>
              </w:rPr>
            </w:pPr>
          </w:p>
        </w:tc>
      </w:tr>
      <w:tr>
        <w:trPr>
          <w:trHeight w:val="264"/>
        </w:trPr>
        <w:tc>
          <w:tcPr>
            <w:tcW w:w="3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2,655,000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588,774</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5"/>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29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 some cases, the undrawn borrowing capacity amounts under the asset-backed senior revolving credit facilities as reflected in the table are not fully committed and any borrowings above those amounts are subject to the applicable lender’s discretion. As of March 31, 2021, the Company had fully committed borrowing capacity with respect to asset-backed senior revolving credit facilities of $1,464.5 million.</w:t>
      </w:r>
    </w:p>
    <w:p>
      <w:pPr>
        <w:spacing w:after="0" w:line="18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 Historically, we have had success in renewing these facilities to the extent we have wished to do so.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In addition to the asset-backed senior revolving credit facilities, we have issued asset-backed mezzanine term debt facilities which are subordinated to the related senior facilities. The table below summarizes our asset-backed mezzanine term debt facilities as of March 31,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End of</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Borrowing</w:t>
            </w:r>
          </w:p>
        </w:tc>
        <w:tc>
          <w:tcPr>
            <w:tcW w:w="180" w:type="dxa"/>
            <w:vAlign w:val="bottom"/>
          </w:tcPr>
          <w:p>
            <w:pPr>
              <w:spacing w:after="0"/>
              <w:rPr>
                <w:sz w:val="14"/>
                <w:szCs w:val="14"/>
                <w:color w:val="auto"/>
              </w:rPr>
            </w:pPr>
          </w:p>
        </w:tc>
        <w:tc>
          <w:tcPr>
            <w:tcW w:w="1120" w:type="dxa"/>
            <w:vAlign w:val="bottom"/>
          </w:tcPr>
          <w:p>
            <w:pPr>
              <w:jc w:val="right"/>
              <w:ind w:right="17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Draw</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186"/>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Capacity</w:t>
            </w:r>
          </w:p>
        </w:tc>
        <w:tc>
          <w:tcPr>
            <w:tcW w:w="18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6"/>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Debt Facility 2016-M1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31, 2023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31, 2025</w:t>
            </w: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Term Debt Facility 2020-M1</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23, 2023</w:t>
            </w:r>
          </w:p>
        </w:tc>
        <w:tc>
          <w:tcPr>
            <w:tcW w:w="1700" w:type="dxa"/>
            <w:vAlign w:val="bottom"/>
          </w:tcPr>
          <w:p>
            <w:pPr>
              <w:jc w:val="right"/>
              <w:spacing w:after="0"/>
              <w:rPr>
                <w:sz w:val="20"/>
                <w:szCs w:val="20"/>
                <w:color w:val="auto"/>
              </w:rPr>
            </w:pPr>
            <w:r>
              <w:rPr>
                <w:rFonts w:ascii="Arial" w:cs="Arial" w:eastAsia="Arial" w:hAnsi="Arial"/>
                <w:sz w:val="18"/>
                <w:szCs w:val="18"/>
                <w:color w:val="auto"/>
              </w:rPr>
              <w:t>January 23, 2026</w:t>
            </w: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140,000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Issuance Costs</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8"/>
        </w:trPr>
        <w:tc>
          <w:tcPr>
            <w:tcW w:w="2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136,473</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Undrawn amounts under the mezzanine term debt facilities of $309.0 million as reflected in the table above are fully committed and generally may be drawn at any time during the draw period.</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 – Item 1. Financial Statements – Notes to Condensed Consolidated Financial Statements – Note 7. Credit Facilities and Long-Term Debt</w:t>
      </w:r>
      <w:r>
        <w:rPr>
          <w:rFonts w:ascii="Arial" w:cs="Arial" w:eastAsia="Arial" w:hAnsi="Arial"/>
          <w:sz w:val="18"/>
          <w:szCs w:val="18"/>
          <w:color w:val="auto"/>
        </w:rPr>
        <w:t>” for additional information regarding our non-recourse asset-backed financing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Financing</w:t>
      </w:r>
    </w:p>
    <w:p>
      <w:pPr>
        <w:spacing w:after="0" w:line="225" w:lineRule="exact"/>
        <w:rPr>
          <w:sz w:val="20"/>
          <w:szCs w:val="20"/>
          <w:color w:val="auto"/>
        </w:rPr>
      </w:pPr>
    </w:p>
    <w:p>
      <w:pPr>
        <w:ind w:right="280" w:firstLine="405"/>
        <w:spacing w:after="0" w:line="301" w:lineRule="auto"/>
        <w:rPr>
          <w:sz w:val="20"/>
          <w:szCs w:val="20"/>
          <w:color w:val="auto"/>
        </w:rPr>
      </w:pPr>
      <w:r>
        <w:rPr>
          <w:rFonts w:ascii="Arial" w:cs="Arial" w:eastAsia="Arial" w:hAnsi="Arial"/>
          <w:sz w:val="16"/>
          <w:szCs w:val="16"/>
          <w:color w:val="auto"/>
        </w:rPr>
        <w:t>We primarily use debt financing to fund our mortgage loan originations. In 2019 we entered into a master repurchase agreement to finance substantially all of the mortgage loans that we originate. Once our mortgage business sells a loan in the secondary mortgage market, we use the sale proceeds to reduce the outstanding balance under the repurchase facility. See “</w:t>
      </w:r>
      <w:r>
        <w:rPr>
          <w:rFonts w:ascii="Arial" w:cs="Arial" w:eastAsia="Arial" w:hAnsi="Arial"/>
          <w:sz w:val="16"/>
          <w:szCs w:val="16"/>
          <w:i w:val="1"/>
          <w:iCs w:val="1"/>
          <w:color w:val="auto"/>
        </w:rPr>
        <w:t>Part I – Item 1. Financial Statements – Notes to Condensed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 Note 7. Credit Facilities and Long-Term Debt</w:t>
      </w:r>
      <w:r>
        <w:rPr>
          <w:rFonts w:ascii="Arial" w:cs="Arial" w:eastAsia="Arial" w:hAnsi="Arial"/>
          <w:sz w:val="16"/>
          <w:szCs w:val="16"/>
          <w:color w:val="auto"/>
        </w:rPr>
        <w:t>” for additional information regarding our master repurchase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436,382</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(55,152)</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(346,915)</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677,659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34,315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Net cash (used in) provided by operating activities was $(404.7) million and $436.4 million for the three months ended March 31, 2021 and 2020, respectively. For the three months ended March 31, 2021, cash used in operating activities was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primarily driven by the $374.7 million increase in inventory and a $17.8 million increase in escrow receivables correlated to the increase in first quarter 2021 revenue. For the three months ended March 31, 2020, cash provided by operating activities was primarily driven by a $480.2 million reduction in real estate inventory offset by adjusted net loss of ($55.8)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in investing activities was $25.3 million and $55.2 million for the three months ended March 31, 2021 and 2020, respectively.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March 31, 2021, cash used in investing activities primarily consisted of the $11.1 million increase in marketable securities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purchase of a strategic investment in a privately held company. For the three months ended March 31, 2020, cash used in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consisted of the $49.5 million increase in marketable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Net cash provided by (used in) financing activities was $1,107.7 million and $(346.9) million for the three months ended March 31, 2021 and 2020, respectively. For the three months ended March 31, 2021, cash provided by financing activities was primarily attributable to $886.1 million in proceeds from the February 2021 Offering, net of $28.8 million of issuance costs, and $250.2 million net proceeds from our senior revolving credit facilities. For the three months ended March 31, 2020, cash used in financing activities was primarily attributable to the repayment of $346.1 million to our senior revolving credit facilities and mezzanine term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There have been no material changes outside the ordinary course of business in our commitments under contractual obligations as previously disclosed in our Annual Report on Form 10-K for the year ended December 31, 2020, except for the categories of contractual obligations included in the table below, which have been updated to reflect our contractual obligations as of March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Payment Due by Year</w:t>
            </w:r>
          </w:p>
        </w:tc>
      </w:tr>
      <w:tr>
        <w:trPr>
          <w:trHeight w:val="25"/>
        </w:trPr>
        <w:tc>
          <w:tcPr>
            <w:tcW w:w="8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0"/>
        </w:trPr>
        <w:tc>
          <w:tcPr>
            <w:tcW w:w="8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76"/>
              <w:spacing w:after="0" w:line="160" w:lineRule="exact"/>
              <w:rPr>
                <w:sz w:val="20"/>
                <w:szCs w:val="20"/>
                <w:color w:val="auto"/>
              </w:rPr>
            </w:pPr>
            <w:r>
              <w:rPr>
                <w:rFonts w:ascii="Arial" w:cs="Arial" w:eastAsia="Arial" w:hAnsi="Arial"/>
                <w:sz w:val="14"/>
                <w:szCs w:val="14"/>
                <w:b w:val="1"/>
                <w:bCs w:val="1"/>
                <w:color w:val="auto"/>
              </w:rPr>
              <w:t>Less than</w:t>
            </w:r>
          </w:p>
        </w:tc>
      </w:tr>
      <w:tr>
        <w:trPr>
          <w:trHeight w:val="186"/>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1 year</w:t>
            </w:r>
          </w:p>
        </w:tc>
      </w:tr>
      <w:tr>
        <w:trPr>
          <w:trHeight w:val="25"/>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revolving credit facilities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592,930</w:t>
            </w:r>
          </w:p>
        </w:tc>
      </w:tr>
      <w:tr>
        <w:trPr>
          <w:trHeight w:val="270"/>
        </w:trPr>
        <w:tc>
          <w:tcPr>
            <w:tcW w:w="8500" w:type="dxa"/>
            <w:vAlign w:val="bottom"/>
          </w:tcPr>
          <w:p>
            <w:pPr>
              <w:ind w:left="20"/>
              <w:spacing w:after="0"/>
              <w:rPr>
                <w:sz w:val="20"/>
                <w:szCs w:val="20"/>
                <w:color w:val="auto"/>
              </w:rPr>
            </w:pPr>
            <w:r>
              <w:rPr>
                <w:rFonts w:ascii="Arial" w:cs="Arial" w:eastAsia="Arial" w:hAnsi="Arial"/>
                <w:sz w:val="18"/>
                <w:szCs w:val="18"/>
                <w:color w:val="auto"/>
              </w:rPr>
              <w:t>Mortgage financing</w:t>
            </w:r>
            <w:r>
              <w:rPr>
                <w:rFonts w:ascii="Arial" w:cs="Arial" w:eastAsia="Arial" w:hAnsi="Arial"/>
                <w:sz w:val="23"/>
                <w:szCs w:val="23"/>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7,795</w:t>
            </w: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1,302,506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1,302,506</w:t>
            </w:r>
          </w:p>
        </w:tc>
      </w:tr>
      <w:tr>
        <w:trPr>
          <w:trHeight w:val="237"/>
        </w:trPr>
        <w:tc>
          <w:tcPr>
            <w:tcW w:w="85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1,903,231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1,903,231</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90" w:lineRule="exact"/>
        <w:rPr>
          <w:sz w:val="20"/>
          <w:szCs w:val="20"/>
          <w:color w:val="auto"/>
        </w:rPr>
      </w:pPr>
    </w:p>
    <w:p>
      <w:pPr>
        <w:ind w:left="340" w:right="260" w:hanging="332"/>
        <w:spacing w:after="0" w:line="234"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March 31, 2021.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March 31, 2021.</w:t>
      </w:r>
    </w:p>
    <w:p>
      <w:pPr>
        <w:spacing w:after="0" w:line="94" w:lineRule="exact"/>
        <w:rPr>
          <w:rFonts w:ascii="Arial" w:cs="Arial" w:eastAsia="Arial" w:hAnsi="Arial"/>
          <w:sz w:val="23"/>
          <w:szCs w:val="23"/>
          <w:color w:val="auto"/>
          <w:vertAlign w:val="superscript"/>
        </w:rPr>
      </w:pPr>
    </w:p>
    <w:p>
      <w:pPr>
        <w:ind w:left="340" w:hanging="332"/>
        <w:spacing w:after="0" w:line="234"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March 31, 2021. The facility provides short-term financing between the origination of a mortgage loan and when Opendoor Home Loans sells the loan to an investor. Included estimated interest payments, calculated using the variable rate in existence at period end over the Company’s average holding period for mortgage loans.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As of March 31, 2021, we were under contract to purchase 4,027 homes for an aggregate purchase price of $1,302.5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critical accounting policies and estimates are discussed in “</w:t>
      </w:r>
      <w:r>
        <w:rPr>
          <w:rFonts w:ascii="Arial" w:cs="Arial" w:eastAsia="Arial" w:hAnsi="Arial"/>
          <w:sz w:val="17"/>
          <w:szCs w:val="17"/>
          <w:i w:val="1"/>
          <w:iCs w:val="1"/>
          <w:color w:val="auto"/>
        </w:rPr>
        <w:t>Part II – Item 7.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 – Critical Accounting Policies and Estimates</w:t>
      </w:r>
      <w:r>
        <w:rPr>
          <w:rFonts w:ascii="Arial" w:cs="Arial" w:eastAsia="Arial" w:hAnsi="Arial"/>
          <w:sz w:val="17"/>
          <w:szCs w:val="17"/>
          <w:color w:val="auto"/>
        </w:rPr>
        <w:t>” in the Annual Report. There have been no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these critical accounting estimates during the first three months of 2021, except as noted below. In addition, we have other key accounting policies and estimates that are described in “</w:t>
      </w:r>
      <w:r>
        <w:rPr>
          <w:rFonts w:ascii="Arial" w:cs="Arial" w:eastAsia="Arial" w:hAnsi="Arial"/>
          <w:sz w:val="17"/>
          <w:szCs w:val="17"/>
          <w:i w:val="1"/>
          <w:iCs w:val="1"/>
          <w:color w:val="auto"/>
        </w:rPr>
        <w:t>Part I – Item 1. Financial Statements –Notes to Condensed Consolidated Financial Statements – Note 1.</w:t>
      </w:r>
      <w:r>
        <w:rPr>
          <w:rFonts w:ascii="Arial" w:cs="Arial" w:eastAsia="Arial" w:hAnsi="Arial"/>
          <w:sz w:val="17"/>
          <w:szCs w:val="17"/>
          <w:color w:val="auto"/>
        </w:rPr>
        <w:t xml:space="preserve"> </w:t>
      </w:r>
      <w:r>
        <w:rPr>
          <w:rFonts w:ascii="Arial" w:cs="Arial" w:eastAsia="Arial" w:hAnsi="Arial"/>
          <w:sz w:val="17"/>
          <w:szCs w:val="17"/>
          <w:i w:val="1"/>
          <w:iCs w:val="1"/>
          <w:color w:val="auto"/>
        </w:rPr>
        <w:t>Description of Business and Accounting Policies</w:t>
      </w:r>
      <w:r>
        <w:rPr>
          <w:rFonts w:ascii="Arial" w:cs="Arial" w:eastAsia="Arial" w:hAnsi="Arial"/>
          <w:sz w:val="17"/>
          <w:szCs w:val="17"/>
          <w:color w:val="auto"/>
        </w:rPr>
        <w:t>” in this Quarterly Report on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and Sponsor Warrants</w:t>
      </w:r>
    </w:p>
    <w:p>
      <w:pPr>
        <w:spacing w:after="0" w:line="225"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On April 30, 2020, SCH consummated its initial public offering of 41,400,000 units, consisting of one share of Class A common stock and one third of one warrant exercisable for Class A common stock, at a price of $10.00 per unit. Each whole warrant entitles the holder to purchase one share of Class A common stock at an exercise price of $11.50 per share (the “Public Warrants”). Simultaneously with the closing of the IPO, SCH completed the private placement of 6,133,333 warrants to SCH’s sponsor at a price of $1.50 per warrant (the “Sponsor Warrants”). Each Sponsor Warrant allows the sponsor to purchase one share of Class A common stock at $11.50 per share. As of December 31, 2020, there were 19,933,333 warrants outstanding.</w:t>
      </w:r>
    </w:p>
    <w:p>
      <w:pPr>
        <w:spacing w:after="0" w:line="16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Sponsor Warrants and shares of common stock issuable upon the exercise of Sponsor Warrants may not be transferred, assigned, or sold until 30 days after the completion of a Business Combination. Additionally, the Sponsor Warrants are eligible for cash and cashless exercises, at the holder’s option, and are redeemable only if the Reference Value, as defined in the Warrant Agreement, is less than $18.00 per share. If the Sponsor Warrants are held by someone other than the sponsors and certain permitted transferees, the Sponsor Warrants will redeemable and exercisable on the same basis as the Public Warrants.</w:t>
      </w:r>
    </w:p>
    <w:p>
      <w:pPr>
        <w:spacing w:after="0" w:line="18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We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do not meet the criteria to be classified in shareholders’ equity. Specifically the exercise and settlement features for the Sponsor Warrants preclude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a change in the holder for the Sponsor Warrants impacting their value means the Sponsor Warrants are not indexed to the Company’s own stock. Since the Private Warrants meet the definition of a derivative under ASC 815, we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do not have the same exercise and settlement features as the Sponsor Warrants, meet the criteria to be classified in shareholders' equity.</w:t>
      </w:r>
    </w:p>
    <w:p>
      <w:pPr>
        <w:spacing w:after="0" w:line="16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Public Warrants are publicly traded and thus had an observable market price</w:t>
      </w:r>
      <w:r>
        <w:rPr>
          <w:rFonts w:ascii="Arial" w:cs="Arial" w:eastAsia="Arial" w:hAnsi="Arial"/>
          <w:sz w:val="17"/>
          <w:szCs w:val="17"/>
          <w:i w:val="1"/>
          <w:iCs w:val="1"/>
          <w:color w:val="auto"/>
        </w:rPr>
        <w:t>.</w:t>
      </w:r>
      <w:r>
        <w:rPr>
          <w:rFonts w:ascii="Arial" w:cs="Arial" w:eastAsia="Arial" w:hAnsi="Arial"/>
          <w:sz w:val="17"/>
          <w:szCs w:val="17"/>
          <w:color w:val="auto"/>
        </w:rPr>
        <w:t xml:space="preserve"> The Sponsor Warrants are held by a single entity whereby distributions of the Sponsor Warrants to individual owners is subject to certain barriers. As the Sponsor Warrants are held by a single market participant and the transfer of the Sponsor Warrants outside of a small group of permitted transferees would result in the Sponsor Warrants having substantially the same terms as the Public Warrants, management determined that the fair value of each Sponsor Warrant is the same as that of a Public Warrant, with an insignificant adjustment for short-term marketability restrictions. While the changes in the fair value of the Sponsor Warrants may be material to our future operating results, there is no significant judgment involved in measuring the fair value of the Sponsor Warrants.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information on recent accounting standards, see “</w:t>
      </w:r>
      <w:r>
        <w:rPr>
          <w:rFonts w:ascii="Arial" w:cs="Arial" w:eastAsia="Arial" w:hAnsi="Arial"/>
          <w:sz w:val="18"/>
          <w:szCs w:val="18"/>
          <w:i w:val="1"/>
          <w:iCs w:val="1"/>
          <w:color w:val="auto"/>
        </w:rPr>
        <w:t>Part I – Item 1. Financial Statements – Notes to Condensed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Note 1. Description of Business and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exposed to market risks in the ordinary course of our business. These risks primarily consist of fluctuations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We are subject to market risk by way of changes in interest rates on borrowings under our inventory financing facilities and mortgage financing repurchase agreement. As of March 31, 2021 and December 31, 2020 we had outstanding borrowings of $596.6 million and $346.3 million, respectively, which bear interest at a floating rate based on a London Interbank Offered Rate (“LIBOR”) reference rate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LIBOR floors. Assuming no change in the outstanding borrowings on our credit facilities, we estimate that a one percentage point increase in LIBOR would increase our annual interest expense by approximately $4.0 million and $4.4 million as of March 31, 2021 and December 31, 2020, respectively.</w:t>
      </w:r>
    </w:p>
    <w:p>
      <w:pPr>
        <w:spacing w:after="0" w:line="192"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In July 2017 the U.K. Financial Conduct Authority announced its intention to phase out LIBOR rates by the end of 2021. It is not possible to predict the effect of any changes in the methods by which the LIBOR is determined, or any other reforms to LIBOR that may be enacted in the United States or elsewhere. Such developments may cause LIBOR to perform differently than in the past, including sudden or prolonged increases or decreases in LIBOR, or cease to exist, resulting in the application of a successor base rate under our senior revolving credit facilities, which in turn could have unpredictable effects on our interest payment obligations under our senior revolving credit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that evaluation, our Chief Executive Officer and Chief Financial Officer concluded that as of March 31, 2021, due to the material weaknesses described below, our disclosure controls and procedures were not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Management identified the following control deficiencies that constituted a material weakness in our internal control over financial reporting for the year ended December 31, 2020 related to our general information technology controls, including the design and implementation of access and change management controls. Additionally, key components of the Internal Control Integrated Framework issued by the Committee of Sponsoring Organizations of the Treadway Commission (“COSO”) have not been fully implemented, including control and monitoring activities related to: (1) electing and developing general controls activities over technology to support the achievement of objectives; and (2) electing, developing, and performing ongoing and/or separate evaluations to ascertain whether the components of internal control are present and functioning.</w:t>
      </w: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material weakness identified in our internal control over financial reporting primarily related to insufficient Information Technology (“IT”) general controls over our accounting and proprietary systems used in our financial reporting process. Specifically, our systems lacked controls over access and program change management that are needed to ensure access to financial data is adequately restricted to appropriate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229"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Management has been actively engaged in remediating the above described material weakness since the fourth quarter of 2020. The following remedial actions were completed during the quarter ended March 31, 2021:</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hired a Chief Information Security Officer to help implement policy and processes with respect to the information technology environment;</w:t>
      </w:r>
    </w:p>
    <w:p>
      <w:pPr>
        <w:spacing w:after="0" w:line="34" w:lineRule="exact"/>
        <w:rPr>
          <w:rFonts w:ascii="Arial" w:cs="Arial" w:eastAsia="Arial" w:hAnsi="Arial"/>
          <w:sz w:val="17"/>
          <w:szCs w:val="17"/>
          <w:color w:val="auto"/>
        </w:rPr>
      </w:pPr>
    </w:p>
    <w:p>
      <w:pPr>
        <w:ind w:left="660" w:right="4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conducted a comprehensive risk assessment that identifies the risks of material misstatement whether due to error or fraud in the consolidated financial statements;</w:t>
      </w:r>
    </w:p>
    <w:p>
      <w:pPr>
        <w:spacing w:after="0" w:line="26" w:lineRule="exact"/>
        <w:rPr>
          <w:rFonts w:ascii="Arial" w:cs="Arial" w:eastAsia="Arial" w:hAnsi="Arial"/>
          <w:sz w:val="18"/>
          <w:szCs w:val="18"/>
          <w:color w:val="auto"/>
        </w:rPr>
      </w:pPr>
    </w:p>
    <w:p>
      <w:pPr>
        <w:ind w:left="660" w:right="86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implemented software in our enterprise resource planning system to detect and remediate segregation of duties conflicts and assist with documentation of access and change management controls;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strengthened our internal policies, processes and reviews, including drafting of related documentation thereof; and</w:t>
      </w:r>
    </w:p>
    <w:p>
      <w:pPr>
        <w:spacing w:after="0" w:line="1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implemented a ticketing process to support IT general controls for multiple systems</w:t>
      </w:r>
    </w:p>
    <w:p>
      <w:pPr>
        <w:spacing w:after="0" w:line="20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remedial actions, which management commenced in conjunction with the implementation of its Sarbanes-Oxley Compliance program in 2021, are in process as of March 31, 2021:</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document processes and controls, and evaluate the effectiveness of our controls to mitigate the identified risks of material misstatement;</w:t>
      </w:r>
    </w:p>
    <w:p>
      <w:pPr>
        <w:spacing w:after="0" w:line="61" w:lineRule="exact"/>
        <w:rPr>
          <w:rFonts w:ascii="Arial" w:cs="Arial" w:eastAsia="Arial" w:hAnsi="Arial"/>
          <w:sz w:val="17"/>
          <w:szCs w:val="17"/>
          <w:color w:val="auto"/>
        </w:rPr>
      </w:pPr>
    </w:p>
    <w:p>
      <w:pPr>
        <w:ind w:left="660" w:right="2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remediate any control gaps identified by implementing new controls or redesigning existing controls, including entity level, process level and IT general controls; and</w:t>
      </w:r>
    </w:p>
    <w:p>
      <w:pPr>
        <w:spacing w:after="0" w:line="1" w:lineRule="exact"/>
        <w:rPr>
          <w:rFonts w:ascii="Arial" w:cs="Arial" w:eastAsia="Arial" w:hAnsi="Arial"/>
          <w:sz w:val="22"/>
          <w:szCs w:val="22"/>
          <w:color w:val="auto"/>
        </w:rPr>
      </w:pPr>
    </w:p>
    <w:p>
      <w:pPr>
        <w:ind w:left="660" w:right="58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 a segregation of duties analysis, segregate conflicting roles and remove unnecessary user access to financial reporting systems and applications relevant to the preparation of our financial statements.</w:t>
      </w:r>
    </w:p>
    <w:p>
      <w:pPr>
        <w:spacing w:after="0" w:line="18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as a result of the correction of prior period amounts as described in “</w:t>
      </w:r>
      <w:r>
        <w:rPr>
          <w:rFonts w:ascii="Arial" w:cs="Arial" w:eastAsia="Arial" w:hAnsi="Arial"/>
          <w:sz w:val="16"/>
          <w:szCs w:val="16"/>
          <w:i w:val="1"/>
          <w:iCs w:val="1"/>
          <w:color w:val="auto"/>
        </w:rPr>
        <w:t>Part I – Item 1. Financial Statements –Notes to 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Statements – Note 1. Description of Business and Accounting Policies</w:t>
      </w:r>
      <w:r>
        <w:rPr>
          <w:rFonts w:ascii="Arial" w:cs="Arial" w:eastAsia="Arial" w:hAnsi="Arial"/>
          <w:sz w:val="16"/>
          <w:szCs w:val="16"/>
          <w:color w:val="auto"/>
        </w:rPr>
        <w:t>” management has concluded that the Company had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material weakness as of December 31, 2020 related to the accounting and classification of significant and unusual transactions. The significant &amp; unusual transaction review performed to evaluate the accounting for the Business Combination was incomplete in that a thorough analysis of the Warrants was not performed under Accounting Standards Codification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Specifically, while the equity classification of warrants with provisions similar to those of the Sponsor Warrants was historically broadly accepted industry practice, our management did not sufficiently analyze the propriety of this classification and did not identify the error in this accounting practice until the SEC’s issuance of the Staff Statement on April 12, 2021. This material weakness resulted in the correction of our consolidated financial statements as of and for the year ended December 31, 2020. This deficiency is a result of our previously smaller accounting team as a private company coupled with insufficient controls to ensure the completeness of all material components of each significant and unusual transaction evaluated. To remediate this material weakness we:</w:t>
      </w:r>
    </w:p>
    <w:p>
      <w:pPr>
        <w:spacing w:after="0" w:line="168" w:lineRule="exact"/>
        <w:rPr>
          <w:sz w:val="20"/>
          <w:szCs w:val="20"/>
          <w:color w:val="auto"/>
        </w:rPr>
      </w:pPr>
    </w:p>
    <w:p>
      <w:pPr>
        <w:ind w:left="660" w:right="200" w:hanging="328"/>
        <w:spacing w:after="0" w:line="258"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hired additional personnel subsequent to the Business Combination and are continuing to expand our team in order to have sufficient capacity to thoroughly evaluate all material components of each significant and unusual transaction; and</w:t>
      </w:r>
    </w:p>
    <w:p>
      <w:pPr>
        <w:spacing w:after="0" w:line="1" w:lineRule="exact"/>
        <w:rPr>
          <w:rFonts w:ascii="Arial" w:cs="Arial" w:eastAsia="Arial" w:hAnsi="Arial"/>
          <w:sz w:val="18"/>
          <w:szCs w:val="18"/>
          <w:b w:val="1"/>
          <w:bCs w:val="1"/>
          <w:color w:val="auto"/>
        </w:rPr>
      </w:pPr>
    </w:p>
    <w:p>
      <w:pPr>
        <w:ind w:left="660" w:right="100" w:hanging="328"/>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revisited our controls over accounting for significant and unusual transactions in conjunction with the implementation of the Company's Sarbanes Oxley Compliance program in 2021. The Company will enhance these controls with a focus on ensuring the analysis is complete and includes each of the material components of the transaction.</w:t>
      </w:r>
    </w:p>
    <w:p>
      <w:pPr>
        <w:spacing w:after="0" w:line="190"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may take additional actions to address control deficiencies or modify certain of the remediation measures described above. Our management and board of directors will continue to work with our auditors and other outside advisors to ensure that our controls and procedures are adequate and effective.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While significant progress has been made to enhance our internal control over financial reporting, we are still in the process of implementing, documenting and testing these processes, procedures and controls. Additional time is required to complete implementation and to assess and ensure the sustainability of these procedures. We believe the above actions will be effective in remediating the material weaknesses described above and we will continue to devote significant time and attention to these remedial efforts. However, the material weaknesses cannot be considered remediated until the applicable remedial controls operate for a sufficient period of time and management has concluded, through testing, that these controls are operating effectively.</w:t>
      </w:r>
    </w:p>
    <w:p>
      <w:pPr>
        <w:spacing w:after="0" w:line="192"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Notwithstanding the material weaknesses, management has concluded that the financial statements included elsewhere in this Quarterly Report present fairly, in all material respects, our financial position, results of operations and cash flows in conformity with GAAP.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Other than as described above, there have been no material changes in our internal control over financial reporting in connection with the evaluation required by Rules 13a-15(d) and 15d-15(d) of the Exchange Act that occurred during the quarter ended March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 w:right="49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August 2019, the Federal Trade Commission (“FTC”) sent a civil investigative demand to Opendoor Labs Inc., our wholly-owned subsidiary, seeking documents and information relating primarily to statements in our advertising and website comparing selling homes to us with selling homes in a traditional manner using an agent and relating to statements that our offers reflect or are based on market prices. Thereafter, we responded cooperatively to the civil investigative demand and related follow-up requests from the FTC. On December 23, 2020, the FTC notified us that they intend to recommend that the agency pursue an enforcement action against us and certain of our officers, if we are unable to reach a negotiated settlement acceptable to all parties. The FTC has indicated that they believe certain of our advertising claims relating to the amount of our offers, the repair costs charged to home sellers, and the amount of net proceeds a seller may receive from selling to us versus selling in the traditional manner were inaccurate and/or inadequately substantiated. We are engaged in settlement negotiations with the FTC. There can be no assurances that we will be successful in negotiating a favorable settlement.</w:t>
      </w:r>
    </w:p>
    <w:p>
      <w:pPr>
        <w:spacing w:after="0" w:line="196"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In the course of conducting our business operations, we are exposed to a variety of risks. These risks are generally inherent to the U.S. residential real estate industry or otherwise generally impact iBuyers like us. Any of the risk factors we described in "Part I – Item 1A. Risk Factors," in our Annual Report or described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below, there have been no material changes to the Company's risk factors since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18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previously disclosed, we identified a material weakness related to our general information technology controls, including the design and implementation of access and change management controls. Additionally, key components of the Committee of Sponsoring Organizations of the Treadway Commission (“COSO”) framework have not been fully implemented, including control and monitoring activities relating to: (1) electing and developing general control activities over technology to support the achievement of objectives; and (2) electing, developing, and performing ongoing and/or separate evaluations to ascertain whether the components of internal control are present and functioning. We recently identified a further material weakness related to the accounting and classification of significant and unusual transactions, which led to the correction of prior period amounts described in “Part I – Item 1. Financial Statements –Notes to Condensed Consolidated Financial Statements – Note 1. Description of Business and Accounting Policies.”</w:t>
      </w:r>
    </w:p>
    <w:p>
      <w:pPr>
        <w:spacing w:after="0" w:line="18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have engaged a third-party consultant, are in the process of designing and implementing measures to improve our internal control over financial reporting and have begun expanding our accounting, legal and IT security teams to remediate these material weaknesses. While we are designing and implementing measures to remediate the material weaknesses, we cannot predict the success of such measures or the outcome of our assessment of these measures at this time. We can give no assurance that these measures will remediate the deficiencies in internal control or that additional material weaknesses or</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significant deficiencies in our internal control over financial reporting will not be identified in the future. Our failure to implement and maintain effective internal control over financial reporting could result in errors in our financial statements that may lead to a restatement of our financial statements or cause us to fail to meet our reporting obligations.</w:t>
      </w:r>
    </w:p>
    <w:p>
      <w:pPr>
        <w:spacing w:after="0" w:line="18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As a public company, beginning with our second annual report on Form 10-K, we will be required, pursuant to Section 404 of the Sarbanes-Oxley Act, to furnish a report by management on, among other things, the effectiveness of our internal control over financial reporting for future annual reports on Form 10-K to be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on Form 10-K to be filed with the SEC. We will be required to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 We have begun the process of compiling the system and processing documentation necessary to perform the evaluation needed to comply with Section 404 in the future, but we may not be able to complete our evaluation, testing and any required remediation in a timely fashion.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April 30, 2020, SCH consummated its initial public offering of 41,400,000 units, inclusive of 5,400,000 units sold to the underwriters upon the election to fully exercise their over-allotment option, at a price of $10.00 per unit, generating total gross proceeds of $414.0 million. Each unit consisted of one Class A ordinary share of SCH, par value $0.0001 per share, and one-third of one redeemable warrant of SCH. Each whole warrant entitled the holder thereof to purchase one Class A ordinary share for $11.50 per share, subject to adjustment.</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Simultaneously with the consummation of the initial public offering and the exercise of the over-allotment option in full, SCH consummated a private placement of 6,133,333 private placement warrants to its sponsor, SCH Sponsor II LLC, at a price of $1.50 per private placement warrant, generating total additional proceeds of $9.2 million. Such securities were issued pursuant to the exemption from registration contained in Section 4(a)(2) of the Securities Act.</w:t>
      </w:r>
    </w:p>
    <w:p>
      <w:pPr>
        <w:spacing w:after="0" w:line="18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SCH incurred $22.2 million in transaction costs, including $7.2 million of underwriting fees, $14.5 million of deferred underwriting fees and $0.5 million of other costs. Following the initial public offering, the exercise of the over-allotment option in full and the sale of the private placement warrants, a total of $414.0 million was placed in a trust account. After deducting payments to existing shareholders of $0.1 million in connection with their exercise of redemption rights, the payment of the $14.5 million of deferred underwriting fees and a total of $22.9 million in expenses in connection with the Business Combination paid from the trust account, the remainder of the trust account is now held on our balance sheet to fund our operations and continued growth.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May 6, 2021, the Company’s Board of Directors approved a modification to the Company’s management structure following a reassessment of functions due to the addition of Andrew Low Ah Kee in 2020 and Daniel Morillo in early 2021 to the Company's management team. As a result of such modification, Ian Wong, the Company’s co-founder and Chief Technology Officer, and Tom Willerer, the Company’s Chief Product Officer, will no longer be functioning or designated as 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19"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29"/>
          <w:szCs w:val="29"/>
          <w:b w:val="1"/>
          <w:bCs w:val="1"/>
          <w:color w:val="auto"/>
          <w:vertAlign w:val="subscript"/>
        </w:rPr>
        <w:t>Filed</w:t>
      </w:r>
    </w:p>
    <w:p>
      <w:pPr>
        <w:spacing w:after="0" w:line="37" w:lineRule="exact"/>
        <w:rPr>
          <w:sz w:val="20"/>
          <w:szCs w:val="20"/>
          <w:color w:val="auto"/>
        </w:rPr>
      </w:pPr>
    </w:p>
    <w:p>
      <w:pPr>
        <w:ind w:left="20"/>
        <w:spacing w:after="0"/>
        <w:tabs>
          <w:tab w:leader="none" w:pos="1380" w:val="left"/>
          <w:tab w:leader="none" w:pos="6520" w:val="left"/>
          <w:tab w:leader="none" w:pos="7300" w:val="left"/>
          <w:tab w:leader="none" w:pos="8560" w:val="left"/>
          <w:tab w:leader="none" w:pos="9220" w:val="left"/>
          <w:tab w:leader="none" w:pos="104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tab/>
        <w:t>Filing Date</w:t>
      </w:r>
      <w:r>
        <w:rPr>
          <w:sz w:val="20"/>
          <w:szCs w:val="20"/>
          <w:color w:val="auto"/>
        </w:rPr>
        <w:tab/>
      </w: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sectPr>
      </w:pPr>
    </w:p>
    <w:p>
      <w:pPr>
        <w:spacing w:after="0" w:line="6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3.1</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3.2</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right="100"/>
        <w:spacing w:after="0" w:line="295"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Agreement and Plan of Merger, dated as of September 15, 2020, by</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and among Social Capital Hedosophia Corp. II, Hestia Merger Sub</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Inc. and Opendoor Labs Inc.</w:t>
        </w:r>
      </w:hyperlink>
    </w:p>
    <w:p>
      <w:pPr>
        <w:spacing w:after="0" w:line="8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Certificate of Incorporation of Opendoor Technologies Inc.</w:t>
        </w:r>
      </w:hyperlink>
    </w:p>
    <w:p>
      <w:pPr>
        <w:spacing w:after="0" w:line="17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Bylaws of Opendoor Technologies Inc.</w:t>
        </w:r>
      </w:hyperlink>
    </w:p>
    <w:p>
      <w:pPr>
        <w:spacing w:after="0" w:line="171"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Specimen Common Stock Certificate of Opendoor Technologies Inc.</w:t>
        </w:r>
      </w:hyperlink>
    </w:p>
    <w:p>
      <w:pPr>
        <w:spacing w:after="0" w:line="194" w:lineRule="exact"/>
        <w:rPr>
          <w:rFonts w:ascii="Arial" w:cs="Arial" w:eastAsia="Arial" w:hAnsi="Arial"/>
          <w:sz w:val="18"/>
          <w:szCs w:val="18"/>
          <w:u w:val="single" w:color="auto"/>
          <w:color w:val="0000FF"/>
        </w:rPr>
      </w:pPr>
    </w:p>
    <w:p>
      <w:pPr>
        <w:jc w:val="both"/>
        <w:ind w:right="200"/>
        <w:spacing w:after="0" w:line="295"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Warrant Agreement, dated April 27, 2020, between Social Capital</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Hedosophia Holdings Corp. II. and Continental Stock Transfer &amp;</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Trust Company, as warrant agent</w:t>
        </w:r>
      </w:hyperlink>
    </w:p>
    <w:p>
      <w:pPr>
        <w:spacing w:after="0" w:line="33" w:lineRule="exact"/>
        <w:rPr>
          <w:rFonts w:ascii="Arial" w:cs="Arial" w:eastAsia="Arial" w:hAnsi="Arial"/>
          <w:sz w:val="18"/>
          <w:szCs w:val="18"/>
          <w:u w:val="single" w:color="auto"/>
          <w:color w:val="0000FF"/>
        </w:rPr>
      </w:pPr>
    </w:p>
    <w:p>
      <w:pPr>
        <w:ind w:right="60"/>
        <w:spacing w:after="0" w:line="263" w:lineRule="auto"/>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Amendment to Warrant Agreement, dated March 22, 2021, between</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Opendoor Technologies Inc. and American Stock Transfer &amp; Trust</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Company, LLC, as warrant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1"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040" w:type="dxa"/>
            <w:vAlign w:val="bottom"/>
          </w:tcPr>
          <w:p>
            <w:pPr>
              <w:jc w:val="right"/>
              <w:spacing w:after="0"/>
              <w:rPr>
                <w:sz w:val="20"/>
                <w:szCs w:val="20"/>
                <w:color w:val="auto"/>
              </w:rPr>
            </w:pPr>
            <w:r>
              <w:rPr>
                <w:rFonts w:ascii="Arial" w:cs="Arial" w:eastAsia="Arial" w:hAnsi="Arial"/>
                <w:sz w:val="18"/>
                <w:szCs w:val="18"/>
                <w:color w:val="auto"/>
              </w:rPr>
              <w:t>09/17/2020</w:t>
            </w:r>
          </w:p>
        </w:tc>
      </w:tr>
      <w:tr>
        <w:trPr>
          <w:trHeight w:val="837"/>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40" w:type="dxa"/>
            <w:vAlign w:val="bottom"/>
          </w:tcPr>
          <w:p>
            <w:pPr>
              <w:jc w:val="right"/>
              <w:spacing w:after="0"/>
              <w:rPr>
                <w:sz w:val="20"/>
                <w:szCs w:val="20"/>
                <w:color w:val="auto"/>
              </w:rPr>
            </w:pPr>
            <w:r>
              <w:rPr>
                <w:rFonts w:ascii="Arial" w:cs="Arial" w:eastAsia="Arial" w:hAnsi="Arial"/>
                <w:sz w:val="18"/>
                <w:szCs w:val="18"/>
                <w:color w:val="auto"/>
              </w:rPr>
              <w:t>12/18/2020</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240" w:type="dxa"/>
            <w:vAlign w:val="bottom"/>
          </w:tcPr>
          <w:p>
            <w:pPr>
              <w:ind w:left="180"/>
              <w:spacing w:after="0"/>
              <w:rPr>
                <w:sz w:val="20"/>
                <w:szCs w:val="20"/>
                <w:color w:val="auto"/>
              </w:rPr>
            </w:pPr>
            <w:r>
              <w:rPr>
                <w:rFonts w:ascii="Arial" w:cs="Arial" w:eastAsia="Arial" w:hAnsi="Arial"/>
                <w:sz w:val="18"/>
                <w:szCs w:val="18"/>
                <w:color w:val="auto"/>
              </w:rPr>
              <w:t>333-251529</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040" w:type="dxa"/>
            <w:vAlign w:val="bottom"/>
          </w:tcPr>
          <w:p>
            <w:pPr>
              <w:jc w:val="right"/>
              <w:spacing w:after="0"/>
              <w:rPr>
                <w:sz w:val="20"/>
                <w:szCs w:val="20"/>
                <w:color w:val="auto"/>
              </w:rPr>
            </w:pPr>
            <w:r>
              <w:rPr>
                <w:rFonts w:ascii="Arial" w:cs="Arial" w:eastAsia="Arial" w:hAnsi="Arial"/>
                <w:sz w:val="18"/>
                <w:szCs w:val="18"/>
                <w:color w:val="auto"/>
              </w:rPr>
              <w:t>01/15/2021</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S-4/A</w:t>
            </w:r>
          </w:p>
        </w:tc>
        <w:tc>
          <w:tcPr>
            <w:tcW w:w="1240" w:type="dxa"/>
            <w:vAlign w:val="bottom"/>
          </w:tcPr>
          <w:p>
            <w:pPr>
              <w:ind w:left="180"/>
              <w:spacing w:after="0"/>
              <w:rPr>
                <w:sz w:val="20"/>
                <w:szCs w:val="20"/>
                <w:color w:val="auto"/>
              </w:rPr>
            </w:pPr>
            <w:r>
              <w:rPr>
                <w:rFonts w:ascii="Arial" w:cs="Arial" w:eastAsia="Arial" w:hAnsi="Arial"/>
                <w:sz w:val="18"/>
                <w:szCs w:val="18"/>
                <w:color w:val="auto"/>
              </w:rPr>
              <w:t>333-249302</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40" w:type="dxa"/>
            <w:vAlign w:val="bottom"/>
          </w:tcPr>
          <w:p>
            <w:pPr>
              <w:jc w:val="right"/>
              <w:spacing w:after="0"/>
              <w:rPr>
                <w:sz w:val="20"/>
                <w:szCs w:val="20"/>
                <w:color w:val="auto"/>
              </w:rPr>
            </w:pPr>
            <w:r>
              <w:rPr>
                <w:rFonts w:ascii="Arial" w:cs="Arial" w:eastAsia="Arial" w:hAnsi="Arial"/>
                <w:sz w:val="18"/>
                <w:szCs w:val="18"/>
                <w:color w:val="auto"/>
              </w:rPr>
              <w:t>11/06/2020</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40" w:type="dxa"/>
            <w:vAlign w:val="bottom"/>
          </w:tcPr>
          <w:p>
            <w:pPr>
              <w:jc w:val="right"/>
              <w:spacing w:after="0"/>
              <w:rPr>
                <w:sz w:val="20"/>
                <w:szCs w:val="20"/>
                <w:color w:val="auto"/>
              </w:rPr>
            </w:pPr>
            <w:r>
              <w:rPr>
                <w:rFonts w:ascii="Arial" w:cs="Arial" w:eastAsia="Arial" w:hAnsi="Arial"/>
                <w:sz w:val="18"/>
                <w:szCs w:val="18"/>
                <w:color w:val="auto"/>
              </w:rPr>
              <w:t>04/30/2020</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4" w:lineRule="exact"/>
        <w:rPr>
          <w:rFonts w:ascii="Arial" w:cs="Arial" w:eastAsia="Arial" w:hAnsi="Arial"/>
          <w:sz w:val="18"/>
          <w:szCs w:val="18"/>
          <w:u w:val="single" w:color="auto"/>
          <w:color w:val="0000FF"/>
        </w:rPr>
      </w:pPr>
    </w:p>
    <w:p>
      <w:pPr>
        <w:jc w:val="right"/>
        <w:ind w:right="140"/>
        <w:spacing w:after="0"/>
        <w:rPr>
          <w:sz w:val="20"/>
          <w:szCs w:val="20"/>
          <w:color w:val="auto"/>
        </w:rPr>
      </w:pPr>
      <w:r>
        <w:rPr>
          <w:rFonts w:ascii="Arial" w:cs="Arial" w:eastAsia="Arial" w:hAnsi="Arial"/>
          <w:sz w:val="18"/>
          <w:szCs w:val="18"/>
          <w:color w:val="auto"/>
        </w:rPr>
        <w:t>*</w:t>
      </w:r>
    </w:p>
    <w:p>
      <w:pPr>
        <w:spacing w:after="0" w:line="477" w:lineRule="exact"/>
        <w:rPr>
          <w:rFonts w:ascii="Arial" w:cs="Arial" w:eastAsia="Arial" w:hAnsi="Arial"/>
          <w:sz w:val="18"/>
          <w:szCs w:val="18"/>
          <w:u w:val="single" w:color="auto"/>
          <w:color w:val="0000FF"/>
        </w:rPr>
      </w:pPr>
    </w:p>
    <w:p>
      <w:pPr>
        <w:sectPr>
          <w:pgSz w:w="11900" w:h="16838" w:orient="portrait"/>
          <w:cols w:equalWidth="0" w:num="3">
            <w:col w:w="960" w:space="440"/>
            <w:col w:w="4960" w:space="180"/>
            <w:col w:w="4460"/>
          </w:cols>
          <w:pgMar w:left="320" w:top="139" w:right="579" w:bottom="1440" w:gutter="0" w:footer="0" w:header="0"/>
          <w:type w:val="continuous"/>
        </w:sectPr>
      </w:pPr>
    </w:p>
    <w:tbl>
      <w:tblPr>
        <w:tblLayout w:type="fixed"/>
        <w:tblInd w:w="280" w:type="dxa"/>
        <w:tblCellMar>
          <w:top w:w="0" w:type="dxa"/>
          <w:left w:w="0" w:type="dxa"/>
          <w:bottom w:w="0" w:type="dxa"/>
          <w:right w:w="0" w:type="dxa"/>
        </w:tblCellMar>
      </w:tblPr>
      <w:tr>
        <w:trPr>
          <w:trHeight w:val="207"/>
        </w:trPr>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5660" w:type="dxa"/>
            <w:vAlign w:val="bottom"/>
            <w:gridSpan w:val="8"/>
          </w:tcPr>
          <w:p>
            <w:pPr>
              <w:spacing w:after="0"/>
              <w:rPr>
                <w:rFonts w:ascii="Arial" w:cs="Arial" w:eastAsia="Arial" w:hAnsi="Arial"/>
                <w:sz w:val="18"/>
                <w:szCs w:val="18"/>
                <w:color w:val="0000FF"/>
                <w:w w:val="96"/>
              </w:rPr>
            </w:pPr>
            <w:hyperlink r:id="rId100">
              <w:r>
                <w:rPr>
                  <w:rFonts w:ascii="Arial" w:cs="Arial" w:eastAsia="Arial" w:hAnsi="Arial"/>
                  <w:sz w:val="18"/>
                  <w:szCs w:val="18"/>
                  <w:color w:val="0000FF"/>
                  <w:w w:val="96"/>
                </w:rPr>
                <w:t xml:space="preserve">Form of Restricted Stock Unit Grant Notice and Restricted Stock Unit </w:t>
              </w:r>
            </w:hyperlink>
            <w:r>
              <w:rPr>
                <w:rFonts w:ascii="Arial" w:cs="Arial" w:eastAsia="Arial" w:hAnsi="Arial"/>
                <w:sz w:val="18"/>
                <w:szCs w:val="18"/>
                <w:color w:val="000000"/>
                <w:w w:val="96"/>
              </w:rPr>
              <w:t>8-K</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001-39253</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04/02/2021</w:t>
            </w: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Agreement Under 2020 Incentive Award Plan</w:t>
              </w:r>
            </w:hyperlink>
          </w:p>
        </w:tc>
        <w:tc>
          <w:tcPr>
            <w:tcW w:w="1760" w:type="dxa"/>
            <w:vAlign w:val="bottom"/>
            <w:tcBorders>
              <w:top w:val="single" w:sz="8" w:color="0000FF"/>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04"/>
        </w:trPr>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510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Certification of Chief Executive Officer Pursuant to Section 302 of the</w:t>
              </w:r>
            </w:hyperlink>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Sarbanes-Oxley Act of 2002</w:t>
              </w:r>
            </w:hyperlink>
          </w:p>
        </w:tc>
        <w:tc>
          <w:tcPr>
            <w:tcW w:w="360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1"/>
        </w:trPr>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5660" w:type="dxa"/>
            <w:vAlign w:val="bottom"/>
            <w:gridSpan w:val="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 of Chief Financial Officer Pursuant to Section 302 of the</w:t>
              </w:r>
            </w:hyperlink>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Sarbanes-Oxley Act of 2002</w:t>
              </w:r>
            </w:hyperlink>
          </w:p>
        </w:tc>
        <w:tc>
          <w:tcPr>
            <w:tcW w:w="2980" w:type="dxa"/>
            <w:vAlign w:val="bottom"/>
            <w:tcBorders>
              <w:top w:val="single" w:sz="8" w:color="0000FF"/>
            </w:tcBorders>
            <w:gridSpan w:val="4"/>
          </w:tcPr>
          <w:p>
            <w:pPr>
              <w:spacing w:after="0"/>
              <w:rPr>
                <w:sz w:val="17"/>
                <w:szCs w:val="17"/>
                <w:color w:val="auto"/>
              </w:rPr>
            </w:pPr>
          </w:p>
        </w:tc>
        <w:tc>
          <w:tcPr>
            <w:tcW w:w="62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1"/>
        </w:trPr>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5660" w:type="dxa"/>
            <w:vAlign w:val="bottom"/>
            <w:gridSpan w:val="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Executive Officer and Chief Financial Officer</w:t>
              </w:r>
            </w:hyperlink>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jc w:val="center"/>
              <w:ind w:left="1590"/>
              <w:spacing w:after="0"/>
              <w:rPr>
                <w:sz w:val="20"/>
                <w:szCs w:val="20"/>
                <w:color w:val="auto"/>
              </w:rPr>
            </w:pPr>
            <w:r>
              <w:rPr>
                <w:rFonts w:ascii="Arial" w:cs="Arial" w:eastAsia="Arial" w:hAnsi="Arial"/>
                <w:sz w:val="18"/>
                <w:szCs w:val="18"/>
                <w:color w:val="auto"/>
              </w:rPr>
              <w:t>**</w:t>
            </w: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Pursuant to Section 906 of the Sarbanes-Oxley Act of 2002</w:t>
              </w:r>
            </w:hyperlink>
          </w:p>
        </w:tc>
        <w:tc>
          <w:tcPr>
            <w:tcW w:w="620" w:type="dxa"/>
            <w:vAlign w:val="bottom"/>
            <w:tcBorders>
              <w:top w:val="single" w:sz="8" w:color="0000FF"/>
            </w:tcBorders>
          </w:tcPr>
          <w:p>
            <w:pPr>
              <w:spacing w:after="0"/>
              <w:rPr>
                <w:sz w:val="17"/>
                <w:szCs w:val="17"/>
                <w:color w:val="auto"/>
              </w:rPr>
            </w:pPr>
          </w:p>
        </w:tc>
        <w:tc>
          <w:tcPr>
            <w:tcW w:w="76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03"/>
        </w:trPr>
        <w:tc>
          <w:tcPr>
            <w:tcW w:w="700" w:type="dxa"/>
            <w:vAlign w:val="bottom"/>
          </w:tcPr>
          <w:p>
            <w:pPr>
              <w:jc w:val="right"/>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420" w:type="dxa"/>
            <w:vAlign w:val="bottom"/>
          </w:tcPr>
          <w:p>
            <w:pPr>
              <w:spacing w:after="0"/>
              <w:rPr>
                <w:sz w:val="23"/>
                <w:szCs w:val="23"/>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420" w:type="dxa"/>
            <w:vAlign w:val="bottom"/>
          </w:tcPr>
          <w:p>
            <w:pPr>
              <w:spacing w:after="0"/>
              <w:rPr>
                <w:sz w:val="23"/>
                <w:szCs w:val="23"/>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420" w:type="dxa"/>
            <w:vAlign w:val="bottom"/>
          </w:tcPr>
          <w:p>
            <w:pPr>
              <w:spacing w:after="0"/>
              <w:rPr>
                <w:sz w:val="23"/>
                <w:szCs w:val="23"/>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420" w:type="dxa"/>
            <w:vAlign w:val="bottom"/>
          </w:tcPr>
          <w:p>
            <w:pPr>
              <w:spacing w:after="0"/>
              <w:rPr>
                <w:sz w:val="23"/>
                <w:szCs w:val="23"/>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420" w:type="dxa"/>
            <w:vAlign w:val="bottom"/>
          </w:tcPr>
          <w:p>
            <w:pPr>
              <w:spacing w:after="0"/>
              <w:rPr>
                <w:sz w:val="23"/>
                <w:szCs w:val="23"/>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56"/>
        </w:trPr>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Cover Page Interactive Data File (as formatted as Inline XBRL and</w:t>
            </w:r>
          </w:p>
        </w:tc>
        <w:tc>
          <w:tcPr>
            <w:tcW w:w="1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60" w:type="dxa"/>
            <w:vAlign w:val="bottom"/>
          </w:tcPr>
          <w:p>
            <w:pPr>
              <w:jc w:val="center"/>
              <w:ind w:left="157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8"/>
          </w:tcPr>
          <w:p>
            <w:pPr>
              <w:spacing w:after="0"/>
              <w:rPr>
                <w:sz w:val="20"/>
                <w:szCs w:val="20"/>
                <w:color w:val="auto"/>
              </w:rPr>
            </w:pPr>
            <w:r>
              <w:rPr>
                <w:rFonts w:ascii="Arial" w:cs="Arial" w:eastAsia="Arial" w:hAnsi="Arial"/>
                <w:sz w:val="18"/>
                <w:szCs w:val="18"/>
                <w:color w:val="auto"/>
              </w:rPr>
              <w:t>contained in Exhibit 101)</w:t>
            </w: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3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80" w:firstLine="405"/>
        <w:spacing w:after="0" w:line="30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OPENDOOR TECHNOLOGIES INC.</w:t>
      </w:r>
    </w:p>
    <w:p>
      <w:pPr>
        <w:spacing w:after="0" w:line="324" w:lineRule="exact"/>
        <w:rPr>
          <w:sz w:val="20"/>
          <w:szCs w:val="20"/>
          <w:color w:val="auto"/>
        </w:rPr>
      </w:pPr>
    </w:p>
    <w:p>
      <w:pPr>
        <w:ind w:left="20"/>
        <w:spacing w:after="0"/>
        <w:tabs>
          <w:tab w:leader="none" w:pos="900" w:val="left"/>
          <w:tab w:leader="none" w:pos="6080" w:val="left"/>
          <w:tab w:leader="none" w:pos="6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57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w:t>
      </w:r>
    </w:p>
    <w:p>
      <w:pPr>
        <w:spacing w:after="0" w:line="222" w:lineRule="exact"/>
        <w:rPr>
          <w:sz w:val="20"/>
          <w:szCs w:val="20"/>
          <w:color w:val="auto"/>
        </w:rPr>
      </w:pPr>
    </w:p>
    <w:p>
      <w:pPr>
        <w:sectPr>
          <w:pgSz w:w="11900" w:h="16838" w:orient="portrait"/>
          <w:cols w:equalWidth="0" w:num="2">
            <w:col w:w="7080" w:space="420"/>
            <w:col w:w="3740"/>
          </w:cols>
          <w:pgMar w:left="320" w:top="37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220"/>
              <w:spacing w:after="0"/>
              <w:rPr>
                <w:sz w:val="20"/>
                <w:szCs w:val="20"/>
                <w:color w:val="auto"/>
              </w:rPr>
            </w:pPr>
            <w:r>
              <w:rPr>
                <w:rFonts w:ascii="Arial" w:cs="Arial" w:eastAsia="Arial" w:hAnsi="Arial"/>
                <w:sz w:val="18"/>
                <w:szCs w:val="18"/>
                <w:color w:val="auto"/>
              </w:rPr>
              <w:t>May 12, 2021</w:t>
            </w:r>
          </w:p>
        </w:tc>
        <w:tc>
          <w:tcPr>
            <w:tcW w:w="7260" w:type="dxa"/>
            <w:vAlign w:val="bottom"/>
            <w:gridSpan w:val="3"/>
          </w:tcPr>
          <w:p>
            <w:pPr>
              <w:ind w:left="2080"/>
              <w:spacing w:after="0"/>
              <w:rPr>
                <w:sz w:val="20"/>
                <w:szCs w:val="20"/>
                <w:color w:val="auto"/>
              </w:rPr>
            </w:pPr>
            <w:r>
              <w:rPr>
                <w:rFonts w:ascii="Arial" w:cs="Arial" w:eastAsia="Arial" w:hAnsi="Arial"/>
                <w:sz w:val="18"/>
                <w:szCs w:val="18"/>
                <w:color w:val="auto"/>
              </w:rPr>
              <w:t>By:   /s/ Carrie Wheeler</w:t>
            </w:r>
          </w:p>
        </w:tc>
      </w:tr>
      <w:tr>
        <w:trPr>
          <w:trHeight w:val="27"/>
        </w:trPr>
        <w:tc>
          <w:tcPr>
            <w:tcW w:w="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220"/>
              <w:spacing w:after="0"/>
              <w:rPr>
                <w:sz w:val="20"/>
                <w:szCs w:val="20"/>
                <w:color w:val="auto"/>
              </w:rPr>
            </w:pPr>
            <w:r>
              <w:rPr>
                <w:rFonts w:ascii="Arial" w:cs="Arial" w:eastAsia="Arial" w:hAnsi="Arial"/>
                <w:sz w:val="18"/>
                <w:szCs w:val="18"/>
                <w:color w:val="auto"/>
              </w:rPr>
              <w:t>Carrie Wheeler</w:t>
            </w:r>
          </w:p>
        </w:tc>
      </w:tr>
      <w:tr>
        <w:trPr>
          <w:trHeight w:val="270"/>
        </w:trPr>
        <w:tc>
          <w:tcPr>
            <w:tcW w:w="6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78" w:right="3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4.3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32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FIRST AMENDMENT TO</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WARRANT AGREEMENT</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THIS FIRST AMENDMENT TO WARRANT AGREEMENT (this “</w:t>
      </w:r>
      <w:r>
        <w:rPr>
          <w:rFonts w:ascii="Arial" w:cs="Arial" w:eastAsia="Arial" w:hAnsi="Arial"/>
          <w:sz w:val="21"/>
          <w:szCs w:val="21"/>
          <w:b w:val="1"/>
          <w:bCs w:val="1"/>
          <w:i w:val="1"/>
          <w:iCs w:val="1"/>
          <w:color w:val="auto"/>
        </w:rPr>
        <w:t>Amendment</w:t>
      </w:r>
      <w:r>
        <w:rPr>
          <w:rFonts w:ascii="Arial" w:cs="Arial" w:eastAsia="Arial" w:hAnsi="Arial"/>
          <w:sz w:val="21"/>
          <w:szCs w:val="21"/>
          <w:b w:val="1"/>
          <w:bCs w:val="1"/>
          <w:color w:val="auto"/>
        </w:rPr>
        <w:t>”</w:t>
      </w:r>
      <w:r>
        <w:rPr>
          <w:rFonts w:ascii="Arial" w:cs="Arial" w:eastAsia="Arial" w:hAnsi="Arial"/>
          <w:sz w:val="21"/>
          <w:szCs w:val="21"/>
          <w:color w:val="auto"/>
        </w:rPr>
        <w:t>), is made and entered into as of March 22, 2021, by and among Opendoor Technologies Inc., a Delaware corporation (“</w:t>
      </w:r>
      <w:r>
        <w:rPr>
          <w:rFonts w:ascii="Arial" w:cs="Arial" w:eastAsia="Arial" w:hAnsi="Arial"/>
          <w:sz w:val="21"/>
          <w:szCs w:val="21"/>
          <w:b w:val="1"/>
          <w:bCs w:val="1"/>
          <w:i w:val="1"/>
          <w:iCs w:val="1"/>
          <w:color w:val="auto"/>
        </w:rPr>
        <w:t>Opendoor Technologies</w:t>
      </w:r>
      <w:r>
        <w:rPr>
          <w:rFonts w:ascii="Arial" w:cs="Arial" w:eastAsia="Arial" w:hAnsi="Arial"/>
          <w:sz w:val="21"/>
          <w:szCs w:val="21"/>
          <w:color w:val="auto"/>
        </w:rPr>
        <w:t>”), and Continental Stock Transfer &amp; Trust Company, a New York corporation, as warrant agent (“</w:t>
      </w:r>
      <w:r>
        <w:rPr>
          <w:rFonts w:ascii="Arial" w:cs="Arial" w:eastAsia="Arial" w:hAnsi="Arial"/>
          <w:sz w:val="21"/>
          <w:szCs w:val="21"/>
          <w:b w:val="1"/>
          <w:bCs w:val="1"/>
          <w:i w:val="1"/>
          <w:iCs w:val="1"/>
          <w:color w:val="auto"/>
        </w:rPr>
        <w:t>Continental</w:t>
      </w:r>
      <w:r>
        <w:rPr>
          <w:rFonts w:ascii="Arial" w:cs="Arial" w:eastAsia="Arial" w:hAnsi="Arial"/>
          <w:sz w:val="21"/>
          <w:szCs w:val="21"/>
          <w:color w:val="auto"/>
        </w:rPr>
        <w:t>”), and American Stock Transfer &amp; Trust Company, LLC, a New York limited liability trust company (“</w:t>
      </w:r>
      <w:r>
        <w:rPr>
          <w:rFonts w:ascii="Arial" w:cs="Arial" w:eastAsia="Arial" w:hAnsi="Arial"/>
          <w:sz w:val="21"/>
          <w:szCs w:val="21"/>
          <w:b w:val="1"/>
          <w:bCs w:val="1"/>
          <w:i w:val="1"/>
          <w:iCs w:val="1"/>
          <w:color w:val="auto"/>
        </w:rPr>
        <w:t>AST</w:t>
      </w:r>
      <w:r>
        <w:rPr>
          <w:rFonts w:ascii="Arial" w:cs="Arial" w:eastAsia="Arial" w:hAnsi="Arial"/>
          <w:sz w:val="21"/>
          <w:szCs w:val="21"/>
          <w:color w:val="auto"/>
        </w:rPr>
        <w:t>”). Capitalized terms used but not defined herein shall have the meanings ascribed to such terms in the Existing Warrant Agreement (as defined below).</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WHEREAS, Social Capital Hedosophia Holdings Corp. II, a Cayman Islands exempted company (“</w:t>
      </w:r>
      <w:r>
        <w:rPr>
          <w:rFonts w:ascii="Arial" w:cs="Arial" w:eastAsia="Arial" w:hAnsi="Arial"/>
          <w:sz w:val="22"/>
          <w:szCs w:val="22"/>
          <w:b w:val="1"/>
          <w:bCs w:val="1"/>
          <w:i w:val="1"/>
          <w:iCs w:val="1"/>
          <w:color w:val="auto"/>
        </w:rPr>
        <w:t>Social Capital</w:t>
      </w:r>
      <w:r>
        <w:rPr>
          <w:rFonts w:ascii="Arial" w:cs="Arial" w:eastAsia="Arial" w:hAnsi="Arial"/>
          <w:sz w:val="22"/>
          <w:szCs w:val="22"/>
          <w:color w:val="auto"/>
        </w:rPr>
        <w:t>”) and Continental previously entered into that certain Warrant Agreement, dated as of April 27, 2020 (the “</w:t>
      </w:r>
      <w:r>
        <w:rPr>
          <w:rFonts w:ascii="Arial" w:cs="Arial" w:eastAsia="Arial" w:hAnsi="Arial"/>
          <w:sz w:val="22"/>
          <w:szCs w:val="22"/>
          <w:b w:val="1"/>
          <w:bCs w:val="1"/>
          <w:i w:val="1"/>
          <w:iCs w:val="1"/>
          <w:color w:val="auto"/>
        </w:rPr>
        <w:t>Existing Warrant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pursuant to which Social Capital issued 13,800,000 warrants (the “</w:t>
      </w:r>
      <w:r>
        <w:rPr>
          <w:rFonts w:ascii="Arial" w:cs="Arial" w:eastAsia="Arial" w:hAnsi="Arial"/>
          <w:sz w:val="22"/>
          <w:szCs w:val="22"/>
          <w:b w:val="1"/>
          <w:bCs w:val="1"/>
          <w:i w:val="1"/>
          <w:iCs w:val="1"/>
          <w:color w:val="auto"/>
        </w:rPr>
        <w:t>Public Warrants</w:t>
      </w:r>
      <w:r>
        <w:rPr>
          <w:rFonts w:ascii="Arial" w:cs="Arial" w:eastAsia="Arial" w:hAnsi="Arial"/>
          <w:sz w:val="22"/>
          <w:szCs w:val="22"/>
          <w:color w:val="auto"/>
        </w:rPr>
        <w:t>”) in its initial public offering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6,133,333 private placement warrants (“</w:t>
      </w:r>
      <w:r>
        <w:rPr>
          <w:rFonts w:ascii="Arial" w:cs="Arial" w:eastAsia="Arial" w:hAnsi="Arial"/>
          <w:sz w:val="22"/>
          <w:szCs w:val="22"/>
          <w:b w:val="1"/>
          <w:bCs w:val="1"/>
          <w:i w:val="1"/>
          <w:iCs w:val="1"/>
          <w:color w:val="auto"/>
        </w:rPr>
        <w:t>Private Placement Warrants</w:t>
      </w:r>
      <w:r>
        <w:rPr>
          <w:rFonts w:ascii="Arial" w:cs="Arial" w:eastAsia="Arial" w:hAnsi="Arial"/>
          <w:sz w:val="22"/>
          <w:szCs w:val="22"/>
          <w:color w:val="auto"/>
        </w:rPr>
        <w:t>”, together with the Public Warrants, the “</w:t>
      </w:r>
      <w:r>
        <w:rPr>
          <w:rFonts w:ascii="Arial" w:cs="Arial" w:eastAsia="Arial" w:hAnsi="Arial"/>
          <w:sz w:val="22"/>
          <w:szCs w:val="22"/>
          <w:b w:val="1"/>
          <w:bCs w:val="1"/>
          <w:i w:val="1"/>
          <w:iCs w:val="1"/>
          <w:color w:val="auto"/>
        </w:rPr>
        <w:t>Warrants</w:t>
      </w:r>
      <w:r>
        <w:rPr>
          <w:rFonts w:ascii="Arial" w:cs="Arial" w:eastAsia="Arial" w:hAnsi="Arial"/>
          <w:sz w:val="22"/>
          <w:szCs w:val="22"/>
          <w:color w:val="auto"/>
        </w:rPr>
        <w:t>”), each representing the right to purchase one Class A ordinary share, par value $0.0001 per share, of Social Capital (“</w:t>
      </w:r>
      <w:r>
        <w:rPr>
          <w:rFonts w:ascii="Arial" w:cs="Arial" w:eastAsia="Arial" w:hAnsi="Arial"/>
          <w:sz w:val="22"/>
          <w:szCs w:val="22"/>
          <w:b w:val="1"/>
          <w:bCs w:val="1"/>
          <w:i w:val="1"/>
          <w:iCs w:val="1"/>
          <w:color w:val="auto"/>
        </w:rPr>
        <w:t>Ordinary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on September 15, 2020, Social Capital, Hestia Merger Sub Inc., a Delaware corporation and a direct wholly owned subsidiary of Social Capital (“</w:t>
      </w:r>
      <w:r>
        <w:rPr>
          <w:rFonts w:ascii="Arial" w:cs="Arial" w:eastAsia="Arial" w:hAnsi="Arial"/>
          <w:sz w:val="22"/>
          <w:szCs w:val="22"/>
          <w:b w:val="1"/>
          <w:bCs w:val="1"/>
          <w:i w:val="1"/>
          <w:iCs w:val="1"/>
          <w:color w:val="auto"/>
        </w:rPr>
        <w:t>Merger Sub</w:t>
      </w:r>
      <w:r>
        <w:rPr>
          <w:rFonts w:ascii="Arial" w:cs="Arial" w:eastAsia="Arial" w:hAnsi="Arial"/>
          <w:sz w:val="22"/>
          <w:szCs w:val="22"/>
          <w:color w:val="auto"/>
        </w:rPr>
        <w:t>”), and Opendoor Labs Inc., a Delaware corporation (“</w:t>
      </w:r>
      <w:r>
        <w:rPr>
          <w:rFonts w:ascii="Arial" w:cs="Arial" w:eastAsia="Arial" w:hAnsi="Arial"/>
          <w:sz w:val="22"/>
          <w:szCs w:val="22"/>
          <w:b w:val="1"/>
          <w:bCs w:val="1"/>
          <w:i w:val="1"/>
          <w:iCs w:val="1"/>
          <w:color w:val="auto"/>
        </w:rPr>
        <w:t>Opendoor Labs</w:t>
      </w:r>
      <w:r>
        <w:rPr>
          <w:rFonts w:ascii="Arial" w:cs="Arial" w:eastAsia="Arial" w:hAnsi="Arial"/>
          <w:sz w:val="22"/>
          <w:szCs w:val="22"/>
          <w:color w:val="auto"/>
        </w:rPr>
        <w:t>”), entered into an Agreement and Plan of Merger (the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which provided for, among other things, the merger of Merger Sub with and into Opendoor Labs, with Opendoor Labs continuing as the surviving corporation and a wholly owned subsidiary of Social Capital (the “</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on December 18, 2020, immediately prior to the consummation of the Merger and upon the terms and subject to the conditions of the Merger Agreement, Social Capital effected a deregistration under the Cayman Islands Companies Law (2020 Revision) and a domestication under Section 388 of the Delaware General Corporation Law, pursuant to which Social Capital’s jurisdiction of incorporation was changed from the Cayman Islands to the State of Delaware and Social Capital was renamed “Opendoor Technologies Inc.” (the “</w:t>
      </w:r>
      <w:r>
        <w:rPr>
          <w:rFonts w:ascii="Arial" w:cs="Arial" w:eastAsia="Arial" w:hAnsi="Arial"/>
          <w:sz w:val="19"/>
          <w:szCs w:val="19"/>
          <w:b w:val="1"/>
          <w:bCs w:val="1"/>
          <w:i w:val="1"/>
          <w:iCs w:val="1"/>
          <w:color w:val="auto"/>
        </w:rPr>
        <w:t>Domestication</w:t>
      </w:r>
      <w:r>
        <w:rPr>
          <w:rFonts w:ascii="Arial" w:cs="Arial" w:eastAsia="Arial" w:hAnsi="Arial"/>
          <w:sz w:val="19"/>
          <w:szCs w:val="19"/>
          <w:color w:val="auto"/>
        </w:rPr>
        <w:t>” and together with the Merger, the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8.2.1 of the Existing Warrant Agreement, Continental has agreed to resign its duties as the Warrant Agent as of the date hereof, and AST has agreed to serve as successor Warrant Agent from and after the date hereof; and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9.8 of the Existing Warrant Agreement, the parties may amend the Existing Warrant Agreement without the consent of the Registered Holders with respect to matters that the parties deem shall not adversely affect the interest of the Registered Holders.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179" w:lineRule="exact"/>
        <w:rPr>
          <w:sz w:val="20"/>
          <w:szCs w:val="20"/>
          <w:color w:val="auto"/>
        </w:rPr>
      </w:pPr>
    </w:p>
    <w:p>
      <w:pPr>
        <w:ind w:firstLine="8"/>
        <w:spacing w:after="0" w:line="269" w:lineRule="auto"/>
        <w:tabs>
          <w:tab w:leader="none" w:pos="36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of Existing Warrant Agreement. </w:t>
      </w:r>
      <w:r>
        <w:rPr>
          <w:rFonts w:ascii="Arial" w:cs="Arial" w:eastAsia="Arial" w:hAnsi="Arial"/>
          <w:sz w:val="22"/>
          <w:szCs w:val="22"/>
          <w:color w:val="auto"/>
        </w:rPr>
        <w:t>The parties hereby amend, effective as of the date of this Amendment,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Existing Warrant Agreement as provided in this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|US-DOCS\121768471.3||</w:t>
      </w:r>
    </w:p>
    <w:p>
      <w:pPr>
        <w:sectPr>
          <w:pgSz w:w="11900" w:h="16838" w:orient="portrait"/>
          <w:cols w:equalWidth="0" w:num="1">
            <w:col w:w="11240"/>
          </w:cols>
          <w:pgMar w:left="320" w:top="126" w:right="339" w:bottom="1440" w:gutter="0" w:footer="0" w:header="0"/>
        </w:sectPr>
      </w:pPr>
    </w:p>
    <w:bookmarkStart w:id="60" w:name="page61"/>
    <w:bookmarkEnd w:id="60"/>
    <w:p>
      <w:pPr>
        <w:jc w:val="both"/>
        <w:ind w:right="20" w:firstLine="648"/>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i w:val="1"/>
          <w:iCs w:val="1"/>
          <w:color w:val="auto"/>
        </w:rPr>
        <w:t>Change in Warrant Agent</w:t>
      </w:r>
      <w:r>
        <w:rPr>
          <w:rFonts w:ascii="Arial" w:cs="Arial" w:eastAsia="Arial" w:hAnsi="Arial"/>
          <w:sz w:val="22"/>
          <w:szCs w:val="22"/>
          <w:color w:val="auto"/>
        </w:rPr>
        <w:t>. References to “Continental Stock Transfer &amp; Trust Company” in the Existing Warrant Agreement shall be replaced with “American Stock Transfer &amp; Trust Company, LLC,” and it shall be understood that “Warrant Agent” shall hereafter refer to American Stock Transfer &amp; Trust Company, LLC.</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i w:val="1"/>
          <w:iCs w:val="1"/>
          <w:color w:val="auto"/>
        </w:rPr>
        <w:t>Change of Address of Warrant Agent.</w:t>
      </w:r>
      <w:r>
        <w:rPr>
          <w:rFonts w:ascii="Arial" w:cs="Arial" w:eastAsia="Arial" w:hAnsi="Arial"/>
          <w:sz w:val="21"/>
          <w:szCs w:val="21"/>
          <w:color w:val="auto"/>
        </w:rPr>
        <w:t xml:space="preserve"> Section 9.2 of the Existing Warrant Agreement is hereby amended to direct that any notice, statement or demand authorized by the Existing Warrant Agreement to be given or made by the Warrant Agent or by the holder of any Warrant to or on the Company pursuant to Section 9.2 shall be delivered to: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Stock Transfer &amp; Trust Company, LLC</w:t>
      </w:r>
    </w:p>
    <w:p>
      <w:pPr>
        <w:ind w:left="660"/>
        <w:spacing w:after="0" w:line="207" w:lineRule="auto"/>
        <w:rPr>
          <w:sz w:val="20"/>
          <w:szCs w:val="20"/>
          <w:color w:val="auto"/>
        </w:rPr>
      </w:pPr>
      <w:r>
        <w:rPr>
          <w:rFonts w:ascii="Arial" w:cs="Arial" w:eastAsia="Arial" w:hAnsi="Arial"/>
          <w:sz w:val="22"/>
          <w:szCs w:val="22"/>
          <w:color w:val="auto"/>
        </w:rPr>
        <w:t>48 Wall Street,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ind w:left="660"/>
        <w:spacing w:after="0"/>
        <w:rPr>
          <w:sz w:val="20"/>
          <w:szCs w:val="20"/>
          <w:color w:val="auto"/>
        </w:rPr>
      </w:pPr>
      <w:r>
        <w:rPr>
          <w:rFonts w:ascii="Arial" w:cs="Arial" w:eastAsia="Arial" w:hAnsi="Arial"/>
          <w:sz w:val="22"/>
          <w:szCs w:val="22"/>
          <w:color w:val="auto"/>
        </w:rPr>
        <w:t>New York, NY 10005</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Reorgwarrants@astfinancial.com</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i w:val="1"/>
          <w:iCs w:val="1"/>
          <w:color w:val="auto"/>
        </w:rPr>
        <w:t>Change of Address of Company.</w:t>
      </w:r>
      <w:r>
        <w:rPr>
          <w:rFonts w:ascii="Arial" w:cs="Arial" w:eastAsia="Arial" w:hAnsi="Arial"/>
          <w:sz w:val="21"/>
          <w:szCs w:val="21"/>
          <w:color w:val="auto"/>
        </w:rPr>
        <w:t xml:space="preserve"> Section 9.2 of the Existing Warrant Agreement is hereby amended to direct that any notice, statement or demand authorized by the Existing Warrant Agreement to be given or made by the Warrant Agent or by the holder of any Warrant to or on the Company pursuant to Section 9.2 shall be delivered to: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Opendoor Technologies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410 N. Scottsdale Road, Suite 1600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Tempe, AZ 85281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investors@opendoor.com</w:t>
      </w:r>
    </w:p>
    <w:p>
      <w:pPr>
        <w:spacing w:after="0" w:line="196" w:lineRule="exact"/>
        <w:rPr>
          <w:sz w:val="20"/>
          <w:szCs w:val="20"/>
          <w:color w:val="auto"/>
        </w:rPr>
      </w:pPr>
    </w:p>
    <w:p>
      <w:pPr>
        <w:jc w:val="both"/>
        <w:ind w:firstLine="8"/>
        <w:spacing w:after="0" w:line="249" w:lineRule="auto"/>
        <w:tabs>
          <w:tab w:leader="none" w:pos="648"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Resignation of Current Warrant Agent and Appointment of Successor Warrant Agent. </w:t>
      </w:r>
      <w:r>
        <w:rPr>
          <w:rFonts w:ascii="Arial" w:cs="Arial" w:eastAsia="Arial" w:hAnsi="Arial"/>
          <w:sz w:val="22"/>
          <w:szCs w:val="22"/>
          <w:color w:val="auto"/>
        </w:rPr>
        <w:t>Continental hereby resigns</w:t>
      </w:r>
      <w:r>
        <w:rPr>
          <w:rFonts w:ascii="Arial" w:cs="Arial" w:eastAsia="Arial" w:hAnsi="Arial"/>
          <w:sz w:val="22"/>
          <w:szCs w:val="22"/>
          <w:b w:val="1"/>
          <w:bCs w:val="1"/>
          <w:color w:val="auto"/>
        </w:rPr>
        <w:t xml:space="preserve"> </w:t>
      </w:r>
      <w:r>
        <w:rPr>
          <w:rFonts w:ascii="Arial" w:cs="Arial" w:eastAsia="Arial" w:hAnsi="Arial"/>
          <w:sz w:val="22"/>
          <w:szCs w:val="22"/>
          <w:color w:val="auto"/>
        </w:rPr>
        <w:t>as Warrant Agent under the Existing Warrant Agreement, and Opendoor Technologies hereby appoints AST to act as the Warrant Agent for Opendoor Technologies under the Existing Warrant Agreement, and AST hereby accepts such appointment and agrees to perform the same in accordance with the terms and conditions set forth in the Existing Warrant Agreement as modified by this Amendment.</w:t>
      </w:r>
    </w:p>
    <w:p>
      <w:pPr>
        <w:spacing w:after="0" w:line="186"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i w:val="1"/>
          <w:iCs w:val="1"/>
          <w:color w:val="auto"/>
        </w:rPr>
        <w:t>Successors</w:t>
      </w:r>
      <w:r>
        <w:rPr>
          <w:rFonts w:ascii="Arial" w:cs="Arial" w:eastAsia="Arial" w:hAnsi="Arial"/>
          <w:sz w:val="22"/>
          <w:szCs w:val="22"/>
          <w:color w:val="auto"/>
        </w:rPr>
        <w:t>. All the covenants and provisions of this Amendment by or for the benefit of the parties hereto shall bind and inure to the benefit of their respective successors and assigns.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i w:val="1"/>
          <w:iCs w:val="1"/>
          <w:color w:val="auto"/>
        </w:rPr>
        <w:t>Applicable Law</w:t>
      </w:r>
      <w:r>
        <w:rPr>
          <w:rFonts w:ascii="Arial" w:cs="Arial" w:eastAsia="Arial" w:hAnsi="Arial"/>
          <w:sz w:val="22"/>
          <w:szCs w:val="22"/>
          <w:color w:val="auto"/>
        </w:rPr>
        <w:t>. The validity, interpretation, and performance of this Amendment shall be governed in all respects by the laws of the State of New York, without giving effect to conflicts of law principles that would result in the application of the substantive laws of another jurisdiction. Each of the parties hereto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hereto hereby waives any objection to such exclusive jurisdiction and that such courts represent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85" w:right="339" w:bottom="1440" w:gutter="0" w:footer="0" w:header="0"/>
        </w:sectPr>
      </w:pPr>
    </w:p>
    <w:bookmarkStart w:id="61" w:name="page62"/>
    <w:bookmarkEnd w:id="61"/>
    <w:p>
      <w:pPr>
        <w:jc w:val="both"/>
        <w:ind w:firstLine="648"/>
        <w:spacing w:after="0" w:line="25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i w:val="1"/>
          <w:iCs w:val="1"/>
          <w:color w:val="auto"/>
        </w:rPr>
        <w:t>Counterparts</w:t>
      </w:r>
      <w:r>
        <w:rPr>
          <w:rFonts w:ascii="Arial" w:cs="Arial" w:eastAsia="Arial" w:hAnsi="Arial"/>
          <w:sz w:val="22"/>
          <w:szCs w:val="22"/>
          <w:color w:val="auto"/>
        </w:rPr>
        <w:t>. This Amendment may be executed in any number of original or electronic counterparts and each of such counterparts shall for all purposes be deemed to be an original, and all such counterparts shall together constitute one and the same instrument.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i w:val="1"/>
          <w:iCs w:val="1"/>
          <w:color w:val="auto"/>
        </w:rPr>
        <w:t>Effect of Headings</w:t>
      </w:r>
      <w:r>
        <w:rPr>
          <w:rFonts w:ascii="Arial" w:cs="Arial" w:eastAsia="Arial" w:hAnsi="Arial"/>
          <w:sz w:val="22"/>
          <w:szCs w:val="22"/>
          <w:color w:val="auto"/>
        </w:rPr>
        <w:t>. The section headings herein are for convenience only and are not part of this Amendment and shall not affect the interpretation thereof.</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i w:val="1"/>
          <w:iCs w:val="1"/>
          <w:color w:val="auto"/>
        </w:rPr>
        <w:t>Severability</w:t>
      </w:r>
      <w:r>
        <w:rPr>
          <w:rFonts w:ascii="Arial" w:cs="Arial" w:eastAsia="Arial" w:hAnsi="Arial"/>
          <w:sz w:val="22"/>
          <w:szCs w:val="22"/>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i w:val="1"/>
          <w:iCs w:val="1"/>
          <w:color w:val="auto"/>
        </w:rPr>
        <w:t>Effect on Existing Warrant Agreement.</w:t>
      </w:r>
      <w:r>
        <w:rPr>
          <w:rFonts w:ascii="Arial" w:cs="Arial" w:eastAsia="Arial" w:hAnsi="Arial"/>
          <w:sz w:val="22"/>
          <w:szCs w:val="22"/>
          <w:color w:val="auto"/>
        </w:rPr>
        <w:t xml:space="preserve"> Other than as specifically set forth herein, all other terms and provisions of the Existing Warrant Agreement shall remain unaffected by the terms of this Amendment, and shall continue in full force and effect.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i w:val="1"/>
          <w:iCs w:val="1"/>
          <w:color w:val="auto"/>
        </w:rPr>
        <w:t>Entire Agreement</w:t>
      </w:r>
      <w:r>
        <w:rPr>
          <w:rFonts w:ascii="Arial" w:cs="Arial" w:eastAsia="Arial" w:hAnsi="Arial"/>
          <w:sz w:val="22"/>
          <w:szCs w:val="22"/>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85" w:right="339" w:bottom="1440" w:gutter="0" w:footer="0" w:header="0"/>
        </w:sectPr>
      </w:pPr>
    </w:p>
    <w:bookmarkStart w:id="62" w:name="page63"/>
    <w:bookmarkEnd w:id="62"/>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to be duly executed as of the date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pacing w:after="0" w:line="256"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OPENDOOR TECHNOLOGIES INC.</w:t>
      </w:r>
    </w:p>
    <w:p>
      <w:pPr>
        <w:spacing w:after="0" w:line="374" w:lineRule="exact"/>
        <w:rPr>
          <w:sz w:val="20"/>
          <w:szCs w:val="20"/>
          <w:color w:val="auto"/>
        </w:rPr>
      </w:pPr>
    </w:p>
    <w:p>
      <w:pPr>
        <w:ind w:left="6260"/>
        <w:spacing w:after="0"/>
        <w:tabs>
          <w:tab w:leader="none" w:pos="7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24130</wp:posOffset>
            </wp:positionV>
            <wp:extent cx="2571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1"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Name:  Carrie Wheeler</w:t>
      </w:r>
    </w:p>
    <w:p>
      <w:pPr>
        <w:spacing w:after="0" w:line="58"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Title: CFO</w:t>
      </w:r>
    </w:p>
    <w:p>
      <w:pPr>
        <w:spacing w:after="0" w:line="362"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CONTINENTAL STOCK TRANSFER &amp; TRUST</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COMPANY</w:t>
      </w:r>
    </w:p>
    <w:p>
      <w:pPr>
        <w:spacing w:after="0" w:line="350" w:lineRule="exact"/>
        <w:rPr>
          <w:sz w:val="20"/>
          <w:szCs w:val="20"/>
          <w:color w:val="auto"/>
        </w:rPr>
      </w:pPr>
    </w:p>
    <w:p>
      <w:pPr>
        <w:ind w:left="6260"/>
        <w:spacing w:after="0"/>
        <w:tabs>
          <w:tab w:leader="none" w:pos="7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/s/Isaac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24130</wp:posOffset>
            </wp:positionV>
            <wp:extent cx="257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1"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Name:  Isaac Kagan</w:t>
      </w:r>
    </w:p>
    <w:p>
      <w:pPr>
        <w:spacing w:after="0" w:line="58"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324"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AMERICAN STOCK TRANSFER &amp; TRUST</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COMPANY, LLC</w:t>
      </w:r>
    </w:p>
    <w:p>
      <w:pPr>
        <w:spacing w:after="0" w:line="350" w:lineRule="exact"/>
        <w:rPr>
          <w:sz w:val="20"/>
          <w:szCs w:val="20"/>
          <w:color w:val="auto"/>
        </w:rPr>
      </w:pPr>
    </w:p>
    <w:p>
      <w:pPr>
        <w:ind w:left="6320"/>
        <w:spacing w:after="0"/>
        <w:tabs>
          <w:tab w:leader="none" w:pos="7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A. Nespoli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24130</wp:posOffset>
            </wp:positionV>
            <wp:extent cx="25374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1"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Name:  Michael A. Nespoli</w:t>
      </w:r>
    </w:p>
    <w:p>
      <w:pPr>
        <w:spacing w:after="0" w:line="58"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First Amendment of Warrant Agreement]</w:t>
      </w:r>
    </w:p>
    <w:p>
      <w:pPr>
        <w:sectPr>
          <w:pgSz w:w="11900" w:h="16838" w:orient="portrait"/>
          <w:cols w:equalWidth="0" w:num="1">
            <w:col w:w="11240"/>
          </w:cols>
          <w:pgMar w:left="320" w:top="142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CERTIFICATION OF CHIEF EXECUTIVE OFFICER PURSUANT TO EXCHANGE ACT RULES 13a-14(a) AND 15d-14(a)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 Eric Wu,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Opendoor Technologies,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Wu</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5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CERTIFICATION OF CHIEF FINANCIAL OFFICER PURSUANT TO EXCHANGE ACT RULES 13a-14(a) AND 15d-14(a)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 Carrie Wheeler,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Opendoor Technologies,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5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Opendoor Technologies Inc. (the “Company”) for the period ended March 31, 2021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21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Eric Wu</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upperLetter"/>
      <w:start w:val="35"/>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7"/>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bullet"/>
      <w:start w:val="1"/>
    </w:lvl>
  </w:abstractNum>
  <w:abstractNum w:abstractNumId="28">
    <w:nsid w:val="7C3DBD3D"/>
    <w:multiLevelType w:val="hybridMultilevel"/>
    <w:lvl w:ilvl="0">
      <w:lvlJc w:val="left"/>
      <w:lvlText w:val="2"/>
      <w:numFmt w:val="bullet"/>
      <w:start w:val="1"/>
    </w:lvl>
  </w:abstractNum>
  <w:abstractNum w:abstractNumId="29">
    <w:nsid w:val="737B8DDC"/>
    <w:multiLevelType w:val="hybridMultilevel"/>
    <w:lvl w:ilvl="0">
      <w:lvlJc w:val="left"/>
      <w:lvlText w:val="3"/>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95" Type="http://schemas.openxmlformats.org/officeDocument/2006/relationships/hyperlink" Target="http://www.sec.gov/Archives/edgar/data/1801169/000110465920105791/tm2030935d1_ex2-1.htm" TargetMode="External"/><Relationship Id="rId96" Type="http://schemas.openxmlformats.org/officeDocument/2006/relationships/hyperlink" Target="http://www.sec.gov/Archives/edgar/data/1801169/000110465920137517/tm2038661d2_ex3-1.htm" TargetMode="External"/><Relationship Id="rId97" Type="http://schemas.openxmlformats.org/officeDocument/2006/relationships/hyperlink" Target="https://www.sec.gov/Archives/edgar/data/1801169/000110465921004379/tm2038271d12_ex3-3.htm" TargetMode="External"/><Relationship Id="rId98" Type="http://schemas.openxmlformats.org/officeDocument/2006/relationships/hyperlink" Target="http://www.sec.gov/Archives/edgar/data/1801169/000110465920122215/tm2030455d5_ex4-5.htm" TargetMode="External"/><Relationship Id="rId99" Type="http://schemas.openxmlformats.org/officeDocument/2006/relationships/hyperlink" Target="http://www.sec.gov/Archives/edgar/data/1801169/000110465920054449/tm2017926d1_ex4-1.htm" TargetMode="External"/><Relationship Id="rId100" Type="http://schemas.openxmlformats.org/officeDocument/2006/relationships/hyperlink" Target="https://www.sec.gov/Archives/edgar/data/0001801169/000110465921046095/tm2111992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2021-05-12T15:32:02Z</dcterms:created>
  <dcterms:modified xsi:type="dcterms:W3CDTF">2021-05-12T15:32:02Z</dcterms:modified>
</cp:coreProperties>
</file>