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 to ____________.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001-39253 </w:t>
      </w:r>
    </w:p>
    <w:p>
      <w:pPr>
        <w:pStyle w:val="TextBody"/>
        <w:bidi w:val="0"/>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Opendoor Technologies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710" w:type="dxa"/>
        <w:jc w:val="left"/>
        <w:tblInd w:w="0" w:type="dxa"/>
        <w:tblLayout w:type="fixed"/>
        <w:tblCellMar>
          <w:top w:w="28" w:type="dxa"/>
          <w:left w:w="28" w:type="dxa"/>
          <w:bottom w:w="28" w:type="dxa"/>
          <w:right w:w="28" w:type="dxa"/>
        </w:tblCellMar>
      </w:tblPr>
      <w:tblGrid>
        <w:gridCol w:w="424"/>
        <w:gridCol w:w="371"/>
        <w:gridCol w:w="371"/>
        <w:gridCol w:w="371"/>
        <w:gridCol w:w="371"/>
        <w:gridCol w:w="371"/>
        <w:gridCol w:w="353"/>
        <w:gridCol w:w="353"/>
        <w:gridCol w:w="369"/>
        <w:gridCol w:w="109"/>
        <w:gridCol w:w="109"/>
        <w:gridCol w:w="109"/>
        <w:gridCol w:w="884"/>
        <w:gridCol w:w="884"/>
        <w:gridCol w:w="1261"/>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30-1318214</w:t>
            </w:r>
          </w:p>
        </w:tc>
      </w:tr>
      <w:tr>
        <w:trPr/>
        <w:tc>
          <w:tcPr>
            <w:tcW w:w="3354" w:type="dxa"/>
            <w:gridSpan w:val="9"/>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410 N. Scottsdale Road,</w:t>
            </w:r>
          </w:p>
        </w:tc>
        <w:tc>
          <w:tcPr>
            <w:tcW w:w="1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Suite 1600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Tempe,</w:t>
            </w:r>
          </w:p>
        </w:tc>
        <w:tc>
          <w:tcPr>
            <w:tcW w:w="1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AZ</w:t>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85281</w:t>
            </w:r>
          </w:p>
        </w:tc>
      </w:tr>
      <w:tr>
        <w:trPr/>
        <w:tc>
          <w:tcPr>
            <w:tcW w:w="33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(480) 618-6760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194" w:type="dxa"/>
        <w:jc w:val="left"/>
        <w:tblInd w:w="0" w:type="dxa"/>
        <w:tblLayout w:type="fixed"/>
        <w:tblCellMar>
          <w:top w:w="28" w:type="dxa"/>
          <w:left w:w="28" w:type="dxa"/>
          <w:bottom w:w="28" w:type="dxa"/>
          <w:right w:w="28" w:type="dxa"/>
        </w:tblCellMar>
      </w:tblPr>
      <w:tblGrid>
        <w:gridCol w:w="1328"/>
        <w:gridCol w:w="1167"/>
        <w:gridCol w:w="1180"/>
        <w:gridCol w:w="564"/>
        <w:gridCol w:w="564"/>
        <w:gridCol w:w="566"/>
        <w:gridCol w:w="1118"/>
        <w:gridCol w:w="1118"/>
        <w:gridCol w:w="158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OPEN</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6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registrant’s common stock outstanding as of July 27, 2023 was approximately 659,195,207.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20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28"/>
        <w:gridCol w:w="376"/>
        <w:gridCol w:w="376"/>
        <w:gridCol w:w="376"/>
        <w:gridCol w:w="376"/>
        <w:gridCol w:w="376"/>
        <w:gridCol w:w="2433"/>
        <w:gridCol w:w="2430"/>
        <w:gridCol w:w="2458"/>
        <w:gridCol w:w="167"/>
        <w:gridCol w:w="167"/>
        <w:gridCol w:w="242"/>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29" w:type="dxa"/>
            <w:gridSpan w:val="9"/>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i8b2419eff510402aba812c4fc6d81041_16">
              <w:r>
                <w:rPr>
                  <w:rStyle w:val="InternetLink"/>
                  <w:rFonts w:ascii="Times New Roman;sans-serif" w:hAnsi="Times New Roman;sans-serif"/>
                  <w:b/>
                  <w:color w:val="000000"/>
                  <w:sz w:val="20"/>
                  <w:u w:val="single"/>
                </w:rPr>
                <w:t>PART I - FINANCIAL INFORMATION</w:t>
              </w:r>
            </w:hyperlink>
          </w:p>
        </w:tc>
        <w:tc>
          <w:tcPr>
            <w:tcW w:w="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9">
              <w:r>
                <w:rPr>
                  <w:rStyle w:val="InternetLink"/>
                  <w:rFonts w:ascii="Times New Roman;sans-serif" w:hAnsi="Times New Roman;sans-serif"/>
                  <w:b w:val="false"/>
                  <w:strike w:val="false"/>
                  <w:dstrike w:val="false"/>
                  <w:color w:val="000000"/>
                  <w:sz w:val="20"/>
                  <w:u w:val="none"/>
                  <w:effect w:val="none"/>
                </w:rPr>
                <w:t>Item 1.</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9">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pPr>
            <w:hyperlink w:anchor="i8b2419eff510402aba812c4fc6d81041_19">
              <w:r>
                <w:rPr>
                  <w:rStyle w:val="InternetLink"/>
                  <w:rFonts w:ascii="Times New Roman;sans-serif" w:hAnsi="Times New Roman;sans-serif"/>
                  <w:b w:val="false"/>
                  <w:strike w:val="false"/>
                  <w:dstrike w:val="false"/>
                  <w:color w:val="000000"/>
                  <w:sz w:val="20"/>
                  <w:u w:val="none"/>
                  <w:effect w:val="none"/>
                </w:rPr>
                <w:t>3</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22">
              <w:r>
                <w:rPr>
                  <w:rStyle w:val="InternetLink"/>
                  <w:rFonts w:ascii="Times New Roman;sans-serif" w:hAnsi="Times New Roman;sans-serif"/>
                  <w:b w:val="false"/>
                  <w:strike w:val="false"/>
                  <w:dstrike w:val="false"/>
                  <w:color w:val="000000"/>
                  <w:sz w:val="20"/>
                  <w:u w:val="none"/>
                  <w:effect w:val="none"/>
                </w:rPr>
                <w:t>Condensed Consolidated Balance Sheets</w:t>
              </w:r>
            </w:hyperlink>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22">
              <w:r>
                <w:rPr>
                  <w:rStyle w:val="InternetLink"/>
                  <w:rFonts w:ascii="Times New Roman;sans-serif" w:hAnsi="Times New Roman;sans-serif"/>
                  <w:b w:val="false"/>
                  <w:strike w:val="false"/>
                  <w:dstrike w:val="false"/>
                  <w:color w:val="000000"/>
                  <w:sz w:val="20"/>
                  <w:u w:val="none"/>
                  <w:effect w:val="none"/>
                </w:rPr>
                <w:t>3</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25">
              <w:r>
                <w:rPr>
                  <w:rStyle w:val="InternetLink"/>
                  <w:rFonts w:ascii="Times New Roman;sans-serif" w:hAnsi="Times New Roman;sans-serif"/>
                  <w:b w:val="false"/>
                  <w:strike w:val="false"/>
                  <w:dstrike w:val="false"/>
                  <w:color w:val="000000"/>
                  <w:sz w:val="20"/>
                  <w:u w:val="none"/>
                  <w:effect w:val="none"/>
                </w:rPr>
                <w:t>Condensed Consolidated Statements of Operations</w:t>
              </w:r>
            </w:hyperlink>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25">
              <w:r>
                <w:rPr>
                  <w:rStyle w:val="InternetLink"/>
                  <w:rFonts w:ascii="Times New Roman;sans-serif" w:hAnsi="Times New Roman;sans-serif"/>
                  <w:b w:val="false"/>
                  <w:strike w:val="false"/>
                  <w:dstrike w:val="false"/>
                  <w:color w:val="000000"/>
                  <w:sz w:val="20"/>
                  <w:u w:val="none"/>
                  <w:effect w:val="none"/>
                </w:rPr>
                <w:t>4</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28">
              <w:r>
                <w:rPr>
                  <w:rStyle w:val="InternetLink"/>
                  <w:rFonts w:ascii="Times New Roman;sans-serif" w:hAnsi="Times New Roman;sans-serif"/>
                  <w:b w:val="false"/>
                  <w:strike w:val="false"/>
                  <w:dstrike w:val="false"/>
                  <w:color w:val="000080"/>
                  <w:sz w:val="20"/>
                  <w:u w:val="single"/>
                  <w:effect w:val="none"/>
                </w:rPr>
                <w:t xml:space="preserve">Condensed Consolidated Statements of Comprehensive </w:t>
              </w:r>
            </w:hyperlink>
            <w:hyperlink w:anchor="i8b2419eff510402aba812c4fc6d81041_28">
              <w:r>
                <w:rPr>
                  <w:rStyle w:val="InternetLink"/>
                  <w:rFonts w:ascii="Times New Roman;sans-serif" w:hAnsi="Times New Roman;sans-serif"/>
                  <w:b w:val="false"/>
                  <w:strike w:val="false"/>
                  <w:dstrike w:val="false"/>
                  <w:color w:val="000080"/>
                  <w:sz w:val="20"/>
                  <w:u w:val="single"/>
                  <w:effect w:val="none"/>
                </w:rPr>
                <w:t xml:space="preserve">Income </w:t>
              </w:r>
            </w:hyperlink>
            <w:hyperlink w:anchor="i8b2419eff510402aba812c4fc6d81041_28">
              <w:r>
                <w:rPr>
                  <w:rStyle w:val="InternetLink"/>
                  <w:rFonts w:ascii="Times New Roman;sans-serif" w:hAnsi="Times New Roman;sans-serif"/>
                  <w:b w:val="false"/>
                  <w:strike w:val="false"/>
                  <w:dstrike w:val="false"/>
                  <w:color w:val="000080"/>
                  <w:sz w:val="20"/>
                  <w:u w:val="single"/>
                  <w:effect w:val="none"/>
                </w:rPr>
                <w:t>(Loss</w:t>
              </w:r>
            </w:hyperlink>
            <w:r>
              <w:rPr>
                <w:rFonts w:ascii="Times New Roman;sans-serif" w:hAnsi="Times New Roman;sans-serif"/>
                <w:b w:val="false"/>
                <w:color w:val="000000"/>
                <w:sz w:val="20"/>
              </w:rPr>
              <w:t>)</w:t>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28">
              <w:r>
                <w:rPr>
                  <w:rStyle w:val="InternetLink"/>
                  <w:rFonts w:ascii="Times New Roman;sans-serif" w:hAnsi="Times New Roman;sans-serif"/>
                  <w:b w:val="false"/>
                  <w:strike w:val="false"/>
                  <w:dstrike w:val="false"/>
                  <w:color w:val="000000"/>
                  <w:sz w:val="20"/>
                  <w:u w:val="none"/>
                  <w:effect w:val="none"/>
                </w:rPr>
                <w:t>5</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31">
              <w:r>
                <w:rPr>
                  <w:rStyle w:val="InternetLink"/>
                  <w:rFonts w:ascii="Times New Roman;sans-serif" w:hAnsi="Times New Roman;sans-serif"/>
                  <w:b w:val="false"/>
                  <w:strike w:val="false"/>
                  <w:dstrike w:val="false"/>
                  <w:color w:val="000000"/>
                  <w:sz w:val="20"/>
                  <w:u w:val="none"/>
                  <w:effect w:val="none"/>
                </w:rPr>
                <w:t>Condensed Consolidated Statements of Changes in Shareholders’ Equity</w:t>
              </w:r>
            </w:hyperlink>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31">
              <w:r>
                <w:rPr>
                  <w:rStyle w:val="InternetLink"/>
                  <w:rFonts w:ascii="Times New Roman;sans-serif" w:hAnsi="Times New Roman;sans-serif"/>
                  <w:b w:val="false"/>
                  <w:strike w:val="false"/>
                  <w:dstrike w:val="false"/>
                  <w:color w:val="000000"/>
                  <w:sz w:val="20"/>
                  <w:u w:val="none"/>
                  <w:effect w:val="none"/>
                </w:rPr>
                <w:t>6</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34">
              <w:r>
                <w:rPr>
                  <w:rStyle w:val="InternetLink"/>
                  <w:rFonts w:ascii="Times New Roman;sans-serif" w:hAnsi="Times New Roman;sans-serif"/>
                  <w:b w:val="false"/>
                  <w:strike w:val="false"/>
                  <w:dstrike w:val="false"/>
                  <w:color w:val="000000"/>
                  <w:sz w:val="20"/>
                  <w:u w:val="none"/>
                  <w:effect w:val="none"/>
                </w:rPr>
                <w:t>Condensed Consolidated Statements of Cash Flows</w:t>
              </w:r>
            </w:hyperlink>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34">
              <w:r>
                <w:rPr>
                  <w:rStyle w:val="InternetLink"/>
                  <w:rFonts w:ascii="Times New Roman;sans-serif" w:hAnsi="Times New Roman;sans-serif"/>
                  <w:b w:val="false"/>
                  <w:strike w:val="false"/>
                  <w:dstrike w:val="false"/>
                  <w:color w:val="000000"/>
                  <w:sz w:val="20"/>
                  <w:u w:val="none"/>
                  <w:effect w:val="none"/>
                </w:rPr>
                <w:t>8</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37">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37">
              <w:r>
                <w:rPr>
                  <w:rStyle w:val="InternetLink"/>
                  <w:rFonts w:ascii="Times New Roman;sans-serif" w:hAnsi="Times New Roman;sans-serif"/>
                  <w:b w:val="false"/>
                  <w:strike w:val="false"/>
                  <w:dstrike w:val="false"/>
                  <w:color w:val="000000"/>
                  <w:sz w:val="20"/>
                  <w:u w:val="none"/>
                  <w:effect w:val="none"/>
                </w:rPr>
                <w:t>9</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97">
              <w:r>
                <w:rPr>
                  <w:rStyle w:val="InternetLink"/>
                  <w:rFonts w:ascii="Times New Roman;sans-serif" w:hAnsi="Times New Roman;sans-serif"/>
                  <w:b w:val="false"/>
                  <w:strike w:val="false"/>
                  <w:dstrike w:val="false"/>
                  <w:color w:val="000000"/>
                  <w:sz w:val="20"/>
                  <w:u w:val="none"/>
                  <w:effect w:val="none"/>
                </w:rPr>
                <w:t>Item 2.</w:t>
              </w:r>
            </w:hyperlink>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97">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97">
              <w:r>
                <w:rPr>
                  <w:rStyle w:val="InternetLink"/>
                  <w:rFonts w:ascii="Times New Roman;sans-serif" w:hAnsi="Times New Roman;sans-serif"/>
                  <w:b w:val="false"/>
                  <w:strike w:val="false"/>
                  <w:dstrike w:val="false"/>
                  <w:color w:val="000000"/>
                  <w:sz w:val="20"/>
                  <w:u w:val="none"/>
                  <w:effect w:val="none"/>
                </w:rPr>
                <w:t>29</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33">
              <w:r>
                <w:rPr>
                  <w:rStyle w:val="InternetLink"/>
                  <w:rFonts w:ascii="Times New Roman;sans-serif" w:hAnsi="Times New Roman;sans-serif"/>
                  <w:b w:val="false"/>
                  <w:strike w:val="false"/>
                  <w:dstrike w:val="false"/>
                  <w:color w:val="000000"/>
                  <w:sz w:val="20"/>
                  <w:u w:val="none"/>
                  <w:effect w:val="none"/>
                </w:rPr>
                <w:t>Item 3.</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33">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133">
              <w:r>
                <w:rPr>
                  <w:rStyle w:val="InternetLink"/>
                  <w:rFonts w:ascii="Times New Roman;sans-serif" w:hAnsi="Times New Roman;sans-serif"/>
                  <w:b w:val="false"/>
                  <w:strike w:val="false"/>
                  <w:dstrike w:val="false"/>
                  <w:color w:val="000000"/>
                  <w:sz w:val="20"/>
                  <w:u w:val="none"/>
                  <w:effect w:val="none"/>
                </w:rPr>
                <w:t>48</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36">
              <w:r>
                <w:rPr>
                  <w:rStyle w:val="InternetLink"/>
                  <w:rFonts w:ascii="Times New Roman;sans-serif" w:hAnsi="Times New Roman;sans-serif"/>
                  <w:b w:val="false"/>
                  <w:strike w:val="false"/>
                  <w:dstrike w:val="false"/>
                  <w:color w:val="000000"/>
                  <w:sz w:val="20"/>
                  <w:u w:val="none"/>
                  <w:effect w:val="none"/>
                </w:rPr>
                <w:t>Item 4.</w:t>
              </w:r>
            </w:hyperlink>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36">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136">
              <w:r>
                <w:rPr>
                  <w:rStyle w:val="InternetLink"/>
                  <w:rFonts w:ascii="Times New Roman;sans-serif" w:hAnsi="Times New Roman;sans-serif"/>
                  <w:b w:val="false"/>
                  <w:strike w:val="false"/>
                  <w:dstrike w:val="false"/>
                  <w:color w:val="000000"/>
                  <w:sz w:val="20"/>
                  <w:u w:val="none"/>
                  <w:effect w:val="none"/>
                </w:rPr>
                <w:t>48</w:t>
              </w:r>
            </w:hyperlink>
          </w:p>
        </w:tc>
      </w:tr>
      <w:tr>
        <w:trPr/>
        <w:tc>
          <w:tcPr>
            <w:tcW w:w="9629" w:type="dxa"/>
            <w:gridSpan w:val="9"/>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9" w:type="dxa"/>
            <w:gridSpan w:val="9"/>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i8b2419eff510402aba812c4fc6d81041_139">
              <w:r>
                <w:rPr>
                  <w:rStyle w:val="InternetLink"/>
                  <w:rFonts w:ascii="Times New Roman;sans-serif" w:hAnsi="Times New Roman;sans-serif"/>
                  <w:b/>
                  <w:color w:val="000000"/>
                  <w:sz w:val="20"/>
                  <w:u w:val="single"/>
                </w:rPr>
                <w:t>PART II - OTHER INFORMATION</w:t>
              </w:r>
            </w:hyperlink>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42">
              <w:r>
                <w:rPr>
                  <w:rStyle w:val="InternetLink"/>
                  <w:rFonts w:ascii="Times New Roman;sans-serif" w:hAnsi="Times New Roman;sans-serif"/>
                  <w:b w:val="false"/>
                  <w:strike w:val="false"/>
                  <w:dstrike w:val="false"/>
                  <w:color w:val="000000"/>
                  <w:sz w:val="20"/>
                  <w:u w:val="none"/>
                  <w:effect w:val="none"/>
                </w:rPr>
                <w:t>Item 1.</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42">
              <w:r>
                <w:rPr>
                  <w:rStyle w:val="InternetLink"/>
                  <w:rFonts w:ascii="Times New Roman;sans-serif" w:hAnsi="Times New Roman;sans-serif"/>
                  <w:b w:val="false"/>
                  <w:strike w:val="false"/>
                  <w:dstrike w:val="false"/>
                  <w:color w:val="000000"/>
                  <w:sz w:val="20"/>
                  <w:u w:val="none"/>
                  <w:effect w:val="none"/>
                </w:rPr>
                <w:t>Legal Proceedings</w:t>
              </w:r>
            </w:hyperlink>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142">
              <w:r>
                <w:rPr>
                  <w:rStyle w:val="InternetLink"/>
                  <w:rFonts w:ascii="Times New Roman;sans-serif" w:hAnsi="Times New Roman;sans-serif"/>
                  <w:b w:val="false"/>
                  <w:strike w:val="false"/>
                  <w:dstrike w:val="false"/>
                  <w:color w:val="000000"/>
                  <w:sz w:val="20"/>
                  <w:u w:val="none"/>
                  <w:effect w:val="none"/>
                </w:rPr>
                <w:t>49</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45">
              <w:r>
                <w:rPr>
                  <w:rStyle w:val="InternetLink"/>
                  <w:rFonts w:ascii="Times New Roman;sans-serif" w:hAnsi="Times New Roman;sans-serif"/>
                  <w:b w:val="false"/>
                  <w:strike w:val="false"/>
                  <w:dstrike w:val="false"/>
                  <w:color w:val="000000"/>
                  <w:sz w:val="20"/>
                  <w:u w:val="none"/>
                  <w:effect w:val="none"/>
                </w:rPr>
                <w:t>Item 1A.</w:t>
              </w:r>
            </w:hyperlink>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45">
              <w:r>
                <w:rPr>
                  <w:rStyle w:val="InternetLink"/>
                  <w:rFonts w:ascii="Times New Roman;sans-serif" w:hAnsi="Times New Roman;sans-serif"/>
                  <w:b w:val="false"/>
                  <w:strike w:val="false"/>
                  <w:dstrike w:val="false"/>
                  <w:color w:val="000000"/>
                  <w:sz w:val="20"/>
                  <w:u w:val="none"/>
                  <w:effect w:val="none"/>
                </w:rPr>
                <w:t>Risk Factors</w:t>
              </w:r>
            </w:hyperlink>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145">
              <w:r>
                <w:rPr>
                  <w:rStyle w:val="InternetLink"/>
                  <w:rFonts w:ascii="Times New Roman;sans-serif" w:hAnsi="Times New Roman;sans-serif"/>
                  <w:b w:val="false"/>
                  <w:strike w:val="false"/>
                  <w:dstrike w:val="false"/>
                  <w:color w:val="000000"/>
                  <w:sz w:val="20"/>
                  <w:u w:val="none"/>
                  <w:effect w:val="none"/>
                </w:rPr>
                <w:t>49</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48">
              <w:r>
                <w:rPr>
                  <w:rStyle w:val="InternetLink"/>
                  <w:rFonts w:ascii="Times New Roman;sans-serif" w:hAnsi="Times New Roman;sans-serif"/>
                  <w:b w:val="false"/>
                  <w:strike w:val="false"/>
                  <w:dstrike w:val="false"/>
                  <w:color w:val="000000"/>
                  <w:sz w:val="20"/>
                  <w:u w:val="none"/>
                  <w:effect w:val="none"/>
                </w:rPr>
                <w:t>Item 2.</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48">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148">
              <w:r>
                <w:rPr>
                  <w:rStyle w:val="InternetLink"/>
                  <w:rFonts w:ascii="Times New Roman;sans-serif" w:hAnsi="Times New Roman;sans-serif"/>
                  <w:b w:val="false"/>
                  <w:strike w:val="false"/>
                  <w:dstrike w:val="false"/>
                  <w:color w:val="000000"/>
                  <w:sz w:val="20"/>
                  <w:u w:val="none"/>
                  <w:effect w:val="none"/>
                </w:rPr>
                <w:t>50</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51">
              <w:r>
                <w:rPr>
                  <w:rStyle w:val="InternetLink"/>
                  <w:rFonts w:ascii="Times New Roman;sans-serif" w:hAnsi="Times New Roman;sans-serif"/>
                  <w:b w:val="false"/>
                  <w:strike w:val="false"/>
                  <w:dstrike w:val="false"/>
                  <w:color w:val="000000"/>
                  <w:sz w:val="20"/>
                  <w:u w:val="none"/>
                  <w:effect w:val="none"/>
                </w:rPr>
                <w:t>Item 3.</w:t>
              </w:r>
            </w:hyperlink>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51">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151">
              <w:r>
                <w:rPr>
                  <w:rStyle w:val="InternetLink"/>
                  <w:rFonts w:ascii="Times New Roman;sans-serif" w:hAnsi="Times New Roman;sans-serif"/>
                  <w:b w:val="false"/>
                  <w:strike w:val="false"/>
                  <w:dstrike w:val="false"/>
                  <w:color w:val="000000"/>
                  <w:sz w:val="20"/>
                  <w:u w:val="none"/>
                  <w:effect w:val="none"/>
                </w:rPr>
                <w:t>50</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54">
              <w:r>
                <w:rPr>
                  <w:rStyle w:val="InternetLink"/>
                  <w:rFonts w:ascii="Times New Roman;sans-serif" w:hAnsi="Times New Roman;sans-serif"/>
                  <w:b w:val="false"/>
                  <w:strike w:val="false"/>
                  <w:dstrike w:val="false"/>
                  <w:color w:val="000000"/>
                  <w:sz w:val="20"/>
                  <w:u w:val="none"/>
                  <w:effect w:val="none"/>
                </w:rPr>
                <w:t>Item 4.</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54">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154">
              <w:r>
                <w:rPr>
                  <w:rStyle w:val="InternetLink"/>
                  <w:rFonts w:ascii="Times New Roman;sans-serif" w:hAnsi="Times New Roman;sans-serif"/>
                  <w:b w:val="false"/>
                  <w:strike w:val="false"/>
                  <w:dstrike w:val="false"/>
                  <w:color w:val="000000"/>
                  <w:sz w:val="20"/>
                  <w:u w:val="none"/>
                  <w:effect w:val="none"/>
                </w:rPr>
                <w:t>50</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57">
              <w:r>
                <w:rPr>
                  <w:rStyle w:val="InternetLink"/>
                  <w:rFonts w:ascii="Times New Roman;sans-serif" w:hAnsi="Times New Roman;sans-serif"/>
                  <w:b w:val="false"/>
                  <w:strike w:val="false"/>
                  <w:dstrike w:val="false"/>
                  <w:color w:val="000000"/>
                  <w:sz w:val="20"/>
                  <w:u w:val="none"/>
                  <w:effect w:val="none"/>
                </w:rPr>
                <w:t>Item 5.</w:t>
              </w:r>
            </w:hyperlink>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57">
              <w:r>
                <w:rPr>
                  <w:rStyle w:val="InternetLink"/>
                  <w:rFonts w:ascii="Times New Roman;sans-serif" w:hAnsi="Times New Roman;sans-serif"/>
                  <w:b w:val="false"/>
                  <w:strike w:val="false"/>
                  <w:dstrike w:val="false"/>
                  <w:color w:val="000000"/>
                  <w:sz w:val="20"/>
                  <w:u w:val="none"/>
                  <w:effect w:val="none"/>
                </w:rPr>
                <w:t>Other Information</w:t>
              </w:r>
            </w:hyperlink>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157">
              <w:r>
                <w:rPr>
                  <w:rStyle w:val="InternetLink"/>
                  <w:rFonts w:ascii="Times New Roman;sans-serif" w:hAnsi="Times New Roman;sans-serif"/>
                  <w:b w:val="false"/>
                  <w:strike w:val="false"/>
                  <w:dstrike w:val="false"/>
                  <w:color w:val="000000"/>
                  <w:sz w:val="20"/>
                  <w:u w:val="none"/>
                  <w:effect w:val="none"/>
                </w:rPr>
                <w:t>50</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60">
              <w:r>
                <w:rPr>
                  <w:rStyle w:val="InternetLink"/>
                  <w:rFonts w:ascii="Times New Roman;sans-serif" w:hAnsi="Times New Roman;sans-serif"/>
                  <w:b w:val="false"/>
                  <w:strike w:val="false"/>
                  <w:dstrike w:val="false"/>
                  <w:color w:val="000000"/>
                  <w:sz w:val="20"/>
                  <w:u w:val="none"/>
                  <w:effect w:val="none"/>
                </w:rPr>
                <w:t>Item 6.</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60">
              <w:r>
                <w:rPr>
                  <w:rStyle w:val="InternetLink"/>
                  <w:rFonts w:ascii="Times New Roman;sans-serif" w:hAnsi="Times New Roman;sans-serif"/>
                  <w:b w:val="false"/>
                  <w:strike w:val="false"/>
                  <w:dstrike w:val="false"/>
                  <w:color w:val="000000"/>
                  <w:sz w:val="20"/>
                  <w:u w:val="none"/>
                  <w:effect w:val="none"/>
                </w:rPr>
                <w:t>Exhibits</w:t>
              </w:r>
            </w:hyperlink>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160">
              <w:r>
                <w:rPr>
                  <w:rStyle w:val="InternetLink"/>
                  <w:rFonts w:ascii="Times New Roman;sans-serif" w:hAnsi="Times New Roman;sans-serif"/>
                  <w:b w:val="false"/>
                  <w:strike w:val="false"/>
                  <w:dstrike w:val="false"/>
                  <w:color w:val="000000"/>
                  <w:sz w:val="20"/>
                  <w:u w:val="none"/>
                  <w:effect w:val="none"/>
                </w:rPr>
                <w:t>50</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b2419eff510402aba812c4fc6d81041_163">
              <w:r>
                <w:rPr>
                  <w:rStyle w:val="InternetLink"/>
                  <w:rFonts w:ascii="Times New Roman;sans-serif" w:hAnsi="Times New Roman;sans-serif"/>
                  <w:b w:val="false"/>
                  <w:strike w:val="false"/>
                  <w:dstrike w:val="false"/>
                  <w:color w:val="000000"/>
                  <w:sz w:val="20"/>
                  <w:u w:val="none"/>
                  <w:effect w:val="none"/>
                </w:rPr>
                <w:t>Signatures</w:t>
              </w:r>
            </w:hyperlink>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b2419eff510402aba812c4fc6d81041_163">
              <w:r>
                <w:rPr>
                  <w:rStyle w:val="InternetLink"/>
                  <w:rFonts w:ascii="Times New Roman;sans-serif" w:hAnsi="Times New Roman;sans-serif"/>
                  <w:b w:val="false"/>
                  <w:strike w:val="false"/>
                  <w:dstrike w:val="false"/>
                  <w:color w:val="000000"/>
                  <w:sz w:val="20"/>
                  <w:u w:val="none"/>
                  <w:effect w:val="none"/>
                </w:rPr>
                <w:t>52</w:t>
              </w:r>
            </w:hyperlink>
          </w:p>
        </w:tc>
      </w:tr>
    </w:tbl>
    <w:p>
      <w:pPr>
        <w:pStyle w:val="TextBody"/>
        <w:bidi w:val="0"/>
        <w:spacing w:before="24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on Form 10-Q,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without limitation, statements regarding: current and future health and stability of the real estate housing market and general economy; volatility of mortgage interest rates and expectations regarding the future shifts in behavior by consumers and partners; the health and status of our financial condition; anticipated future results of operations or financial performance; priorities of the Company to achieve future financial and business goals; our ability to continue to effectively navigate the markets in which it operates; anticipated future and ongoing impacts and benefits of acquisitions, partnership channel expansions, product innovations and other business decisions; health of our balance sheet to weather ongoing market transitions and any expectation to quickly re-scale in the future upon market stabilization; the Company’s ability to adopt an effective approach to manage economic and industry risk, as well as inventory health; our expectations with respect to the future success of our partnerships and our ability to drive significant growth in sales volumes through such partnerships; business strategy and plans, including plans to expand into additional markets; market opportunity and expansion and objectives of management for future operations, including statements regarding the benefits and timing of the roll out of new markets, products, or technology; and the expected diversification of funding sources, are forward-looking statements. When used in this Quarterly Report on Form 10-Q,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 </w:t>
      </w:r>
    </w:p>
    <w:p>
      <w:pPr>
        <w:pStyle w:val="TextBody"/>
        <w:bidi w:val="0"/>
        <w:spacing w:lineRule="auto" w:line="288" w:before="24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current and future health and stability of the economy, financial conditions and residential housing market, including any extended downturns or slowdowns;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changes in general economic and financial conditions (including federal monetary policy, interest rates, inflation, actual or anticipated recession, home price fluctuations, and housing inventory) that may reduce demand for our products and services, lower our profitability or reduce our access to future financings;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our real estate assets and increased competition in the U.S. residential real estate industry;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ability to operate and grow our core business products, including the ability to obtain sufficient financing and resell purchased homes;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investment of resources to pursue strategies and develop new products and services that may not prove effective or that are not attractive to customers and real estate partners or that do not allow us to compete successfully;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our ability to acquire and resell homes profitably;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our ability to grow market share in our existing markets or any new markets we may enter;</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our ability to manage our growth effectively;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our ability to access sources of capital, including debt financing and securitization funding to finance our real estate inventories and other sources of capital to finance operations and growth;</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our ability to maintain and enhance our products and brand, and to attract customers;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our ability to manage, develop and refine our technology platform, including our automated pricing and valuation technology;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ability to comply with multiple listing service rules and requirements to access and use listing data, and to maintain or establish relationships with listings and data providers;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ability to obtain or maintain licenses and permits to support our current and future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any future impact of the ongoing COVID-19 pandemic (including future variants) or other public health crises on our ability to operate, demand for our products or services, or general economic conditions;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acquisitions, strategic partnerships, joint ventures, capital-raising activities or other corporate transactions or commitments by us or our competitors;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actual or anticipated changes in technology, products, markets or services by us or our competitors;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our success in retaining or recruiting, or changes required in, our officers, key employees and/or directors;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the impact of the regulatory environment within our industry and complexities with compliance related to such environment;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changes in laws or government regulation affecting our business;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the impact of pending or any future litigation or regulatory actions.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a number of known and unknown risks and uncertainties, including, without limitation, those described in the “Risk Factors” section of this Quarterly Report on Form 10-Q and on Part I. Item 1A “Risk Factors” in our Annual Report on Form 10-K for the year ended December 31, 2022 (the “Annual Report”), our actual results or performance may be materially different from those expressed or implied by these forward-looking statements. You should not place undue reliance on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pPr>
      <w:r>
        <w:rPr>
          <w:rFonts w:ascii="Times New Roman;sans-serif" w:hAnsi="Times New Roman;sans-serif"/>
          <w:b w:val="false"/>
          <w:color w:val="000000"/>
          <w:sz w:val="18"/>
        </w:rPr>
        <w:t xml:space="preserve">(In millions, except </w:t>
      </w:r>
      <w:r>
        <w:rPr>
          <w:rFonts w:ascii="Times New Roman;sans-serif" w:hAnsi="Times New Roman;sans-serif"/>
          <w:b w:val="false"/>
          <w:color w:val="000000"/>
          <w:sz w:val="20"/>
        </w:rPr>
        <w:t>s</w:t>
      </w:r>
      <w:r>
        <w:rPr>
          <w:rFonts w:ascii="Times New Roman;sans-serif" w:hAnsi="Times New Roman;sans-serif"/>
          <w:b w:val="false"/>
          <w:color w:val="000000"/>
          <w:sz w:val="18"/>
        </w:rPr>
        <w:t>hare data)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973"/>
        <w:gridCol w:w="2319"/>
        <w:gridCol w:w="2348"/>
        <w:gridCol w:w="109"/>
        <w:gridCol w:w="109"/>
        <w:gridCol w:w="109"/>
        <w:gridCol w:w="196"/>
        <w:gridCol w:w="556"/>
        <w:gridCol w:w="109"/>
        <w:gridCol w:w="109"/>
        <w:gridCol w:w="109"/>
        <w:gridCol w:w="109"/>
        <w:gridCol w:w="226"/>
        <w:gridCol w:w="643"/>
        <w:gridCol w:w="181"/>
      </w:tblGrid>
      <w:tr>
        <w:trPr/>
        <w:tc>
          <w:tcPr>
            <w:tcW w:w="2973"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2022</w:t>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Escrow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inventory,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 ($0 and $1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Non-recourse asset-backed debt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NON-RECOURSE ASSET-BACKED DEBT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3,000,000,000 shares authorized; 657,337,566 and 637,387,025 shares issued, respectively; 657,337,566 and 637,387,025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4,148 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shareholders’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The Company’s consolidated assets at June 30, 2023 and December 31, 2022 include the following assets of certain variable interest entities (“VIEs”) that can only be used to settle the liabilities of those VIEs: Cash and cash equivalents, $1 and $—;Restricted cash, $1,663 and $636; Real estate inventory, net, $1,068 and $4,408; Escrow receivable, $12 and $29; Other current assets, $7 and $9; and Total assets of $2,751 and $5,082, respectively.</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The Company’s consolidated liabilities at June 30, 2023 and December 31, 2022 include the following liabilities for which the VIE creditors do not have recourse to Opendoor: Accounts payable and other accrued liabilities, $21 and $61; Interest payable, $1 and $11; Current portion of non-recourse asset-backed debt, $15 and $1,376; Non-recourse asset-backed debt, net of current portion, $2,527 and $3,020; and Total liabilities, $2,564 and $4,468, respectively.</w:t>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share amounts which are presented in thousands, and per share amounts)</w:t>
      </w:r>
    </w:p>
    <w:p>
      <w:pPr>
        <w:pStyle w:val="TextBody"/>
        <w:bidi w:val="0"/>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10140" w:type="dxa"/>
        <w:jc w:val="left"/>
        <w:tblInd w:w="0" w:type="dxa"/>
        <w:tblLayout w:type="fixed"/>
        <w:tblCellMar>
          <w:top w:w="28" w:type="dxa"/>
          <w:left w:w="28" w:type="dxa"/>
          <w:bottom w:w="28" w:type="dxa"/>
          <w:right w:w="28" w:type="dxa"/>
        </w:tblCellMar>
      </w:tblPr>
      <w:tblGrid>
        <w:gridCol w:w="1945"/>
        <w:gridCol w:w="1709"/>
        <w:gridCol w:w="171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marketing and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common shareholders: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w:t>
      </w:r>
    </w:p>
    <w:p>
      <w:pPr>
        <w:pStyle w:val="TextBody"/>
        <w:bidi w:val="0"/>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7905" w:type="dxa"/>
        <w:jc w:val="left"/>
        <w:tblInd w:w="0" w:type="dxa"/>
        <w:tblLayout w:type="fixed"/>
        <w:tblCellMar>
          <w:top w:w="28" w:type="dxa"/>
          <w:left w:w="28" w:type="dxa"/>
          <w:bottom w:w="28" w:type="dxa"/>
          <w:right w:w="28" w:type="dxa"/>
        </w:tblCellMar>
      </w:tblPr>
      <w:tblGrid>
        <w:gridCol w:w="1424"/>
        <w:gridCol w:w="1251"/>
        <w:gridCol w:w="1255"/>
        <w:gridCol w:w="211"/>
        <w:gridCol w:w="361"/>
        <w:gridCol w:w="109"/>
        <w:gridCol w:w="109"/>
        <w:gridCol w:w="109"/>
        <w:gridCol w:w="109"/>
        <w:gridCol w:w="211"/>
        <w:gridCol w:w="436"/>
        <w:gridCol w:w="109"/>
        <w:gridCol w:w="109"/>
        <w:gridCol w:w="109"/>
        <w:gridCol w:w="109"/>
        <w:gridCol w:w="211"/>
        <w:gridCol w:w="436"/>
        <w:gridCol w:w="109"/>
        <w:gridCol w:w="109"/>
        <w:gridCol w:w="109"/>
        <w:gridCol w:w="109"/>
        <w:gridCol w:w="211"/>
        <w:gridCol w:w="436"/>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9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number of shares)</w:t>
      </w:r>
    </w:p>
    <w:p>
      <w:pPr>
        <w:pStyle w:val="TextBody"/>
        <w:bidi w:val="0"/>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before="0" w:after="0"/>
        <w:jc w:val="center"/>
        <w:rPr/>
      </w:pPr>
      <w:r>
        <w:rPr/>
      </w:r>
    </w:p>
    <w:tbl>
      <w:tblPr>
        <w:tblW w:w="14473" w:type="dxa"/>
        <w:jc w:val="left"/>
        <w:tblInd w:w="0" w:type="dxa"/>
        <w:tblLayout w:type="fixed"/>
        <w:tblCellMar>
          <w:top w:w="28" w:type="dxa"/>
          <w:left w:w="28" w:type="dxa"/>
          <w:bottom w:w="28" w:type="dxa"/>
          <w:right w:w="28" w:type="dxa"/>
        </w:tblCellMar>
      </w:tblPr>
      <w:tblGrid>
        <w:gridCol w:w="766"/>
        <w:gridCol w:w="449"/>
        <w:gridCol w:w="451"/>
        <w:gridCol w:w="109"/>
        <w:gridCol w:w="109"/>
        <w:gridCol w:w="109"/>
        <w:gridCol w:w="109"/>
        <w:gridCol w:w="109"/>
        <w:gridCol w:w="109"/>
        <w:gridCol w:w="109"/>
        <w:gridCol w:w="109"/>
        <w:gridCol w:w="109"/>
        <w:gridCol w:w="109"/>
        <w:gridCol w:w="109"/>
        <w:gridCol w:w="255"/>
        <w:gridCol w:w="255"/>
        <w:gridCol w:w="256"/>
        <w:gridCol w:w="109"/>
        <w:gridCol w:w="871"/>
        <w:gridCol w:w="109"/>
        <w:gridCol w:w="1051"/>
        <w:gridCol w:w="109"/>
        <w:gridCol w:w="1216"/>
        <w:gridCol w:w="109"/>
        <w:gridCol w:w="525"/>
        <w:gridCol w:w="526"/>
        <w:gridCol w:w="109"/>
        <w:gridCol w:w="109"/>
        <w:gridCol w:w="109"/>
        <w:gridCol w:w="109"/>
        <w:gridCol w:w="289"/>
        <w:gridCol w:w="600"/>
        <w:gridCol w:w="162"/>
        <w:gridCol w:w="109"/>
        <w:gridCol w:w="109"/>
        <w:gridCol w:w="109"/>
        <w:gridCol w:w="196"/>
        <w:gridCol w:w="556"/>
        <w:gridCol w:w="109"/>
        <w:gridCol w:w="109"/>
        <w:gridCol w:w="109"/>
        <w:gridCol w:w="109"/>
        <w:gridCol w:w="196"/>
        <w:gridCol w:w="571"/>
        <w:gridCol w:w="109"/>
        <w:gridCol w:w="109"/>
        <w:gridCol w:w="109"/>
        <w:gridCol w:w="109"/>
        <w:gridCol w:w="196"/>
        <w:gridCol w:w="256"/>
        <w:gridCol w:w="109"/>
        <w:gridCol w:w="109"/>
        <w:gridCol w:w="109"/>
        <w:gridCol w:w="109"/>
        <w:gridCol w:w="109"/>
        <w:gridCol w:w="109"/>
        <w:gridCol w:w="196"/>
        <w:gridCol w:w="55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842" w:type="dxa"/>
            <w:gridSpan w:val="4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Shareholders’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4730" w:type="dxa"/>
            <w:gridSpan w:val="26"/>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647,607,920 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657,337,566 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sz w:val="12"/>
              </w:rPr>
            </w:pPr>
            <w:r>
              <w:rPr>
                <w:rFonts w:ascii="Times New Roman;sans-serif" w:hAnsi="Times New Roman;sans-serif"/>
                <w:b w:val="false"/>
                <w:sz w:val="12"/>
              </w:rPr>
              <w:t>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842" w:type="dxa"/>
            <w:gridSpan w:val="4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Shareholders’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4730" w:type="dxa"/>
            <w:gridSpan w:val="26"/>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637,387,025 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657,337,566 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number of shares)</w:t>
      </w:r>
    </w:p>
    <w:p>
      <w:pPr>
        <w:pStyle w:val="TextBody"/>
        <w:bidi w:val="0"/>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14473" w:type="dxa"/>
        <w:jc w:val="left"/>
        <w:tblInd w:w="0" w:type="dxa"/>
        <w:tblLayout w:type="fixed"/>
        <w:tblCellMar>
          <w:top w:w="28" w:type="dxa"/>
          <w:left w:w="28" w:type="dxa"/>
          <w:bottom w:w="28" w:type="dxa"/>
          <w:right w:w="28" w:type="dxa"/>
        </w:tblCellMar>
      </w:tblPr>
      <w:tblGrid>
        <w:gridCol w:w="766"/>
        <w:gridCol w:w="449"/>
        <w:gridCol w:w="451"/>
        <w:gridCol w:w="109"/>
        <w:gridCol w:w="109"/>
        <w:gridCol w:w="109"/>
        <w:gridCol w:w="109"/>
        <w:gridCol w:w="109"/>
        <w:gridCol w:w="109"/>
        <w:gridCol w:w="109"/>
        <w:gridCol w:w="109"/>
        <w:gridCol w:w="109"/>
        <w:gridCol w:w="109"/>
        <w:gridCol w:w="109"/>
        <w:gridCol w:w="255"/>
        <w:gridCol w:w="255"/>
        <w:gridCol w:w="256"/>
        <w:gridCol w:w="109"/>
        <w:gridCol w:w="871"/>
        <w:gridCol w:w="109"/>
        <w:gridCol w:w="1051"/>
        <w:gridCol w:w="109"/>
        <w:gridCol w:w="1216"/>
        <w:gridCol w:w="109"/>
        <w:gridCol w:w="525"/>
        <w:gridCol w:w="526"/>
        <w:gridCol w:w="109"/>
        <w:gridCol w:w="109"/>
        <w:gridCol w:w="109"/>
        <w:gridCol w:w="109"/>
        <w:gridCol w:w="289"/>
        <w:gridCol w:w="600"/>
        <w:gridCol w:w="162"/>
        <w:gridCol w:w="109"/>
        <w:gridCol w:w="109"/>
        <w:gridCol w:w="109"/>
        <w:gridCol w:w="196"/>
        <w:gridCol w:w="556"/>
        <w:gridCol w:w="109"/>
        <w:gridCol w:w="109"/>
        <w:gridCol w:w="109"/>
        <w:gridCol w:w="109"/>
        <w:gridCol w:w="196"/>
        <w:gridCol w:w="571"/>
        <w:gridCol w:w="109"/>
        <w:gridCol w:w="109"/>
        <w:gridCol w:w="109"/>
        <w:gridCol w:w="109"/>
        <w:gridCol w:w="196"/>
        <w:gridCol w:w="256"/>
        <w:gridCol w:w="109"/>
        <w:gridCol w:w="109"/>
        <w:gridCol w:w="109"/>
        <w:gridCol w:w="109"/>
        <w:gridCol w:w="109"/>
        <w:gridCol w:w="109"/>
        <w:gridCol w:w="196"/>
        <w:gridCol w:w="55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842" w:type="dxa"/>
            <w:gridSpan w:val="4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Shareholders’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4730" w:type="dxa"/>
            <w:gridSpan w:val="26"/>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622,918,512 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627,033,133 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842" w:type="dxa"/>
            <w:gridSpan w:val="4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Shareholders’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4730" w:type="dxa"/>
            <w:gridSpan w:val="26"/>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616,026,565 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627,033,133 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333" w:before="3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w:t>
      </w:r>
    </w:p>
    <w:p>
      <w:pPr>
        <w:pStyle w:val="TextBody"/>
        <w:bidi w:val="0"/>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9924" w:type="dxa"/>
        <w:jc w:val="center"/>
        <w:tblInd w:w="0" w:type="dxa"/>
        <w:tblLayout w:type="fixed"/>
        <w:tblCellMar>
          <w:top w:w="28" w:type="dxa"/>
          <w:left w:w="28" w:type="dxa"/>
          <w:bottom w:w="28" w:type="dxa"/>
          <w:right w:w="28" w:type="dxa"/>
        </w:tblCellMar>
      </w:tblPr>
      <w:tblGrid>
        <w:gridCol w:w="2836"/>
        <w:gridCol w:w="2490"/>
        <w:gridCol w:w="2504"/>
        <w:gridCol w:w="196"/>
        <w:gridCol w:w="556"/>
        <w:gridCol w:w="109"/>
        <w:gridCol w:w="109"/>
        <w:gridCol w:w="109"/>
        <w:gridCol w:w="109"/>
        <w:gridCol w:w="196"/>
        <w:gridCol w:w="556"/>
        <w:gridCol w:w="154"/>
      </w:tblGrid>
      <w:tr>
        <w:trPr/>
        <w:tc>
          <w:tcPr>
            <w:tcW w:w="2836"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cash, cash equivalents, and restricted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right of use asset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settlement of 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valuation adjustment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fair value of 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fair value adjustments and loss on sale of mortgage loans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Origination of mortgage loans held for sale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and principal collections of mortgage loans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Escrow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inventory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maturities, redemptions and paydowns of marketable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non-marketable 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non-marketable 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returns from non-marketable 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convertible senior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for ESPP</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non-recourse asset-backed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non-recourse asset-backed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other secured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other secured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loan origination fees and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early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 – Cash paid during the period for interest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DISCLOSURES OF NONCASH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capitalized for internally developed software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TO CONDENSED CONSOLIDATED BALANCE SHEETS: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1.DESCRIPTION OF BUSINESS AND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Opendoor Technologies Inc. (the “Company” and “Opendoor”) including its consolidated subsidiaries and certain variable interest entities (“VIEs”), is a managed marketplace for residential real estate. By leveraging our centralized platform, Opendoor is working towards a future that enables sellers and buyers of residential real estate to experience a simple and certain transaction that is dramatically improved from the traditional process. The Company was incorporated in Delaware on December 30, 2013.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pursuant to generally accepted accounting principles in the United States of America (“GAAP”). The condensed consolidated financial statements as of June 30, 2023 and December 31, 2022 and for the three and six month periods ended June 30, 2023 and 2022 include the accounts of Opendoor, its wholly owned subsidiaries and VIEs where the Company is the primary beneficiary. The accompanying unaudited condensed consolidated financial statements reflect all adjustments which are, in the opinion of management, necessary to a fair statement of the results for the interim periods presented. All significant intercompany accounts and transactions have been eliminated in the condensed consolidated financial statements herein.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and was accounted for as a reverse recapitalization, in accordance with GAAP.</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and these related notes should be read in conjunction with the consolidated financial statements and related notes included in the Company’s Annual Report on Form 10-K for the year ended December 31, 2022 (“Annual Report”) filed on February 23,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have a material impact on the amounts reported in the financial statements and accompanying notes. Significant estimates, assumptions and judgments made by management include, among others, the determination of the fair value of common stock, share-based awards, and inventory valuation adjustment. Management believes that the estimates and judgments upon which management relies are reasonable based upon information available to management at the time that these estimates and judgments are made. To the extent there are material differences between these estimates, assumptions and judgments and actual results, the carrying values of the Company's assets and liabilities and the results of operations will be affected. The health of the residential housing market and interest rate environment have introduced additional uncertainty with respect to judgments, estimates and assumptions, which may materially impact the estimates previously listed, among others.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Significant Risks and Uncertainties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for and pricing of its products and on the cost of capital; changes in technology, products, markets or services by the Company or its competitors;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disasters and catastrophic events;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concentrations of credit risk, consist primarily of cash and cash equivalents, restricted cash, and investments in marketable securities. The Company places cash and cash equivalents and investments with major financial institutions, which management assesses to be of high credit quality, in order to limit exposure of the Company’s investments.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 xml:space="preserve">The Company’s significant accounting policies are discussed in </w:t>
      </w:r>
      <w:r>
        <w:rPr>
          <w:color w:val="000000"/>
        </w:rPr>
        <w:t>“</w:t>
      </w:r>
      <w:r>
        <w:rPr>
          <w:rFonts w:ascii="Times New Roman;sans-serif" w:hAnsi="Times New Roman;sans-serif"/>
          <w:b w:val="false"/>
          <w:i/>
          <w:color w:val="000000"/>
          <w:sz w:val="20"/>
        </w:rPr>
        <w:t>Part II – Item 8 – Financial Statements and Supplementary Data – Note 1. Description of Business and Accounting Policies”</w:t>
      </w:r>
      <w:r>
        <w:rPr>
          <w:color w:val="000000"/>
        </w:rPr>
        <w:t xml:space="preserve"> </w:t>
      </w:r>
      <w:r>
        <w:rPr>
          <w:rFonts w:ascii="Times New Roman;sans-serif" w:hAnsi="Times New Roman;sans-serif"/>
          <w:b w:val="false"/>
          <w:color w:val="000000"/>
          <w:sz w:val="20"/>
        </w:rPr>
        <w:t>in the Annual Report. There have been no changes to these significant accounting policies for the six-month period ended June 30, 2023, except as noted below.</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 xml:space="preserve">The 0.25% convertible senior notes due in 2026 (the “2026 Notes”) issued by the Company in August 2021 are accounted for wholly as debt. The 2026 Notes have an initial carrying value equal to the net proceeds from issuance. Issuance costs associated with the 2026 Notes are amortized over the term using the effective interest method. Conversions are settled through payment of cash or a combination of cash and stock, at the Company’s option. Upon conversion, the carrying amount of the 2026 Notes, including any unamortized debt issuance costs, is reduced by cash paid, with any difference being reflected as a change in equity. There will not be any gains or losses recognized upon a conversion. Upon extinguishment of any portion of the 2026 Notes, the difference between the repurchase price of the extinguished notes and the respective net carrying amount is recorded as a gain or loss in Gain on extinguishment of debt in the condensed consolidated statements of operations. See </w:t>
      </w:r>
      <w:r>
        <w:rPr>
          <w:color w:val="000000"/>
        </w:rPr>
        <w:t>“</w:t>
      </w:r>
      <w:r>
        <w:rPr>
          <w:rFonts w:ascii="Times New Roman;sans-serif" w:hAnsi="Times New Roman;sans-serif"/>
          <w:b w:val="false"/>
          <w:i/>
          <w:color w:val="000000"/>
          <w:sz w:val="20"/>
        </w:rPr>
        <w:t xml:space="preserve">Note 5 — Credit Facilities and Long-Term Debt” </w:t>
      </w:r>
      <w:r>
        <w:rPr>
          <w:rFonts w:ascii="Times New Roman;sans-serif" w:hAnsi="Times New Roman;sans-serif"/>
          <w:b w:val="false"/>
          <w:color w:val="000000"/>
          <w:sz w:val="20"/>
        </w:rPr>
        <w:t>for details on the partial repurchase of the Company's convertible notes that occurred in the period.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and equipment and definite-lived intangible assets, among other 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The impairment loss recognized for the three and six months ended June 30, 2023 is related to impairment of certain internally developed software projects. The impairment loss recognized during the periods presented is as follows (in millions):</w:t>
      </w:r>
    </w:p>
    <w:tbl>
      <w:tblPr>
        <w:tblW w:w="6194" w:type="dxa"/>
        <w:jc w:val="left"/>
        <w:tblInd w:w="0" w:type="dxa"/>
        <w:tblLayout w:type="fixed"/>
        <w:tblCellMar>
          <w:top w:w="28" w:type="dxa"/>
          <w:left w:w="28" w:type="dxa"/>
          <w:bottom w:w="28" w:type="dxa"/>
          <w:right w:w="28" w:type="dxa"/>
        </w:tblCellMar>
      </w:tblPr>
      <w:tblGrid>
        <w:gridCol w:w="930"/>
        <w:gridCol w:w="815"/>
        <w:gridCol w:w="819"/>
        <w:gridCol w:w="211"/>
        <w:gridCol w:w="256"/>
        <w:gridCol w:w="109"/>
        <w:gridCol w:w="109"/>
        <w:gridCol w:w="109"/>
        <w:gridCol w:w="109"/>
        <w:gridCol w:w="211"/>
        <w:gridCol w:w="406"/>
        <w:gridCol w:w="109"/>
        <w:gridCol w:w="109"/>
        <w:gridCol w:w="109"/>
        <w:gridCol w:w="109"/>
        <w:gridCol w:w="211"/>
        <w:gridCol w:w="256"/>
        <w:gridCol w:w="109"/>
        <w:gridCol w:w="109"/>
        <w:gridCol w:w="109"/>
        <w:gridCol w:w="109"/>
        <w:gridCol w:w="211"/>
        <w:gridCol w:w="40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2.REAL ESTATE INVENTORY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inventory, net of applicable inventory valuation adjustments of $45 million and $459 million, as of June 30, 2023 and December 31, 2022, respectively (in millions):</w:t>
      </w:r>
    </w:p>
    <w:tbl>
      <w:tblPr>
        <w:tblW w:w="4434" w:type="dxa"/>
        <w:jc w:val="left"/>
        <w:tblInd w:w="0" w:type="dxa"/>
        <w:tblLayout w:type="fixed"/>
        <w:tblCellMar>
          <w:top w:w="28" w:type="dxa"/>
          <w:left w:w="28" w:type="dxa"/>
          <w:bottom w:w="28" w:type="dxa"/>
          <w:right w:w="28" w:type="dxa"/>
        </w:tblCellMar>
      </w:tblPr>
      <w:tblGrid>
        <w:gridCol w:w="814"/>
        <w:gridCol w:w="715"/>
        <w:gridCol w:w="720"/>
        <w:gridCol w:w="211"/>
        <w:gridCol w:w="616"/>
        <w:gridCol w:w="109"/>
        <w:gridCol w:w="109"/>
        <w:gridCol w:w="245"/>
        <w:gridCol w:w="716"/>
        <w:gridCol w:w="17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24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Listed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contract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was in contract to purchase 1,390 homes for an aggregate purchase price of $469 million.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recorded inventory valuation adjustments for real estate inventory of $14 million and $37 million, respectively, in Cost of revenue in the condensed consolidated statements of operations. During the three and six months ended June 30, 2022, the Company recorded inventory valuation adjustments for real estate inventory of $82 million and $90 million, respectively, in Cost of revenue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3.CASH, CASH EQUIVALENTS, AND INVESTMENTS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gross unrealized gains and losses, and fair value of cash, cash equivalents, and marketable securities as of June 30, 2023 and December 31, 2022, are as follows (in millions):</w:t>
      </w:r>
    </w:p>
    <w:tbl>
      <w:tblPr>
        <w:tblW w:w="9599" w:type="dxa"/>
        <w:jc w:val="left"/>
        <w:tblInd w:w="0" w:type="dxa"/>
        <w:tblLayout w:type="fixed"/>
        <w:tblCellMar>
          <w:top w:w="28" w:type="dxa"/>
          <w:left w:w="28" w:type="dxa"/>
          <w:bottom w:w="28" w:type="dxa"/>
          <w:right w:w="28" w:type="dxa"/>
        </w:tblCellMar>
      </w:tblPr>
      <w:tblGrid>
        <w:gridCol w:w="774"/>
        <w:gridCol w:w="680"/>
        <w:gridCol w:w="690"/>
        <w:gridCol w:w="211"/>
        <w:gridCol w:w="616"/>
        <w:gridCol w:w="109"/>
        <w:gridCol w:w="109"/>
        <w:gridCol w:w="109"/>
        <w:gridCol w:w="109"/>
        <w:gridCol w:w="257"/>
        <w:gridCol w:w="495"/>
        <w:gridCol w:w="134"/>
        <w:gridCol w:w="109"/>
        <w:gridCol w:w="109"/>
        <w:gridCol w:w="109"/>
        <w:gridCol w:w="257"/>
        <w:gridCol w:w="495"/>
        <w:gridCol w:w="134"/>
        <w:gridCol w:w="109"/>
        <w:gridCol w:w="109"/>
        <w:gridCol w:w="109"/>
        <w:gridCol w:w="211"/>
        <w:gridCol w:w="616"/>
        <w:gridCol w:w="109"/>
        <w:gridCol w:w="109"/>
        <w:gridCol w:w="109"/>
        <w:gridCol w:w="109"/>
        <w:gridCol w:w="267"/>
        <w:gridCol w:w="779"/>
        <w:gridCol w:w="139"/>
        <w:gridCol w:w="109"/>
        <w:gridCol w:w="109"/>
        <w:gridCol w:w="109"/>
        <w:gridCol w:w="271"/>
        <w:gridCol w:w="521"/>
        <w:gridCol w:w="199"/>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144"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Cost</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Cash and Cash</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Marketable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tc>
      </w:tr>
      <w:tr>
        <w:trPr/>
        <w:tc>
          <w:tcPr>
            <w:tcW w:w="2144"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99" w:type="dxa"/>
        <w:jc w:val="left"/>
        <w:tblInd w:w="0" w:type="dxa"/>
        <w:tblLayout w:type="fixed"/>
        <w:tblCellMar>
          <w:top w:w="28" w:type="dxa"/>
          <w:left w:w="28" w:type="dxa"/>
          <w:bottom w:w="28" w:type="dxa"/>
          <w:right w:w="28" w:type="dxa"/>
        </w:tblCellMar>
      </w:tblPr>
      <w:tblGrid>
        <w:gridCol w:w="774"/>
        <w:gridCol w:w="680"/>
        <w:gridCol w:w="690"/>
        <w:gridCol w:w="211"/>
        <w:gridCol w:w="616"/>
        <w:gridCol w:w="109"/>
        <w:gridCol w:w="109"/>
        <w:gridCol w:w="109"/>
        <w:gridCol w:w="109"/>
        <w:gridCol w:w="257"/>
        <w:gridCol w:w="495"/>
        <w:gridCol w:w="134"/>
        <w:gridCol w:w="109"/>
        <w:gridCol w:w="109"/>
        <w:gridCol w:w="109"/>
        <w:gridCol w:w="257"/>
        <w:gridCol w:w="495"/>
        <w:gridCol w:w="134"/>
        <w:gridCol w:w="109"/>
        <w:gridCol w:w="109"/>
        <w:gridCol w:w="109"/>
        <w:gridCol w:w="211"/>
        <w:gridCol w:w="616"/>
        <w:gridCol w:w="109"/>
        <w:gridCol w:w="109"/>
        <w:gridCol w:w="109"/>
        <w:gridCol w:w="109"/>
        <w:gridCol w:w="267"/>
        <w:gridCol w:w="779"/>
        <w:gridCol w:w="139"/>
        <w:gridCol w:w="109"/>
        <w:gridCol w:w="109"/>
        <w:gridCol w:w="109"/>
        <w:gridCol w:w="251"/>
        <w:gridCol w:w="555"/>
        <w:gridCol w:w="185"/>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44"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Cost</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Cash and Cash</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Marketable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tc>
      </w:tr>
      <w:tr>
        <w:trPr/>
        <w:tc>
          <w:tcPr>
            <w:tcW w:w="2144"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the Company recognized $6 million and $7 million of net unrealized gains, respectively, in the condensed consolidated statements of operations related to marketable equity securities held as of June 30, 2023. During the three and six months ended June 30, 2022, the Company recognized $3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million of net unrealized losses, respectively, in the condensed consolidated statements of operations related to marketable equity securities held as of June 30, 2022.</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debt securities with unrealized losses aggregated by period of continuous unrealized loss is as follows (in millions):</w:t>
      </w:r>
    </w:p>
    <w:tbl>
      <w:tblPr>
        <w:tblW w:w="9472" w:type="dxa"/>
        <w:jc w:val="left"/>
        <w:tblInd w:w="0" w:type="dxa"/>
        <w:tblLayout w:type="fixed"/>
        <w:tblCellMar>
          <w:top w:w="28" w:type="dxa"/>
          <w:left w:w="28" w:type="dxa"/>
          <w:bottom w:w="28" w:type="dxa"/>
          <w:right w:w="28" w:type="dxa"/>
        </w:tblCellMar>
      </w:tblPr>
      <w:tblGrid>
        <w:gridCol w:w="773"/>
        <w:gridCol w:w="681"/>
        <w:gridCol w:w="690"/>
        <w:gridCol w:w="109"/>
        <w:gridCol w:w="109"/>
        <w:gridCol w:w="109"/>
        <w:gridCol w:w="257"/>
        <w:gridCol w:w="495"/>
        <w:gridCol w:w="133"/>
        <w:gridCol w:w="109"/>
        <w:gridCol w:w="109"/>
        <w:gridCol w:w="109"/>
        <w:gridCol w:w="257"/>
        <w:gridCol w:w="495"/>
        <w:gridCol w:w="134"/>
        <w:gridCol w:w="109"/>
        <w:gridCol w:w="109"/>
        <w:gridCol w:w="109"/>
        <w:gridCol w:w="274"/>
        <w:gridCol w:w="470"/>
        <w:gridCol w:w="141"/>
        <w:gridCol w:w="112"/>
        <w:gridCol w:w="112"/>
        <w:gridCol w:w="112"/>
        <w:gridCol w:w="316"/>
        <w:gridCol w:w="406"/>
        <w:gridCol w:w="164"/>
        <w:gridCol w:w="109"/>
        <w:gridCol w:w="109"/>
        <w:gridCol w:w="109"/>
        <w:gridCol w:w="274"/>
        <w:gridCol w:w="469"/>
        <w:gridCol w:w="141"/>
        <w:gridCol w:w="109"/>
        <w:gridCol w:w="109"/>
        <w:gridCol w:w="109"/>
        <w:gridCol w:w="308"/>
        <w:gridCol w:w="396"/>
        <w:gridCol w:w="227"/>
      </w:tblGrid>
      <w:tr>
        <w:trPr/>
        <w:tc>
          <w:tcPr>
            <w:tcW w:w="7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62" w:type="dxa"/>
        <w:jc w:val="left"/>
        <w:tblInd w:w="0" w:type="dxa"/>
        <w:tblLayout w:type="fixed"/>
        <w:tblCellMar>
          <w:top w:w="28" w:type="dxa"/>
          <w:left w:w="28" w:type="dxa"/>
          <w:bottom w:w="28" w:type="dxa"/>
          <w:right w:w="28" w:type="dxa"/>
        </w:tblCellMar>
      </w:tblPr>
      <w:tblGrid>
        <w:gridCol w:w="775"/>
        <w:gridCol w:w="684"/>
        <w:gridCol w:w="686"/>
        <w:gridCol w:w="109"/>
        <w:gridCol w:w="109"/>
        <w:gridCol w:w="109"/>
        <w:gridCol w:w="274"/>
        <w:gridCol w:w="469"/>
        <w:gridCol w:w="141"/>
        <w:gridCol w:w="109"/>
        <w:gridCol w:w="109"/>
        <w:gridCol w:w="109"/>
        <w:gridCol w:w="257"/>
        <w:gridCol w:w="495"/>
        <w:gridCol w:w="134"/>
        <w:gridCol w:w="109"/>
        <w:gridCol w:w="109"/>
        <w:gridCol w:w="109"/>
        <w:gridCol w:w="237"/>
        <w:gridCol w:w="525"/>
        <w:gridCol w:w="122"/>
        <w:gridCol w:w="109"/>
        <w:gridCol w:w="109"/>
        <w:gridCol w:w="109"/>
        <w:gridCol w:w="316"/>
        <w:gridCol w:w="406"/>
        <w:gridCol w:w="164"/>
        <w:gridCol w:w="109"/>
        <w:gridCol w:w="109"/>
        <w:gridCol w:w="109"/>
        <w:gridCol w:w="237"/>
        <w:gridCol w:w="525"/>
        <w:gridCol w:w="122"/>
        <w:gridCol w:w="109"/>
        <w:gridCol w:w="109"/>
        <w:gridCol w:w="109"/>
        <w:gridCol w:w="308"/>
        <w:gridCol w:w="396"/>
        <w:gridCol w:w="227"/>
      </w:tblGrid>
      <w:tr>
        <w:trPr/>
        <w:tc>
          <w:tcPr>
            <w:tcW w:w="7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Losses</w:t>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unrealized losses of the Company's available-for-sale debt securities as of June 30, 2023 and December 31, 2022 were $2 million and $4 million, respectively. These unrealized losses are associated with the Company’s investments in corporate debt securities and were due to interest rate increases, and not credit-related events. The Company does not expect to be required to sell the investments before recovery of the amortized cost bases. As such, no allowance for credit losses is required as of June 30, 2023 or December 31, 2022.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scheduled contractual maturities of debt securities as of June 30, 2023 are as follows (in millions):</w:t>
      </w:r>
    </w:p>
    <w:tbl>
      <w:tblPr>
        <w:tblW w:w="5426" w:type="dxa"/>
        <w:jc w:val="left"/>
        <w:tblInd w:w="0" w:type="dxa"/>
        <w:tblLayout w:type="fixed"/>
        <w:tblCellMar>
          <w:top w:w="28" w:type="dxa"/>
          <w:left w:w="28" w:type="dxa"/>
          <w:bottom w:w="28" w:type="dxa"/>
          <w:right w:w="28" w:type="dxa"/>
        </w:tblCellMar>
      </w:tblPr>
      <w:tblGrid>
        <w:gridCol w:w="773"/>
        <w:gridCol w:w="681"/>
        <w:gridCol w:w="690"/>
        <w:gridCol w:w="109"/>
        <w:gridCol w:w="109"/>
        <w:gridCol w:w="109"/>
        <w:gridCol w:w="274"/>
        <w:gridCol w:w="469"/>
        <w:gridCol w:w="141"/>
        <w:gridCol w:w="109"/>
        <w:gridCol w:w="109"/>
        <w:gridCol w:w="109"/>
        <w:gridCol w:w="211"/>
        <w:gridCol w:w="361"/>
        <w:gridCol w:w="109"/>
        <w:gridCol w:w="109"/>
        <w:gridCol w:w="109"/>
        <w:gridCol w:w="109"/>
        <w:gridCol w:w="250"/>
        <w:gridCol w:w="303"/>
        <w:gridCol w:w="183"/>
      </w:tblGrid>
      <w:tr>
        <w:trPr/>
        <w:tc>
          <w:tcPr>
            <w:tcW w:w="7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6"/>
              </w:rPr>
            </w:pPr>
            <w:r>
              <w:rPr>
                <w:rFonts w:ascii="Times New Roman;sans-serif" w:hAnsi="Times New Roman;sans-serif"/>
                <w:b/>
                <w:color w:val="000000"/>
                <w:sz w:val="16"/>
              </w:rPr>
              <w:t>Within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After</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1 Year</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through</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5 Years</w:t>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non-marketable equity securities and equity method investment balances as of June 30, 2023 and December 31, 2022 are as follows (in millions):</w:t>
      </w:r>
    </w:p>
    <w:tbl>
      <w:tblPr>
        <w:tblW w:w="4774" w:type="dxa"/>
        <w:jc w:val="left"/>
        <w:tblInd w:w="0" w:type="dxa"/>
        <w:tblLayout w:type="fixed"/>
        <w:tblCellMar>
          <w:top w:w="28" w:type="dxa"/>
          <w:left w:w="28" w:type="dxa"/>
          <w:bottom w:w="28" w:type="dxa"/>
          <w:right w:w="28" w:type="dxa"/>
        </w:tblCellMar>
      </w:tblPr>
      <w:tblGrid>
        <w:gridCol w:w="1016"/>
        <w:gridCol w:w="893"/>
        <w:gridCol w:w="896"/>
        <w:gridCol w:w="223"/>
        <w:gridCol w:w="382"/>
        <w:gridCol w:w="115"/>
        <w:gridCol w:w="109"/>
        <w:gridCol w:w="331"/>
        <w:gridCol w:w="567"/>
        <w:gridCol w:w="24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05"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4.VARIABLE INTEREST ENTITIES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VIEs in the normal course of business to support the Company’s financing needs. The Company determines whether the Company is the primary beneficiary of a VIE at the time it becomes involved with the VIE and reconsiders that conclusion on an on-going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assets and liabilities related to the VIEs consolidated by the Company as of June 30, 2023 and December 31, 2022 (in millions):</w:t>
      </w:r>
    </w:p>
    <w:tbl>
      <w:tblPr>
        <w:tblW w:w="5088" w:type="dxa"/>
        <w:jc w:val="left"/>
        <w:tblInd w:w="0" w:type="dxa"/>
        <w:tblLayout w:type="fixed"/>
        <w:tblCellMar>
          <w:top w:w="28" w:type="dxa"/>
          <w:left w:w="28" w:type="dxa"/>
          <w:bottom w:w="28" w:type="dxa"/>
          <w:right w:w="28" w:type="dxa"/>
        </w:tblCellMar>
      </w:tblPr>
      <w:tblGrid>
        <w:gridCol w:w="970"/>
        <w:gridCol w:w="854"/>
        <w:gridCol w:w="861"/>
        <w:gridCol w:w="211"/>
        <w:gridCol w:w="616"/>
        <w:gridCol w:w="109"/>
        <w:gridCol w:w="109"/>
        <w:gridCol w:w="109"/>
        <w:gridCol w:w="109"/>
        <w:gridCol w:w="245"/>
        <w:gridCol w:w="716"/>
        <w:gridCol w:w="179"/>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Non-recourse asset-backed debt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escrow receivable and other current assets.</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accounts payable and other accrued liabilities and interest payable.</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 xml:space="preserve">The creditors of the VIEs generally do not have recourse to the Company’s general credit solely by virtue of being creditors of the VIEs. However, certain of the financial covenants included in the inventory financing facilities to which the VIEs are party are calculated by reference to Opendoor Labs Inc. and its consolidated subsidiaries' assets and liabilities. As a result, under certain circumstances, this may limit the Company's flexibility to transfer assets from Opendoor subsidiaries to the Parent Company. See </w:t>
      </w:r>
      <w:r>
        <w:rPr>
          <w:color w:val="000000"/>
        </w:rPr>
        <w:t>“</w:t>
      </w:r>
      <w:r>
        <w:rPr>
          <w:rFonts w:ascii="Times New Roman;sans-serif" w:hAnsi="Times New Roman;sans-serif"/>
          <w:b w:val="false"/>
          <w:i/>
          <w:color w:val="000000"/>
          <w:sz w:val="20"/>
        </w:rPr>
        <w:t>Note 5 — Credit Facilities and Long-Term Debt”</w:t>
      </w:r>
      <w:r>
        <w:rPr>
          <w:color w:val="000000"/>
        </w:rPr>
        <w:t xml:space="preserve"> </w:t>
      </w:r>
      <w:r>
        <w:rPr>
          <w:rFonts w:ascii="Times New Roman;sans-serif" w:hAnsi="Times New Roman;sans-serif"/>
          <w:b w:val="false"/>
          <w:color w:val="000000"/>
          <w:sz w:val="20"/>
        </w:rPr>
        <w:t>for further discussion of the recourse obligations with respect to the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5.CREDIT FACILITIES AND LONG-TERM DEBT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certain details related to the Company's credit facilities and long-term debt as of June 30, 2023 and December 31, 2022 (in millions, except interest rates):</w:t>
      </w:r>
    </w:p>
    <w:tbl>
      <w:tblPr>
        <w:tblW w:w="10205" w:type="dxa"/>
        <w:jc w:val="left"/>
        <w:tblInd w:w="0" w:type="dxa"/>
        <w:tblLayout w:type="fixed"/>
        <w:tblCellMar>
          <w:top w:w="28" w:type="dxa"/>
          <w:left w:w="28" w:type="dxa"/>
          <w:bottom w:w="28" w:type="dxa"/>
          <w:right w:w="28" w:type="dxa"/>
        </w:tblCellMar>
      </w:tblPr>
      <w:tblGrid>
        <w:gridCol w:w="658"/>
        <w:gridCol w:w="579"/>
        <w:gridCol w:w="567"/>
        <w:gridCol w:w="109"/>
        <w:gridCol w:w="109"/>
        <w:gridCol w:w="109"/>
        <w:gridCol w:w="196"/>
        <w:gridCol w:w="646"/>
        <w:gridCol w:w="109"/>
        <w:gridCol w:w="109"/>
        <w:gridCol w:w="109"/>
        <w:gridCol w:w="109"/>
        <w:gridCol w:w="196"/>
        <w:gridCol w:w="406"/>
        <w:gridCol w:w="109"/>
        <w:gridCol w:w="109"/>
        <w:gridCol w:w="109"/>
        <w:gridCol w:w="109"/>
        <w:gridCol w:w="239"/>
        <w:gridCol w:w="678"/>
        <w:gridCol w:w="134"/>
        <w:gridCol w:w="109"/>
        <w:gridCol w:w="109"/>
        <w:gridCol w:w="109"/>
        <w:gridCol w:w="297"/>
        <w:gridCol w:w="259"/>
        <w:gridCol w:w="458"/>
        <w:gridCol w:w="109"/>
        <w:gridCol w:w="109"/>
        <w:gridCol w:w="109"/>
        <w:gridCol w:w="539"/>
        <w:gridCol w:w="539"/>
        <w:gridCol w:w="541"/>
        <w:gridCol w:w="109"/>
        <w:gridCol w:w="109"/>
        <w:gridCol w:w="109"/>
        <w:gridCol w:w="355"/>
        <w:gridCol w:w="303"/>
        <w:gridCol w:w="435"/>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Borrowing</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End of Revolving / Withdrawal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Final Maturity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October 20,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October 20, 2025</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31, 2023</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8, 2023</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4, 2025</w:t>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Term Debt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January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2025</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10, 2025</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January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31, 2027</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March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 2025</w:t>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Mezzanine Term Debt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2020-M1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2026</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2022-M1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15, 2026</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Non-Recourse Asset-backed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7478" w:type="dxa"/>
        <w:jc w:val="left"/>
        <w:tblInd w:w="0" w:type="dxa"/>
        <w:tblLayout w:type="fixed"/>
        <w:tblCellMar>
          <w:top w:w="28" w:type="dxa"/>
          <w:left w:w="28" w:type="dxa"/>
          <w:bottom w:w="28" w:type="dxa"/>
          <w:right w:w="28" w:type="dxa"/>
        </w:tblCellMar>
      </w:tblPr>
      <w:tblGrid>
        <w:gridCol w:w="1230"/>
        <w:gridCol w:w="1086"/>
        <w:gridCol w:w="1089"/>
        <w:gridCol w:w="109"/>
        <w:gridCol w:w="109"/>
        <w:gridCol w:w="109"/>
        <w:gridCol w:w="196"/>
        <w:gridCol w:w="556"/>
        <w:gridCol w:w="109"/>
        <w:gridCol w:w="109"/>
        <w:gridCol w:w="109"/>
        <w:gridCol w:w="109"/>
        <w:gridCol w:w="239"/>
        <w:gridCol w:w="678"/>
        <w:gridCol w:w="134"/>
        <w:gridCol w:w="109"/>
        <w:gridCol w:w="109"/>
        <w:gridCol w:w="109"/>
        <w:gridCol w:w="280"/>
        <w:gridCol w:w="276"/>
        <w:gridCol w:w="624"/>
      </w:tblGrid>
      <w:tr>
        <w:trPr/>
        <w:tc>
          <w:tcPr>
            <w:tcW w:w="123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Interest Rate</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Term Debt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Mezzanine Term Debt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2020-M1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2022-M1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Non-Recourse Asset-backed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Non-Recourse Asset-backed Debt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inventory financing facilities consisting of asset-backed senior debt facilities and asset-backed mezzanine term debt facilities to provide financing for the Company’s real estate inventory purchases and renovation. These inventory financing facilities are typically secured by some combination of restricted cash, equity in real estate owning subsidiaries and related holding companies, and, for senior facilities, the real estate inventory financed by the relevant facility and/or beneficial interests in such inventory.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borrowers under the inventory financing facilities is a consolidated subsidiary of Opendoor and a separate legal entity. Neither the assets nor credit of any such borrower subsidiaries are generally available to satisfy the debts and other obligations of any other Opendoor entities. The inventory financing facilities are non-recourse to the Company and are non-recourse to Opendoor subsidiaries not party to the relevant facilities, except for limited guarantees provided by an Opendoor subsidiary for certain obligations in situations involving “bad acts” by an Opendoor entity and certain other limited circumstances.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total borrowing capacity with respect to its non-recourse asset-backed debt of $10.1 billion. Borrowing capacity amounts under non-recourse asset-backed debt as reflected in the table above are in some cases not fully committed and any borrowings above the committed amounts are subject to the applicable lender’s discretion. Any amounts repaid for senior term and mezzanine term debt facilities reduce total borrowing capacity as repaid amounts are not available to be reborrowed. As of June 30, 2023, the Company had committed borrowing capacity with respect to the Company’s non-recourse asset-backed debt of $4.3 billion; this committed borrowing capacity is comprised of $1.7 billion for senior revolving credit facilities, $1.6 billion for senior term debt facilities, and $950 million for mezzanine term debt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Asset-backed Senior Revolving Credit Facilities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the senior revolving credit facilities as current liabilities on the Company’s condensed consolidated balance sheets as amounts drawn to acquire and renovate homes are required to be repaid as the related real estate inventory is sold, which the Company expects to occur within 12 months.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revolving credit facilities are typically structured with an initial revolving period of up to 24 months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 The Company has entered into short-term extensions under Revolving Facilities 2019-1 and 2019-2 with the intention of entering into longer duration renewals with respect to each facility.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senior revolving credit facilities accrue interest at various floating rates based on a London Interbank Offered Rate ("LIBOR") or a secured overnight financing rate ("SOFR"), plus a margin that varies by facility. Effective November 2022, all such floating rates are based on SOFR. The Company may also pay fees on certain unused portions of committed borrowing capacity.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breakage costs.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or the performance of the properties financed under that facility declines, and any borrowing base deficiencies may be satisfied through contributions of additional properties or partial repayment of the facility.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Asset-backed Senior Term Debt Facilities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senior term debt facilities as non-current liabilities on the Company’s condensed consolidated balance sheets because its borrowings under these facilities are generally not required to be repaid until the final maturity date.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senior term debt facilities are typically structured with an initial withdrawal period up to 60 months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senior term debt facilities accrue interest at a fixed rate with the exception of Term Debt Facility 2022-S2, which accrued interest at a floating rate based on SOFR plus a margin. The Company's senior term debt facilities may include upfront issuance costs that are capitalized as part of the facilities' respective carrying values. These facilities are fully prepayable at any time but may be subject to certain customary prepayment penalties.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senior term debt facilities have aggregated property borrowing bases, which increase or decrease based on the cost and value of the properties financed under a given facility, the time those properties are in the Company’s possession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cash or through partial repayment of the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Asset-backed Mezzanine Term Debt Facilities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mezzanine term debt facilities as long-term liabilities on the Company’s condensed consolidated balance sheets because its borrowings under these facilities are generally not required to be repaid until the applicable final maturity date. These facilities are structurally and contractually subordinated to the related asset-backed senior debt facilities.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mezzanine term debt facilities have been structured with an initial 42-month withdrawal period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a given term debt facility accrue interest at a fixed rate. The mezzanine term debt facilities include upfront issuance costs that are capitalized as part of the facilities’ respective carrying values. These facilities are fully prepayable at any time but may be subject to certain prepayment penalties.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mezzanine term debt facilities have aggregated property borrowing bases, which increase or decrease based on the cost and the value of the properties financed under a given facility and time in the Company’s possession of those properties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or cash or through partial repayment of the facility.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inventory financing facilities include customary representations and warranties, covenants and events of default. Financed properties are subject to customary eligibility criteria and concentration limits.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these inventory financing facilities and related financing documents require an Opendoor subsidiary to comply with customary financial covenants, such as maintaining certain levels of liquidity, tangible net worth or leverage (ratio of debt to tangible net worth). Certain of these financial covenants are calculated by reference to Opendoor Labs Inc. and its consolidates subsidiaries' assets and liabilities. As a result, under certain circumstances, this may limit our flexibility to transfer assets from Opendoor subsidiaries to the Parent Company. At June 30, 2023 and December 31, 2022, $500 million and $565 million, respectively, of the Company’s net assets were restricted as they reflect minimum net asset requirements at Opendoor Labs Inc. As of June 30, 2023, the Company was in compliance with all financial covenants and no event of default had occurred.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Mortgage Financing</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Company ceased providing correspondent lending or mortgage brokering services. As a result, the Company no longer requires mortgage financing and terminated its master repurchase agreement (the “Repurchase Agreement”) in October 2022.</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From March 2019 through its exit of mortgage lending and brokering services, the Company utilized the Repurchase Agreement to provide capital for Opendoor Home Loans. The facility, which was classified as a current liability on the Company’s condensed consolidated balance sheets, provided short-term financing between the issuance of a mortgage loan and when Opendoor Home Loans sold the loan to an investor. In accordance with the Repurchase Agreement, the lender agreed to pay Opendoor Home Loans a negotiated purchase price for eligible loans and Opendoor Home Loans simultaneously agreed to repurchase such loans from the lender within a specified timeframe and at an agreed upon price that included interest. Opendoor Labs Inc. was the guarantor with respect to the Repurchase Agreement and the obligation to repurchase loans previously transferred under the arrangement for the benefit of the lender. This financing arrangement was an important component of Opendoor Home Loans’ operations as a correspondent lender.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issued 0.25% senior notes due in 2026 (the “2026 Notes”) with an aggregate principal amount of $978 million. The tables below summarize certain details related to the 2026 Notes (in millions, except interest rates):</w:t>
      </w:r>
    </w:p>
    <w:tbl>
      <w:tblPr>
        <w:tblW w:w="9424" w:type="dxa"/>
        <w:jc w:val="left"/>
        <w:tblInd w:w="0" w:type="dxa"/>
        <w:tblLayout w:type="fixed"/>
        <w:tblCellMar>
          <w:top w:w="28" w:type="dxa"/>
          <w:left w:w="28" w:type="dxa"/>
          <w:bottom w:w="28" w:type="dxa"/>
          <w:right w:w="28" w:type="dxa"/>
        </w:tblCellMar>
      </w:tblPr>
      <w:tblGrid>
        <w:gridCol w:w="411"/>
        <w:gridCol w:w="362"/>
        <w:gridCol w:w="367"/>
        <w:gridCol w:w="109"/>
        <w:gridCol w:w="109"/>
        <w:gridCol w:w="109"/>
        <w:gridCol w:w="810"/>
        <w:gridCol w:w="1796"/>
        <w:gridCol w:w="424"/>
        <w:gridCol w:w="109"/>
        <w:gridCol w:w="109"/>
        <w:gridCol w:w="109"/>
        <w:gridCol w:w="899"/>
        <w:gridCol w:w="1153"/>
        <w:gridCol w:w="467"/>
        <w:gridCol w:w="109"/>
        <w:gridCol w:w="109"/>
        <w:gridCol w:w="109"/>
        <w:gridCol w:w="445"/>
        <w:gridCol w:w="984"/>
        <w:gridCol w:w="325"/>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Remaining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4"/>
        <w:gridCol w:w="228"/>
        <w:gridCol w:w="231"/>
        <w:gridCol w:w="109"/>
        <w:gridCol w:w="109"/>
        <w:gridCol w:w="109"/>
        <w:gridCol w:w="341"/>
        <w:gridCol w:w="341"/>
        <w:gridCol w:w="342"/>
        <w:gridCol w:w="109"/>
        <w:gridCol w:w="109"/>
        <w:gridCol w:w="109"/>
        <w:gridCol w:w="391"/>
        <w:gridCol w:w="256"/>
        <w:gridCol w:w="639"/>
        <w:gridCol w:w="109"/>
        <w:gridCol w:w="109"/>
        <w:gridCol w:w="109"/>
        <w:gridCol w:w="360"/>
        <w:gridCol w:w="249"/>
        <w:gridCol w:w="623"/>
        <w:gridCol w:w="109"/>
        <w:gridCol w:w="109"/>
        <w:gridCol w:w="109"/>
        <w:gridCol w:w="562"/>
        <w:gridCol w:w="562"/>
        <w:gridCol w:w="564"/>
        <w:gridCol w:w="109"/>
        <w:gridCol w:w="109"/>
        <w:gridCol w:w="109"/>
        <w:gridCol w:w="358"/>
        <w:gridCol w:w="358"/>
        <w:gridCol w:w="359"/>
        <w:gridCol w:w="109"/>
        <w:gridCol w:w="109"/>
        <w:gridCol w:w="109"/>
        <w:gridCol w:w="244"/>
        <w:gridCol w:w="713"/>
        <w:gridCol w:w="188"/>
      </w:tblGrid>
      <w:tr>
        <w:trPr/>
        <w:tc>
          <w:tcPr>
            <w:tcW w:w="3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Stated Cash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Semi-Annual Interest Payment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Conversion Price</w:t>
            </w:r>
          </w:p>
        </w:tc>
      </w:tr>
      <w:tr>
        <w:trPr/>
        <w:tc>
          <w:tcPr>
            <w:tcW w:w="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15; August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will be convertible at the option of the holders before February 15, 2026 only upon the occurrence of certain events. Beginning on August 20, 2024, the Company has the option to redeem the 2026 Notes upon meeting certain conditions related to price of the Company's common stock. Beginning on February 15, 2026 and until the close of business on the second scheduled trading day immediately preceding the maturity date, the 2026 Notes are convertible at any time at election of each holder. The conversion rate and conversion price are subject to customary adjustments under certain circumstances. In addition, if certain corporate events that constitute a make-whole fundamental change occur, then the conversion rate will be adjusted in accordance with the make-whole table within the Indenture. Upon conversion, the Company may satisfy its obligation by paying cash for the outstanding principal balance, and, a combination of cash and the Company's common stock, at the Company's election, for the remaining amount, if any, based on the applicable conversion rate.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entered into separate, privately negotiated transactions to repurchase a portion of the outstanding 2026 Notes (“Repurchased 2026 Notes”). The holders of the Repurchased 2026 Notes exchanged $189 million in aggregate principal amount for an aggregate payment of $101 million in cash for full settlement of the principal value and accrued interest on such date. The Company accounted for the repurchase as a debt extinguishment. Accordingly, on the repurchase date, the Company: (i) reduced the carrying value of the Repurchased 2026 Notes by $189 million, (ii) reduced outstanding deferred issuance costs by $3 million, (iii) incurred fees of $1 million and (iv) recorded $84 million of gain on debt extinguishment. The Company elected to leave the Capped Calls associated with the Repurchased 2026 Notes outstanding.</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the Company entered into separate, privately negotiated transactions to repurchase a portion of the outstanding 2026 Notes (“Additional Repurchased 2026 Notes”). The holders of the Additional Repurchased 2026 Notes exchanged $279 million in aggregate principal amount for an aggregate payment of $169 million in cash for full settlement of the principal value and accrued interest on such date. The Company accounted for the repurchase as a debt extinguishment. Accordingly, on the repurchase date, the Company: (i) reduced the carrying value of the Additional Repurchased 2026 Notes by $279 million, (ii) reduced outstanding deferred issuance costs by $5 million, (iii) incurred fees of $1 million and (iv) recorded $104 million of gain on debt extinguishment. The Company elected to leave the Capped Calls associated with the Additional Repurchased 2026 Notes outstanding.</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total interest expense on the Company's convertible senior notes was $1 million and $3 million, respectively. For the three and six months ended June 30, 2022, total interest expense on the Company's convertible senior notes was $2 million and $4 million, respectively.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Capped Calls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in connection with the issuance of the 2026 Notes, the Company purchased capped calls (the “Capped Calls”) from certain financial institutions at a cost of $119 million. The Capped Calls cover, subject to customary adjustments, the number of shares of the Company's common stock underlying the 2026 Notes. By entering into the Capped Calls, the Company expects to reduce the potential dilution to its common stock (or, in the event of a conversion of the 2026 Notes settled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cash, to reduce its cash payment obligation) in the event that at the time of conversion of the 2026 Notes its common stock price exceeds the conversion price. The Capped Calls have an initial strike price of $19.23 per share and an initial cap price of $29.59 per share or a cap price premium of 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6.FAIR VALUE DISCLOSURES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fair value measurements to record fair value adjustments to certain assets and liabilities and to determine fair value disclosures.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Hierarchy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measurements of assets and liabilities are categorized based on the following hierarchy:</w:t>
      </w:r>
    </w:p>
    <w:p>
      <w:pPr>
        <w:pStyle w:val="TextBody"/>
        <w:bidi w:val="0"/>
        <w:spacing w:lineRule="auto" w:line="288" w:before="240" w:after="283"/>
        <w:ind w:left="0" w:right="0" w:firstLine="450"/>
        <w:jc w:val="left"/>
        <w:rPr/>
      </w:pPr>
      <w:r>
        <w:rPr>
          <w:rFonts w:ascii="Times New Roman;sans-serif" w:hAnsi="Times New Roman;sans-serif"/>
          <w:b/>
          <w:i/>
          <w:color w:val="000000"/>
          <w:sz w:val="20"/>
        </w:rPr>
        <w:t>Level 1 —</w:t>
      </w:r>
      <w:r>
        <w:rPr>
          <w:color w:val="000000"/>
        </w:rPr>
        <w:t> </w:t>
      </w:r>
      <w:r>
        <w:rPr>
          <w:rFonts w:ascii="Times New Roman;sans-serif" w:hAnsi="Times New Roman;sans-serif"/>
          <w:b w:val="false"/>
          <w:color w:val="000000"/>
          <w:sz w:val="20"/>
        </w:rPr>
        <w:t>Fair value determined based on quoted prices in active markets for identical assets or liabilities.</w:t>
      </w:r>
    </w:p>
    <w:p>
      <w:pPr>
        <w:pStyle w:val="TextBody"/>
        <w:bidi w:val="0"/>
        <w:spacing w:lineRule="auto" w:line="288" w:before="240" w:after="283"/>
        <w:ind w:left="0" w:right="0" w:firstLine="450"/>
        <w:jc w:val="left"/>
        <w:rPr/>
      </w:pPr>
      <w:r>
        <w:rPr>
          <w:rFonts w:ascii="Times New Roman;sans-serif" w:hAnsi="Times New Roman;sans-serif"/>
          <w:b/>
          <w:i/>
          <w:color w:val="000000"/>
          <w:sz w:val="20"/>
        </w:rPr>
        <w:t>Level 2 —</w:t>
      </w:r>
      <w:r>
        <w:rPr>
          <w:color w:val="000000"/>
        </w:rPr>
        <w:t> </w:t>
      </w:r>
      <w:r>
        <w:rPr>
          <w:rFonts w:ascii="Times New Roman;sans-serif" w:hAnsi="Times New Roman;sans-serif"/>
          <w:b w:val="false"/>
          <w:color w:val="000000"/>
          <w:sz w:val="20"/>
        </w:rPr>
        <w:t>Fair value determined using significant observable inputs, such as quoted prices for similar assets or liabilities or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pStyle w:val="TextBody"/>
        <w:bidi w:val="0"/>
        <w:spacing w:lineRule="auto" w:line="288" w:before="240" w:after="283"/>
        <w:ind w:left="0" w:right="0" w:firstLine="450"/>
        <w:jc w:val="left"/>
        <w:rPr/>
      </w:pPr>
      <w:r>
        <w:rPr>
          <w:rFonts w:ascii="Times New Roman;sans-serif" w:hAnsi="Times New Roman;sans-serif"/>
          <w:b/>
          <w:i/>
          <w:color w:val="000000"/>
          <w:sz w:val="20"/>
        </w:rPr>
        <w:t>Level 3 —</w:t>
      </w:r>
      <w:r>
        <w:rPr>
          <w:color w:val="000000"/>
        </w:rPr>
        <w:t> </w:t>
      </w:r>
      <w:r>
        <w:rPr>
          <w:rFonts w:ascii="Times New Roman;sans-serif" w:hAnsi="Times New Roman;sans-serif"/>
          <w:b w:val="false"/>
          <w:color w:val="000000"/>
          <w:sz w:val="20"/>
        </w:rPr>
        <w:t>Fair value determined using significant unobservable inputs, such as pricing models, discounted cash flows, or similar techniques.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Estimation of Fair Value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measurement methodologies, including significant inputs and assumptions, and classification of the Company’s assets and liabilities.</w:t>
      </w:r>
    </w:p>
    <w:tbl>
      <w:tblPr>
        <w:tblW w:w="10205" w:type="dxa"/>
        <w:jc w:val="left"/>
        <w:tblInd w:w="0" w:type="dxa"/>
        <w:tblLayout w:type="fixed"/>
        <w:tblCellMar>
          <w:top w:w="28" w:type="dxa"/>
          <w:left w:w="28" w:type="dxa"/>
          <w:bottom w:w="28" w:type="dxa"/>
          <w:right w:w="28" w:type="dxa"/>
        </w:tblCellMar>
      </w:tblPr>
      <w:tblGrid>
        <w:gridCol w:w="843"/>
        <w:gridCol w:w="501"/>
        <w:gridCol w:w="478"/>
        <w:gridCol w:w="109"/>
        <w:gridCol w:w="109"/>
        <w:gridCol w:w="109"/>
        <w:gridCol w:w="1869"/>
        <w:gridCol w:w="1869"/>
        <w:gridCol w:w="1873"/>
        <w:gridCol w:w="109"/>
        <w:gridCol w:w="109"/>
        <w:gridCol w:w="109"/>
        <w:gridCol w:w="616"/>
        <w:gridCol w:w="616"/>
        <w:gridCol w:w="886"/>
      </w:tblGrid>
      <w:tr>
        <w:trPr/>
        <w:tc>
          <w:tcPr>
            <w:tcW w:w="84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Asset/Liability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ans-serif" w:hAnsi="Times New Roman;sans-serif"/>
                <w:b/>
                <w:color w:val="000000"/>
                <w:sz w:val="16"/>
              </w:rPr>
            </w:pPr>
            <w:r>
              <w:rPr>
                <w:rFonts w:ascii="Times New Roman;sans-serif" w:hAnsi="Times New Roman;sans-serif"/>
                <w:b/>
                <w:color w:val="000000"/>
                <w:sz w:val="16"/>
              </w:rPr>
              <w:t>Valuation Methodology, Inputs and</w:t>
            </w:r>
          </w:p>
          <w:p>
            <w:pPr>
              <w:pStyle w:val="TableContents"/>
              <w:bidi w:val="0"/>
              <w:spacing w:lineRule="auto" w:line="288" w:before="0" w:after="30"/>
              <w:jc w:val="left"/>
              <w:rPr>
                <w:rFonts w:ascii="Times New Roman;sans-serif" w:hAnsi="Times New Roman;sans-serif"/>
                <w:b/>
                <w:color w:val="000000"/>
                <w:sz w:val="16"/>
              </w:rPr>
            </w:pPr>
            <w:r>
              <w:rPr>
                <w:rFonts w:ascii="Times New Roman;sans-serif" w:hAnsi="Times New Roman;sans-serif"/>
                <w:b/>
                <w:color w:val="000000"/>
                <w:sz w:val="16"/>
              </w:rPr>
              <w:t>Assumptions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is a reasonable estimate of fair value based on the short-term nature of the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estimated fair value measurement.</w:t>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is a reasonable estimate of fair value based on the short-term nature of the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estimated fair value measurement.</w:t>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Prices obtained from third-party vendors that compile prices from various sources and often apply matrix pricing for similar securities when no price is observable.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recurring fair value measurement.</w:t>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is quoted given the securities are traded on an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recurring fair value measurement.</w:t>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estimated based on observable market data including quoted market prices and deal price quotes.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recurring fair value measurement.</w:t>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Non-recourse asset-backed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estimated using discounted cash flows based on current lending rates for similar credit facilities with similar terms and remaining time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Carried at amortized cost.</w:t>
            </w:r>
          </w:p>
          <w:p>
            <w:pPr>
              <w:pStyle w:val="TableContents"/>
              <w:bidi w:val="0"/>
              <w:spacing w:lineRule="auto" w:line="288"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Level 2 estimated fair value measurement.</w:t>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Convertible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estimated using broker quotes and other observable market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Carried at amortized cost. </w:t>
              <w:br/>
              <w:t>Level 2 estimated fair value measurement.</w:t>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Assets and Liabilities Recorded at Fair Value on a Recurring Basis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levels of the fair value hierarchy for the Company’s assets measured at fair value on a recurring basis (in millions):</w:t>
      </w:r>
    </w:p>
    <w:tbl>
      <w:tblPr>
        <w:tblW w:w="7325" w:type="dxa"/>
        <w:jc w:val="left"/>
        <w:tblInd w:w="0" w:type="dxa"/>
        <w:tblLayout w:type="fixed"/>
        <w:tblCellMar>
          <w:top w:w="28" w:type="dxa"/>
          <w:left w:w="28" w:type="dxa"/>
          <w:bottom w:w="28" w:type="dxa"/>
          <w:right w:w="28" w:type="dxa"/>
        </w:tblCellMar>
      </w:tblPr>
      <w:tblGrid>
        <w:gridCol w:w="773"/>
        <w:gridCol w:w="681"/>
        <w:gridCol w:w="690"/>
        <w:gridCol w:w="109"/>
        <w:gridCol w:w="109"/>
        <w:gridCol w:w="109"/>
        <w:gridCol w:w="525"/>
        <w:gridCol w:w="899"/>
        <w:gridCol w:w="271"/>
        <w:gridCol w:w="109"/>
        <w:gridCol w:w="109"/>
        <w:gridCol w:w="109"/>
        <w:gridCol w:w="211"/>
        <w:gridCol w:w="406"/>
        <w:gridCol w:w="109"/>
        <w:gridCol w:w="109"/>
        <w:gridCol w:w="109"/>
        <w:gridCol w:w="109"/>
        <w:gridCol w:w="211"/>
        <w:gridCol w:w="361"/>
        <w:gridCol w:w="109"/>
        <w:gridCol w:w="109"/>
        <w:gridCol w:w="109"/>
        <w:gridCol w:w="109"/>
        <w:gridCol w:w="211"/>
        <w:gridCol w:w="406"/>
        <w:gridCol w:w="154"/>
      </w:tblGrid>
      <w:tr>
        <w:trPr/>
        <w:tc>
          <w:tcPr>
            <w:tcW w:w="7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7716" w:type="dxa"/>
        <w:jc w:val="left"/>
        <w:tblInd w:w="0" w:type="dxa"/>
        <w:tblLayout w:type="fixed"/>
        <w:tblCellMar>
          <w:top w:w="28" w:type="dxa"/>
          <w:left w:w="28" w:type="dxa"/>
          <w:bottom w:w="28" w:type="dxa"/>
          <w:right w:w="28" w:type="dxa"/>
        </w:tblCellMar>
      </w:tblPr>
      <w:tblGrid>
        <w:gridCol w:w="878"/>
        <w:gridCol w:w="775"/>
        <w:gridCol w:w="777"/>
        <w:gridCol w:w="109"/>
        <w:gridCol w:w="109"/>
        <w:gridCol w:w="109"/>
        <w:gridCol w:w="455"/>
        <w:gridCol w:w="1005"/>
        <w:gridCol w:w="235"/>
        <w:gridCol w:w="109"/>
        <w:gridCol w:w="109"/>
        <w:gridCol w:w="109"/>
        <w:gridCol w:w="211"/>
        <w:gridCol w:w="406"/>
        <w:gridCol w:w="109"/>
        <w:gridCol w:w="109"/>
        <w:gridCol w:w="109"/>
        <w:gridCol w:w="109"/>
        <w:gridCol w:w="211"/>
        <w:gridCol w:w="466"/>
        <w:gridCol w:w="109"/>
        <w:gridCol w:w="109"/>
        <w:gridCol w:w="109"/>
        <w:gridCol w:w="109"/>
        <w:gridCol w:w="211"/>
        <w:gridCol w:w="40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carrying value, estimated fair value and the levels of the fair value hierarchy for the Company’s financial instruments other than assets and liabilities measured at fair value on a recurring basis (in millions):</w:t>
      </w:r>
    </w:p>
    <w:tbl>
      <w:tblPr>
        <w:tblW w:w="7782" w:type="dxa"/>
        <w:jc w:val="left"/>
        <w:tblInd w:w="0" w:type="dxa"/>
        <w:tblLayout w:type="fixed"/>
        <w:tblCellMar>
          <w:top w:w="28" w:type="dxa"/>
          <w:left w:w="28" w:type="dxa"/>
          <w:bottom w:w="28" w:type="dxa"/>
          <w:right w:w="28" w:type="dxa"/>
        </w:tblCellMar>
      </w:tblPr>
      <w:tblGrid>
        <w:gridCol w:w="970"/>
        <w:gridCol w:w="854"/>
        <w:gridCol w:w="86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82" w:type="dxa"/>
        <w:jc w:val="left"/>
        <w:tblInd w:w="0" w:type="dxa"/>
        <w:tblLayout w:type="fixed"/>
        <w:tblCellMar>
          <w:top w:w="28" w:type="dxa"/>
          <w:left w:w="28" w:type="dxa"/>
          <w:bottom w:w="28" w:type="dxa"/>
          <w:right w:w="28" w:type="dxa"/>
        </w:tblCellMar>
      </w:tblPr>
      <w:tblGrid>
        <w:gridCol w:w="970"/>
        <w:gridCol w:w="854"/>
        <w:gridCol w:w="86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4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4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0" w:after="0"/>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7.PROPERTY AND EQUIPMENT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as of June 30, 2023 and December 31, 2022, consisted of the following (in millions):</w:t>
      </w:r>
    </w:p>
    <w:tbl>
      <w:tblPr>
        <w:tblW w:w="5942" w:type="dxa"/>
        <w:jc w:val="left"/>
        <w:tblInd w:w="0" w:type="dxa"/>
        <w:tblLayout w:type="fixed"/>
        <w:tblCellMar>
          <w:top w:w="28" w:type="dxa"/>
          <w:left w:w="28" w:type="dxa"/>
          <w:bottom w:w="28" w:type="dxa"/>
          <w:right w:w="28" w:type="dxa"/>
        </w:tblCellMar>
      </w:tblPr>
      <w:tblGrid>
        <w:gridCol w:w="1334"/>
        <w:gridCol w:w="1176"/>
        <w:gridCol w:w="1179"/>
        <w:gridCol w:w="211"/>
        <w:gridCol w:w="466"/>
        <w:gridCol w:w="109"/>
        <w:gridCol w:w="109"/>
        <w:gridCol w:w="109"/>
        <w:gridCol w:w="109"/>
        <w:gridCol w:w="289"/>
        <w:gridCol w:w="639"/>
        <w:gridCol w:w="212"/>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systems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implementation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of $9 million and $19 million was recorded for the three and six months ended June 30, 2023, respectively. Depreciation and amortization expense of $9 million and $18 million was recorded for the three and six months ended June 30,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8.GOODWILL AND INTANGIBLE ASSETS</w:t>
      </w:r>
    </w:p>
    <w:p>
      <w:pPr>
        <w:pStyle w:val="TextBody"/>
        <w:bidi w:val="0"/>
        <w:spacing w:lineRule="auto" w:line="268" w:before="240" w:after="283"/>
        <w:ind w:left="0" w:right="0" w:firstLine="450"/>
        <w:jc w:val="left"/>
        <w:rPr/>
      </w:pPr>
      <w:r>
        <w:rPr>
          <w:rFonts w:ascii="Times New Roman;sans-serif" w:hAnsi="Times New Roman;sans-serif"/>
          <w:b w:val="false"/>
          <w:color w:val="000000"/>
          <w:sz w:val="20"/>
        </w:rPr>
        <w:t>For the six months ended June 30, 2023, there were no additions to goodwill. For the year ended December 31, 2022 the carrying amount of goodwill increased by $4 million due to acquisitions. For more information on significant acquisitions, refer to “</w:t>
      </w:r>
      <w:r>
        <w:rPr>
          <w:rFonts w:ascii="Times New Roman;sans-serif" w:hAnsi="Times New Roman;sans-serif"/>
          <w:b w:val="false"/>
          <w:i/>
          <w:color w:val="000000"/>
          <w:sz w:val="20"/>
        </w:rPr>
        <w:t>Note 13 — Business Acquisition</w:t>
      </w:r>
      <w:r>
        <w:rPr>
          <w:color w:val="000000"/>
        </w:rPr>
        <w:t>”</w:t>
      </w:r>
      <w:r>
        <w:rPr>
          <w:rFonts w:ascii="Times New Roman;sans-serif" w:hAnsi="Times New Roman;sans-serif"/>
          <w:b w:val="false"/>
          <w:color w:val="000000"/>
          <w:sz w:val="20"/>
        </w:rPr>
        <w:t>. No impairment of goodwill was identified for the three and six months ended June 30, 2023 and 2022.</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consisted of the following as of June 30, 2023 and December 31, 2022, respectively (in millions, except years):</w:t>
      </w:r>
    </w:p>
    <w:tbl>
      <w:tblPr>
        <w:tblW w:w="9095" w:type="dxa"/>
        <w:jc w:val="left"/>
        <w:tblInd w:w="0" w:type="dxa"/>
        <w:tblLayout w:type="fixed"/>
        <w:tblCellMar>
          <w:top w:w="28" w:type="dxa"/>
          <w:left w:w="28" w:type="dxa"/>
          <w:bottom w:w="28" w:type="dxa"/>
          <w:right w:w="28" w:type="dxa"/>
        </w:tblCellMar>
      </w:tblPr>
      <w:tblGrid>
        <w:gridCol w:w="719"/>
        <w:gridCol w:w="634"/>
        <w:gridCol w:w="642"/>
        <w:gridCol w:w="109"/>
        <w:gridCol w:w="109"/>
        <w:gridCol w:w="109"/>
        <w:gridCol w:w="241"/>
        <w:gridCol w:w="414"/>
        <w:gridCol w:w="126"/>
        <w:gridCol w:w="109"/>
        <w:gridCol w:w="109"/>
        <w:gridCol w:w="109"/>
        <w:gridCol w:w="327"/>
        <w:gridCol w:w="583"/>
        <w:gridCol w:w="171"/>
        <w:gridCol w:w="109"/>
        <w:gridCol w:w="109"/>
        <w:gridCol w:w="109"/>
        <w:gridCol w:w="286"/>
        <w:gridCol w:w="347"/>
        <w:gridCol w:w="148"/>
        <w:gridCol w:w="109"/>
        <w:gridCol w:w="109"/>
        <w:gridCol w:w="109"/>
        <w:gridCol w:w="920"/>
        <w:gridCol w:w="920"/>
        <w:gridCol w:w="1309"/>
      </w:tblGrid>
      <w:tr>
        <w:trPr/>
        <w:tc>
          <w:tcPr>
            <w:tcW w:w="71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Remaining Weighted Average Useful Life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(Years)</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9"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95" w:type="dxa"/>
        <w:jc w:val="left"/>
        <w:tblInd w:w="0" w:type="dxa"/>
        <w:tblLayout w:type="fixed"/>
        <w:tblCellMar>
          <w:top w:w="28" w:type="dxa"/>
          <w:left w:w="28" w:type="dxa"/>
          <w:bottom w:w="28" w:type="dxa"/>
          <w:right w:w="28" w:type="dxa"/>
        </w:tblCellMar>
      </w:tblPr>
      <w:tblGrid>
        <w:gridCol w:w="721"/>
        <w:gridCol w:w="636"/>
        <w:gridCol w:w="638"/>
        <w:gridCol w:w="109"/>
        <w:gridCol w:w="109"/>
        <w:gridCol w:w="109"/>
        <w:gridCol w:w="241"/>
        <w:gridCol w:w="414"/>
        <w:gridCol w:w="126"/>
        <w:gridCol w:w="109"/>
        <w:gridCol w:w="109"/>
        <w:gridCol w:w="109"/>
        <w:gridCol w:w="327"/>
        <w:gridCol w:w="583"/>
        <w:gridCol w:w="171"/>
        <w:gridCol w:w="109"/>
        <w:gridCol w:w="109"/>
        <w:gridCol w:w="109"/>
        <w:gridCol w:w="241"/>
        <w:gridCol w:w="414"/>
        <w:gridCol w:w="126"/>
        <w:gridCol w:w="109"/>
        <w:gridCol w:w="109"/>
        <w:gridCol w:w="109"/>
        <w:gridCol w:w="920"/>
        <w:gridCol w:w="920"/>
        <w:gridCol w:w="1309"/>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Remaining Weighted Average Useful Life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(Years)</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9"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was $1 million and $3 million for the three and six months ended June 30, 2023, respectively. Amortization expense for intangible assets was $3 million and $5 million for the three and six months ended June 30, 2022, respectively.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expected amortization of intangible assets is as follows:</w:t>
      </w:r>
    </w:p>
    <w:tbl>
      <w:tblPr>
        <w:tblW w:w="3026" w:type="dxa"/>
        <w:jc w:val="left"/>
        <w:tblInd w:w="0" w:type="dxa"/>
        <w:tblLayout w:type="fixed"/>
        <w:tblCellMar>
          <w:top w:w="28" w:type="dxa"/>
          <w:left w:w="28" w:type="dxa"/>
          <w:bottom w:w="28" w:type="dxa"/>
          <w:right w:w="28" w:type="dxa"/>
        </w:tblCellMar>
      </w:tblPr>
      <w:tblGrid>
        <w:gridCol w:w="608"/>
        <w:gridCol w:w="533"/>
        <w:gridCol w:w="539"/>
        <w:gridCol w:w="109"/>
        <w:gridCol w:w="109"/>
        <w:gridCol w:w="109"/>
        <w:gridCol w:w="345"/>
        <w:gridCol w:w="420"/>
        <w:gridCol w:w="25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9.SHARE-BASED AWARDS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options and RSUs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 awards are generally granted with an exercise price equal to the fair value of the Company’s common stock at the date of grant.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stock option activity for the six months ended June 30, 2023, is as follows:</w:t>
      </w:r>
    </w:p>
    <w:tbl>
      <w:tblPr>
        <w:tblW w:w="7609" w:type="dxa"/>
        <w:jc w:val="left"/>
        <w:tblInd w:w="0" w:type="dxa"/>
        <w:tblLayout w:type="fixed"/>
        <w:tblCellMar>
          <w:top w:w="28" w:type="dxa"/>
          <w:left w:w="28" w:type="dxa"/>
          <w:bottom w:w="28" w:type="dxa"/>
          <w:right w:w="28" w:type="dxa"/>
        </w:tblCellMar>
      </w:tblPr>
      <w:tblGrid>
        <w:gridCol w:w="875"/>
        <w:gridCol w:w="769"/>
        <w:gridCol w:w="771"/>
        <w:gridCol w:w="374"/>
        <w:gridCol w:w="374"/>
        <w:gridCol w:w="376"/>
        <w:gridCol w:w="109"/>
        <w:gridCol w:w="109"/>
        <w:gridCol w:w="109"/>
        <w:gridCol w:w="217"/>
        <w:gridCol w:w="526"/>
        <w:gridCol w:w="112"/>
        <w:gridCol w:w="109"/>
        <w:gridCol w:w="109"/>
        <w:gridCol w:w="109"/>
        <w:gridCol w:w="409"/>
        <w:gridCol w:w="409"/>
        <w:gridCol w:w="411"/>
        <w:gridCol w:w="109"/>
        <w:gridCol w:w="109"/>
        <w:gridCol w:w="109"/>
        <w:gridCol w:w="292"/>
        <w:gridCol w:w="499"/>
        <w:gridCol w:w="214"/>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2022</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Balance-June 30, 2023</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Exercisable-June 30, 2023</w:t>
            </w:r>
          </w:p>
        </w:tc>
        <w:tc>
          <w:tcPr>
            <w:tcW w:w="7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RSU activity for the six months ended June 30, 2023, is as follows:</w:t>
      </w:r>
    </w:p>
    <w:tbl>
      <w:tblPr>
        <w:tblW w:w="6390" w:type="dxa"/>
        <w:jc w:val="left"/>
        <w:tblInd w:w="0" w:type="dxa"/>
        <w:tblLayout w:type="fixed"/>
        <w:tblCellMar>
          <w:top w:w="28" w:type="dxa"/>
          <w:left w:w="28" w:type="dxa"/>
          <w:bottom w:w="28" w:type="dxa"/>
          <w:right w:w="28" w:type="dxa"/>
        </w:tblCellMar>
      </w:tblPr>
      <w:tblGrid>
        <w:gridCol w:w="1407"/>
        <w:gridCol w:w="1237"/>
        <w:gridCol w:w="1241"/>
        <w:gridCol w:w="398"/>
        <w:gridCol w:w="398"/>
        <w:gridCol w:w="376"/>
        <w:gridCol w:w="109"/>
        <w:gridCol w:w="109"/>
        <w:gridCol w:w="109"/>
        <w:gridCol w:w="216"/>
        <w:gridCol w:w="631"/>
        <w:gridCol w:w="159"/>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RSUs</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Grant-Date</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outstanding-December 31, 2022</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(17,136)</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outstanding-June 30, 2023</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68,994 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9" w:type="dxa"/>
            <w:tcBorders>
              <w:top w:val="single" w:sz="2" w:space="0" w:color="CCEE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Shares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granted Restricted Shares to certain continuing employees, primarily in connection with acquisitions.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ESPP</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first offering period for the Company's 2020 ESPP began on March 1, 2022. The ESPP, pursuant to Internal Revenue Code Section 423, allows eligible participants to purchase shares using payroll deductions of up to 15% of their total compensation, subject to a $25,000 calendar year limitation on contributions. Prior to March 2023, the Company limited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number of shares to be purchased in an offering period to 1,000 shares per employee, and each offering period was six months in duration. Beginning in March 2023, the maximum number of shares to be purchased in an offering period was increased to 10,000 shares per employee, 5,000 per purchase period, and each offering period is 12 months in duration, with two 6-month purchase periods. The ESPP allows eligible employees to purchase shares of the Company’s common stock at a 15% discount on the lower price of either (i) the offer period start date or (ii) the purchase date. The ESPP also includes a reset provision for the purchase price if the stock price on the purchase date is less than the stock price on the offering date. ESPP employee payroll contributions withheld as of June 30, 2023 were $2.0 million and are included within Accounts payable and other accrued liabilities in the condensed consolidated balance sheets. Payroll contributions withheld as of June 30, 2023 will be used to purchase shares at the end of the current ESPP purchase period ending on August 31, 2023.</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ESPP purchase rights is estimated at the date of grant using the Black-Scholes option-pricing valuation model. The following assumptions were applied in the model to estimate the grant-date fair value of the ESPP. </w:t>
      </w:r>
    </w:p>
    <w:tbl>
      <w:tblPr>
        <w:tblW w:w="3728" w:type="dxa"/>
        <w:jc w:val="left"/>
        <w:tblInd w:w="0" w:type="dxa"/>
        <w:tblLayout w:type="fixed"/>
        <w:tblCellMar>
          <w:top w:w="28" w:type="dxa"/>
          <w:left w:w="28" w:type="dxa"/>
          <w:bottom w:w="28" w:type="dxa"/>
          <w:right w:w="28" w:type="dxa"/>
        </w:tblCellMar>
      </w:tblPr>
      <w:tblGrid>
        <w:gridCol w:w="724"/>
        <w:gridCol w:w="632"/>
        <w:gridCol w:w="639"/>
        <w:gridCol w:w="427"/>
        <w:gridCol w:w="823"/>
        <w:gridCol w:w="220"/>
        <w:gridCol w:w="109"/>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$0.64 – $0.81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ans-serif" w:hAnsi="Times New Roman;sans-serif"/>
                <w:b w:val="false"/>
                <w:color w:val="000000"/>
                <w:sz w:val="20"/>
              </w:rPr>
              <w:t>5.06% – 5.20%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 – 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total estimated unrecognized compensation expense related to the ESPP was $2 million. The unamortized compensation costs are expected to be recognized over the remaining term of the offering period of 0.7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allocated based on the cost center to which the award holder belongs. The following table summarizes total stock-based compensation expense by function as presented in the condensed consolidated statements of operations for the three and six months ended June 30, 2023 and 2022 (in millions):</w:t>
      </w:r>
    </w:p>
    <w:tbl>
      <w:tblPr>
        <w:tblW w:w="7304" w:type="dxa"/>
        <w:jc w:val="left"/>
        <w:tblInd w:w="0" w:type="dxa"/>
        <w:tblLayout w:type="fixed"/>
        <w:tblCellMar>
          <w:top w:w="28" w:type="dxa"/>
          <w:left w:w="28" w:type="dxa"/>
          <w:bottom w:w="28" w:type="dxa"/>
          <w:right w:w="28" w:type="dxa"/>
        </w:tblCellMar>
      </w:tblPr>
      <w:tblGrid>
        <w:gridCol w:w="1251"/>
        <w:gridCol w:w="1097"/>
        <w:gridCol w:w="1101"/>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46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marketing and operations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no market condition awards satisfied their market condition.</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$248 million of unamortized stock-based compensation costs related to unvested RSUs. The unamortized compensation costs are expected to be recognized over a weighted-average period of approximately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10.WARRANTS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Marketing Warrants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28, 2022, the Company entered into a warrant agreement with Zillow, Inc. (“Zillow”) in connection with a partnership arrangement that allows for Zillow to purchase up to 6 million shares of common stock that will vest in tranches (each, a “Tranche”) upon Zillow providing resale marketing services to the Company. Each Tranche will have an exercise price per share equal to the 30-day trailing volume weighted average price per share of Opendoor Common Stock (“VWAP”) prior to the vesting date of that Tranche, subject to a $15 floor and $30 cap per share. After a Tranche has vested, the Tranche can be exercised via a cash payment or a cashless exercise; provided that the Company has the option to cash settle any exercise.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expires in July 2027, subject to extension for an additional Tranche and early termination under limited circumstances. Zillow began providing marketing services under the partnership arrangement in March 2023. As of June 30, 2023, no warrant shares had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11.INCOME TAXES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and the resulting effective tax rate for interim periods is determined based upon its estimated annual effective tax rate adjusted for the effect of discrete items arising in that quarter.</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which was primarily composed of state tax expense, was less than $1 million and $1 million for the three and six months ended June 30, 2023, respectively, with an effective tax rate of 1.48% and (0.77)%, respectively. The Company's provision for income taxes was $1 million and $1 million for the three and six months ended June 30, 2022, respectively, with an effective tax rate of (1.52)% and (4.22)%, respectively. The effective tax rate differs from the U.S. statutory tax rate primarily due to the recording of a full valuation allowance against the net deferred tax assets.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positive and negative evidence bearing upon the realizability of its deferred tax assets. Based on the Company’s history of operating losses, including a three-year cumulative loss position, the Company believes that based on the weight of available evidence, it is more likely than not that all of the deferred tax assets will not be realized and recorded a full valuation allowance on its net deferred tax assets as of June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12.NET INCOME (LOSS) PER SHARE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is computed based on the weighted average number of shares of common stock outstanding during the period. Diluted net income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were declared or paid for the three and six months ended June 30, 2023 or 2022.</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two-class method to calculate net income (loss) per share and apply the more dilutive of the two-class method, treasury stock method or if-converted method to calculate diluted net income (loss) per share. Undistributed earnings for each period are allocated to participating securities, based on the contractual participation rights of the security to share in the current earnings as if all current period earnings had been distributed. As there is no contractual obligation for participating securities to share in losses, the Company’s basic net income (loss) per share is computed by dividing the net income (loss) attributable to common shareholders by the weighted-average shares of common stock outstanding during periods with undistributed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income (loss) per share attributable to common shareholders for the three and six months ended June 30, 2023 and 2022 (in millions, except share amounts which are presented in thousands, and per share amounts):</w:t>
      </w:r>
    </w:p>
    <w:tbl>
      <w:tblPr>
        <w:tblW w:w="10090" w:type="dxa"/>
        <w:jc w:val="left"/>
        <w:tblInd w:w="0" w:type="dxa"/>
        <w:tblLayout w:type="fixed"/>
        <w:tblCellMar>
          <w:top w:w="28" w:type="dxa"/>
          <w:left w:w="28" w:type="dxa"/>
          <w:bottom w:w="28" w:type="dxa"/>
          <w:right w:w="28" w:type="dxa"/>
        </w:tblCellMar>
      </w:tblPr>
      <w:tblGrid>
        <w:gridCol w:w="1924"/>
        <w:gridCol w:w="1693"/>
        <w:gridCol w:w="1707"/>
        <w:gridCol w:w="241"/>
        <w:gridCol w:w="585"/>
        <w:gridCol w:w="109"/>
        <w:gridCol w:w="109"/>
        <w:gridCol w:w="109"/>
        <w:gridCol w:w="109"/>
        <w:gridCol w:w="236"/>
        <w:gridCol w:w="590"/>
        <w:gridCol w:w="109"/>
        <w:gridCol w:w="109"/>
        <w:gridCol w:w="109"/>
        <w:gridCol w:w="109"/>
        <w:gridCol w:w="236"/>
        <w:gridCol w:w="590"/>
        <w:gridCol w:w="109"/>
        <w:gridCol w:w="109"/>
        <w:gridCol w:w="109"/>
        <w:gridCol w:w="109"/>
        <w:gridCol w:w="236"/>
        <w:gridCol w:w="590"/>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(loss) per share:</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 – basic</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(loss) per share:</w:t>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 – diluted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Dilutive effect of employee stock-based awards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preferred dividends declared or accumulated for the periods presented.</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tbl>
      <w:tblPr>
        <w:tblW w:w="7561" w:type="dxa"/>
        <w:jc w:val="left"/>
        <w:tblInd w:w="0" w:type="dxa"/>
        <w:tblLayout w:type="fixed"/>
        <w:tblCellMar>
          <w:top w:w="28" w:type="dxa"/>
          <w:left w:w="28" w:type="dxa"/>
          <w:bottom w:w="28" w:type="dxa"/>
          <w:right w:w="28" w:type="dxa"/>
        </w:tblCellMar>
      </w:tblPr>
      <w:tblGrid>
        <w:gridCol w:w="949"/>
        <w:gridCol w:w="826"/>
        <w:gridCol w:w="849"/>
        <w:gridCol w:w="360"/>
        <w:gridCol w:w="361"/>
        <w:gridCol w:w="178"/>
        <w:gridCol w:w="178"/>
        <w:gridCol w:w="178"/>
        <w:gridCol w:w="178"/>
        <w:gridCol w:w="360"/>
        <w:gridCol w:w="361"/>
        <w:gridCol w:w="178"/>
        <w:gridCol w:w="109"/>
        <w:gridCol w:w="109"/>
        <w:gridCol w:w="109"/>
        <w:gridCol w:w="360"/>
        <w:gridCol w:w="361"/>
        <w:gridCol w:w="156"/>
        <w:gridCol w:w="154"/>
        <w:gridCol w:w="154"/>
        <w:gridCol w:w="154"/>
        <w:gridCol w:w="360"/>
        <w:gridCol w:w="361"/>
        <w:gridCol w:w="218"/>
      </w:tblGrid>
      <w:tr>
        <w:trPr/>
        <w:tc>
          <w:tcPr>
            <w:tcW w:w="94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securities</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70,778 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13.BUSINESS ACQUISITION</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4, 2022, the Company acquired TaxProper Inc. in exchange for $10 million in cash consideration. Acquired intangible assets consist of developed technology valued at $7 million and are being amortized over two years. Goodwill attributed to the TaxProper Inc. acquisition was $2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14.COMMITMENTS AND CONTINGENCIES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the Company amended its Tempe, Arizona office lease to partially terminate the Company’s obligation with respect to a portion of the leased premises (“Partial Lease Termination”). The Partial Lease Termination resulted in a decrease of undiscounted, future lease payments of $19 million. As a result of the Partial Lease Termination, the Company remeasured its operating lease liabilities and recorded a decrease of $10 million to reflect the reduced lease payments and termination penalties. The Company also recorded a decrease to right-of-use assets of $9 million based on the proportionate decrease in the right-of-use asset, which resulted in a gain of $1 million recognized in general and administrative expense on the consolidated statements of operations for the six months ended June 30,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potential liability relating to the ownership and operations of the Company’s properties. Accruals are recorded when the outcome is probable and can be reasonably estimated.</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condensed consolidated results of operations or financial condition except as noted below.</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 xml:space="preserve">On October 7, 2022 and November 22, 2022, purported securities class action lawsuits were filed in the United States District Court for the District of Arizona, captioned </w:t>
      </w:r>
      <w:r>
        <w:rPr>
          <w:rFonts w:ascii="Times New Roman;sans-serif" w:hAnsi="Times New Roman;sans-serif"/>
          <w:b w:val="false"/>
          <w:i/>
          <w:color w:val="000000"/>
          <w:sz w:val="20"/>
        </w:rPr>
        <w:t>Alich v. Opendoor Technologies Inc., et al.</w:t>
      </w:r>
      <w:r>
        <w:rPr>
          <w:color w:val="000000"/>
        </w:rPr>
        <w:t xml:space="preserve"> </w:t>
      </w:r>
      <w:r>
        <w:rPr>
          <w:rFonts w:ascii="Times New Roman;sans-serif" w:hAnsi="Times New Roman;sans-serif"/>
          <w:b w:val="false"/>
          <w:color w:val="000000"/>
          <w:sz w:val="20"/>
        </w:rPr>
        <w:t xml:space="preserve">(Case No. 2:22-cv-01717-JFM) (“Alich”) and </w:t>
      </w:r>
      <w:r>
        <w:rPr>
          <w:rFonts w:ascii="Times New Roman;sans-serif" w:hAnsi="Times New Roman;sans-serif"/>
          <w:b w:val="false"/>
          <w:i/>
          <w:color w:val="000000"/>
          <w:sz w:val="20"/>
        </w:rPr>
        <w:t>Oakland County Voluntary Employee’s Beneficiary Association, et al. v. Opendoor Technologies Inc., et al.</w:t>
      </w:r>
      <w:r>
        <w:rPr>
          <w:color w:val="000000"/>
        </w:rPr>
        <w:t xml:space="preserve"> </w:t>
      </w:r>
      <w:r>
        <w:rPr>
          <w:rFonts w:ascii="Times New Roman;sans-serif" w:hAnsi="Times New Roman;sans-serif"/>
          <w:b w:val="false"/>
          <w:color w:val="000000"/>
          <w:sz w:val="20"/>
        </w:rPr>
        <w:t xml:space="preserve">(Case No. 2:22-cv-01987-GMS) (“Oakland County”), respectively. The lawsuits were consolidated into a single action, captioned </w:t>
      </w:r>
      <w:r>
        <w:rPr>
          <w:rFonts w:ascii="Times New Roman;sans-serif" w:hAnsi="Times New Roman;sans-serif"/>
          <w:b w:val="false"/>
          <w:i/>
          <w:color w:val="000000"/>
          <w:sz w:val="20"/>
        </w:rPr>
        <w:t>In re Opendoor Technologies Inc. Securities Litigation</w:t>
      </w:r>
      <w:r>
        <w:rPr>
          <w:color w:val="000000"/>
        </w:rPr>
        <w:t xml:space="preserve"> </w:t>
      </w:r>
      <w:r>
        <w:rPr>
          <w:rFonts w:ascii="Times New Roman;sans-serif" w:hAnsi="Times New Roman;sans-serif"/>
          <w:b w:val="false"/>
          <w:color w:val="000000"/>
          <w:sz w:val="20"/>
        </w:rPr>
        <w:t>(Case No. 2:22-CV-01717-MTL). The consolidated amended complaint names as defendants the Company, Social Capital Hedosophia Holdings Corp. II (SCH"), certain of the Company’s current and former officers and directors and the underwriters of a securities offering the Company made in February 2021. The complaint alleges that the Company and certain officers violated Section 10(b) of the Exchange Act and SEC Rule 10b-5, and that the Company, SCH, certain officers and directors and the underwriters violated Section 11 of the Securities Act, in each case by making materially false or misleading statements related to the effectiveness of the Company’s pricing algorithm. The plaintiffs also allege that certain defendants violated Section 20(a) of the Exchange Act and Section 15 of the Securities Act, respectively, which provide for control person liability. The complaint asserts claims on behalf of all persons and entities that purchased, or otherwise acquired, Company common stock between December 21, 2020 and November 3, 2022 or pursuant to offering documents issued in connection with our business combination with SCH and the secondary public offering conducted by the Company in February 2021. The plaintiffs seek class certification, an award of unspecified compensatory damages, an award of interest and reasonable costs and expenses, including attorneys’ fees and expert fees, and other and further relief as the court may deem just and proper. The defendants filed motions to dismiss on June 30, 2023, which are pending before the court. We believe that the allegations in the complaint are without merit and we intend to vigorously defend ourselves in the matter.</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 xml:space="preserve">On March 1, 2023 and March 15, 2023, shareholder derivative lawsuits were filed in the United States District Court for the District of Arizona, captioned </w:t>
      </w:r>
      <w:r>
        <w:rPr>
          <w:rFonts w:ascii="Times New Roman;sans-serif" w:hAnsi="Times New Roman;sans-serif"/>
          <w:b w:val="false"/>
          <w:i/>
          <w:color w:val="000000"/>
          <w:sz w:val="20"/>
        </w:rPr>
        <w:t>Carlson v. Rice, et al.</w:t>
      </w:r>
      <w:r>
        <w:rPr>
          <w:color w:val="000000"/>
        </w:rPr>
        <w:t xml:space="preserve"> </w:t>
      </w:r>
      <w:r>
        <w:rPr>
          <w:rFonts w:ascii="Times New Roman;sans-serif" w:hAnsi="Times New Roman;sans-serif"/>
          <w:b w:val="false"/>
          <w:color w:val="000000"/>
          <w:sz w:val="20"/>
        </w:rPr>
        <w:t xml:space="preserve">(Case No. 2:23-cv-00367-GMS) and </w:t>
      </w:r>
      <w:r>
        <w:rPr>
          <w:rFonts w:ascii="Times New Roman;sans-serif" w:hAnsi="Times New Roman;sans-serif"/>
          <w:b w:val="false"/>
          <w:i/>
          <w:color w:val="000000"/>
          <w:sz w:val="20"/>
        </w:rPr>
        <w:t>Van Dorn v. Wu, et al.</w:t>
      </w:r>
      <w:r>
        <w:rPr>
          <w:color w:val="000000"/>
        </w:rPr>
        <w:t xml:space="preserve"> </w:t>
      </w:r>
      <w:r>
        <w:rPr>
          <w:rFonts w:ascii="Times New Roman;sans-serif" w:hAnsi="Times New Roman;sans-serif"/>
          <w:b w:val="false"/>
          <w:color w:val="000000"/>
          <w:sz w:val="20"/>
        </w:rPr>
        <w:t xml:space="preserve">(Case No. 2:23-cv-00455-DMF), respectively, and were subsequently consolidated into a single action, captioned </w:t>
      </w:r>
      <w:r>
        <w:rPr>
          <w:rFonts w:ascii="Times New Roman;sans-serif" w:hAnsi="Times New Roman;sans-serif"/>
          <w:b w:val="false"/>
          <w:i/>
          <w:color w:val="000000"/>
          <w:sz w:val="20"/>
        </w:rPr>
        <w:t>Carlson v. Rice</w:t>
      </w:r>
      <w:r>
        <w:rPr>
          <w:color w:val="000000"/>
        </w:rPr>
        <w:t xml:space="preserve"> </w:t>
      </w:r>
      <w:r>
        <w:rPr>
          <w:rFonts w:ascii="Times New Roman;sans-serif" w:hAnsi="Times New Roman;sans-serif"/>
          <w:b w:val="false"/>
          <w:color w:val="000000"/>
          <w:sz w:val="20"/>
        </w:rPr>
        <w:t xml:space="preserve">(Case No. 2:23-CV-00367-GMS). Plaintiffs voluntarily dismissed the matter on June 22, 2023, and thereafter re-filed complaints in the Court of Chancery of the State of Delaware, captioned </w:t>
      </w:r>
      <w:r>
        <w:rPr>
          <w:rFonts w:ascii="Times New Roman;sans-serif" w:hAnsi="Times New Roman;sans-serif"/>
          <w:b w:val="false"/>
          <w:i/>
          <w:color w:val="000000"/>
          <w:sz w:val="20"/>
        </w:rPr>
        <w:t xml:space="preserve">Carlson v. Rice, et al. </w:t>
      </w:r>
      <w:r>
        <w:rPr>
          <w:rFonts w:ascii="Times New Roman;sans-serif" w:hAnsi="Times New Roman;sans-serif"/>
          <w:b w:val="false"/>
          <w:color w:val="000000"/>
          <w:sz w:val="20"/>
        </w:rPr>
        <w:t xml:space="preserve">(Case No. 2023-0642) and </w:t>
      </w:r>
      <w:r>
        <w:rPr>
          <w:rFonts w:ascii="Times New Roman;sans-serif" w:hAnsi="Times New Roman;sans-serif"/>
          <w:b w:val="false"/>
          <w:i/>
          <w:color w:val="000000"/>
          <w:sz w:val="20"/>
        </w:rPr>
        <w:t>Van Dorn v. Rice, et al.</w:t>
      </w:r>
      <w:r>
        <w:rPr>
          <w:color w:val="000000"/>
        </w:rPr>
        <w:t xml:space="preserve"> </w:t>
      </w:r>
      <w:r>
        <w:rPr>
          <w:rFonts w:ascii="Times New Roman;sans-serif" w:hAnsi="Times New Roman;sans-serif"/>
          <w:b w:val="false"/>
          <w:color w:val="000000"/>
          <w:sz w:val="20"/>
        </w:rPr>
        <w:t xml:space="preserve">(Case No. 2023-0643). The cases have been consolidated into a single action, captioned Opendoor Technologies Inc. Stockholder Derivative Litigation (Case No. 2023-0642). On June 29, 2023, a shareholder derivative lawsuit was filed in the United States District Court for the State of Delaware, captioned </w:t>
      </w:r>
      <w:r>
        <w:rPr>
          <w:rFonts w:ascii="Times New Roman;sans-serif" w:hAnsi="Times New Roman;sans-serif"/>
          <w:b w:val="false"/>
          <w:i/>
          <w:color w:val="000000"/>
          <w:sz w:val="20"/>
        </w:rPr>
        <w:t>Juul v. Wu, et al.</w:t>
      </w:r>
      <w:r>
        <w:rPr>
          <w:color w:val="000000"/>
        </w:rPr>
        <w:t xml:space="preserve"> </w:t>
      </w:r>
      <w:r>
        <w:rPr>
          <w:rFonts w:ascii="Times New Roman;sans-serif" w:hAnsi="Times New Roman;sans-serif"/>
          <w:b w:val="false"/>
          <w:color w:val="000000"/>
          <w:sz w:val="20"/>
        </w:rPr>
        <w:t xml:space="preserve">(Case No. 1:23-cv-00705-UNA). The complaints in each matter are based on the same facts and circumstances as </w:t>
      </w:r>
      <w:r>
        <w:rPr>
          <w:rFonts w:ascii="Times New Roman;sans-serif" w:hAnsi="Times New Roman;sans-serif"/>
          <w:b w:val="false"/>
          <w:i/>
          <w:color w:val="000000"/>
          <w:sz w:val="20"/>
        </w:rPr>
        <w:t>In re Opendoor Technologies Inc. Securities Litigation</w:t>
      </w:r>
      <w:r>
        <w:rPr>
          <w:color w:val="000000"/>
        </w:rPr>
        <w:t xml:space="preserve"> </w:t>
      </w:r>
      <w:r>
        <w:rPr>
          <w:rFonts w:ascii="Times New Roman;sans-serif" w:hAnsi="Times New Roman;sans-serif"/>
          <w:b w:val="false"/>
          <w:color w:val="000000"/>
          <w:sz w:val="20"/>
        </w:rPr>
        <w:t xml:space="preserve">and name certain officers and directors of the Company as defendants. The defendants are alleged to have violated Section 10(b) of the Exchange Act and SEC Rule 10b-5 and breached fiduciary duties. The plaintiffs seek to maintain the derivative actions on behalf of the Company, an award of unspecified compensatory damages, an order directing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p>
      <w:pPr>
        <w:pStyle w:val="TextBody"/>
        <w:bidi w:val="0"/>
        <w:spacing w:lineRule="auto" w:line="288" w:before="240" w:after="283"/>
        <w:jc w:val="left"/>
        <w:rPr/>
      </w:pPr>
      <w:r>
        <w:rPr>
          <w:rFonts w:ascii="Times New Roman;sans-serif" w:hAnsi="Times New Roman;sans-serif"/>
          <w:b w:val="false"/>
          <w:color w:val="000000"/>
          <w:sz w:val="20"/>
        </w:rPr>
        <w:t xml:space="preserve">to reform its corporate governance and internal procedures, restitutionary relief, an award of interest and expenses, including attorneys’ fees and expert fees, and other and further relief as the court may deem just and proper. The derivative actions have been stayed pending further developments in </w:t>
      </w:r>
      <w:r>
        <w:rPr>
          <w:rFonts w:ascii="Times New Roman;sans-serif" w:hAnsi="Times New Roman;sans-serif"/>
          <w:b w:val="false"/>
          <w:i/>
          <w:color w:val="000000"/>
          <w:sz w:val="20"/>
        </w:rPr>
        <w:t>In re Opendoor Technologies Inc. Securities Litigation</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15.RESTRUCTURING</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18, 2023, the Company announced a workforce reduction of approximately 560 employees, representing approximately 22% of our workforce at that time and primarily impacting volume-based roles. We are providing post-employment benefits to impacted employees for a total expense of approximately $10 million. The December 31, 2022 balance in restructuring liability is related the reduction in workforce that the Company initiated in November 2022.</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activity of the restructuring liability as of June 30, 2023 (in millions):</w:t>
      </w:r>
    </w:p>
    <w:tbl>
      <w:tblPr>
        <w:tblW w:w="3517" w:type="dxa"/>
        <w:jc w:val="left"/>
        <w:tblInd w:w="0" w:type="dxa"/>
        <w:tblLayout w:type="fixed"/>
        <w:tblCellMar>
          <w:top w:w="28" w:type="dxa"/>
          <w:left w:w="28" w:type="dxa"/>
          <w:bottom w:w="28" w:type="dxa"/>
          <w:right w:w="28" w:type="dxa"/>
        </w:tblCellMar>
      </w:tblPr>
      <w:tblGrid>
        <w:gridCol w:w="918"/>
        <w:gridCol w:w="807"/>
        <w:gridCol w:w="809"/>
        <w:gridCol w:w="264"/>
        <w:gridCol w:w="320"/>
        <w:gridCol w:w="136"/>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2022</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expense</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Balance-June 30, 2023</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16.SUBSEQUENT EVENTS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impact of events that have occurred subsequent to June 30, 2023, through the date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financial statements were filed with the SEC. Based on this evaluation, other than as recorded 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disclosed within these condensed consolidated financial statements and related notes, the Company has determined that there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are no material subsequent events that would require recognition or disclosure.</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that our management believes is relevant to an assessment and understanding of our condensed consolidated results of operations and financial condition. The discussion should be read together with the historical condensed consolidated financial statements and related notes that appear in this Quarterly Report on Form 10-Q.</w:t>
      </w:r>
    </w:p>
    <w:p>
      <w:pPr>
        <w:pStyle w:val="TextBody"/>
        <w:bidi w:val="0"/>
        <w:spacing w:lineRule="auto" w:line="288" w:before="2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“Forward-Looking Statements,” “Risk Factors” or in other parts of this Quarterly Report on Form 10-Q, and in “Part I - Item 1A. Risk Factors” in the Company's Annual Report on Form 10-K for the year ended December 31, 2022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Opendoor’s mission is to power life’s progress, one move at a time. Residential real estate is a trillion-dollar industry underpinned by a process that is complicated, time-consuming, stressful, and offline. We believe all consumers deserve to buy, sell, and move between homes with simplicity and confidence, and we have dedicated almost a decade to delivering on this vision. We have built unique pricing and operations capabilities to become one of the largest buyers and sellers of homes in the United States. Since our founding, we have helped customers to buy or sell homes in over 234,000 transactions and have expanded our footprint to 53 markets across the country.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Financial Highlights</w:t>
      </w:r>
    </w:p>
    <w:tbl>
      <w:tblPr>
        <w:tblW w:w="10205" w:type="dxa"/>
        <w:jc w:val="left"/>
        <w:tblInd w:w="0" w:type="dxa"/>
        <w:tblLayout w:type="fixed"/>
        <w:tblCellMar>
          <w:top w:w="28" w:type="dxa"/>
          <w:left w:w="28" w:type="dxa"/>
          <w:bottom w:w="28" w:type="dxa"/>
          <w:right w:w="28" w:type="dxa"/>
        </w:tblCellMar>
      </w:tblPr>
      <w:tblGrid>
        <w:gridCol w:w="750"/>
        <w:gridCol w:w="567"/>
        <w:gridCol w:w="570"/>
        <w:gridCol w:w="109"/>
        <w:gridCol w:w="109"/>
        <w:gridCol w:w="109"/>
        <w:gridCol w:w="211"/>
        <w:gridCol w:w="616"/>
        <w:gridCol w:w="271"/>
        <w:gridCol w:w="109"/>
        <w:gridCol w:w="109"/>
        <w:gridCol w:w="109"/>
        <w:gridCol w:w="211"/>
        <w:gridCol w:w="616"/>
        <w:gridCol w:w="271"/>
        <w:gridCol w:w="109"/>
        <w:gridCol w:w="109"/>
        <w:gridCol w:w="109"/>
        <w:gridCol w:w="211"/>
        <w:gridCol w:w="638"/>
        <w:gridCol w:w="109"/>
        <w:gridCol w:w="109"/>
        <w:gridCol w:w="109"/>
        <w:gridCol w:w="109"/>
        <w:gridCol w:w="211"/>
        <w:gridCol w:w="616"/>
        <w:gridCol w:w="271"/>
        <w:gridCol w:w="109"/>
        <w:gridCol w:w="109"/>
        <w:gridCol w:w="109"/>
        <w:gridCol w:w="211"/>
        <w:gridCol w:w="616"/>
        <w:gridCol w:w="271"/>
        <w:gridCol w:w="109"/>
        <w:gridCol w:w="109"/>
        <w:gridCol w:w="109"/>
        <w:gridCol w:w="211"/>
        <w:gridCol w:w="638"/>
        <w:gridCol w:w="157"/>
      </w:tblGrid>
      <w:tr>
        <w:trPr/>
        <w:tc>
          <w:tcPr>
            <w:tcW w:w="75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 homes sold, number of markets, and homes in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(Loss)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markets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Homes in inventory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Current Housing Environment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the overall state of the housing market has improved relative to our expectations at the beginning of the year, we are continuing to operate with elevated spreads to account for ongoing home price uncertainty in the second half of 2023. In the first half of the year, home prices performed better than expected on the back of historically low listing volumes that were approximately half the levels of 2014 to 2019. Against this backdrop of constrained supply, market clearance is exceeding levels seen historically over the same time period. However, there continues to be uncertainty in how housing performs for the remainder of the year given persistently low supply, the prospect of additional Fed rate action and recession risk. We continue to expect modest month-over-month home price depreciation in the second half of the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this macro environment, we are continuing to operate with caution and discipline. We continue to drive operational efficiencies to make durable improvements to our cost structure so that we can deliver higher unit economics long term.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transaction volumes expected to remain low in the near-term, we right-sized our operating capacity and overall cost structure to reflect these volume expectations. In April 2023, we announced a workforce reduction of approximately 22% of our workforce or 560 employees, primarily focused on volume-based roles. We expect this to deliver over $50 million in annualized savings.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Business Impact of COVID-19</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we believe we have adapted our operations to function effectively during the ongoing COVID-19 pandemic, our business remains sensitive to potential future disruptions of the real estate market caused by COVID-19 and its variants.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Business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 Penetration in Existing Markets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is one of the largest consumer markets and only around 1% of the approximately $1.9 trillion of home value transacted annually, is conducted online. Given the fact that we operate in a highly fragmented industry and offer a differentiated value proposition to the traditional offline selling process, we believe there is significant opportunity to expand our share in our existing cities. By providing a consistent, high-quality and differentiated experience to our customers, we hope to continue to drive positive word-of-mouth awareness and trust in our platform.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steadily growing our reach via our partnership channels with homebuilders, agents, and online real estate platforms. We have relationships with the three largest online real estate platforms, Zillow, Redfin and Realtor.com, which collectively reach millions of unique monthly visitors. We launched our new partnership agreement with Zillow, Inc. in early 2023, allowing home sellers on the Zillow, Inc. platform to request an offer directly from Opendoor, and creating an additional channel for us to drive brand awareness and acquire customers. As of June 30, 2023, our partnership was live in 25 markets.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continued source of growth is re-engagement with our base of registered sellers, meaning sellers that have received an offer from Opendoor but have not yet sold their home. In the last nine years, we have sent millions of offers and, while not everyone is ready to act when they request an offer, we treat everyone as a potential future seller. Reengaging our base of registered sellers until they decide to sell their home requires de minimis incremental cost. We have substantially improved our reengagement strategies over the last two years and believe that our registered customer base will continue to be an important source of home acquisition volumes.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 Footprint</w:t>
      </w:r>
    </w:p>
    <w:p>
      <w:pPr>
        <w:pStyle w:val="TextBody"/>
        <w:bidi w:val="0"/>
        <w:spacing w:lineRule="auto" w:line="288" w:before="24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operated in 53 markets as of June 30, 2023. The following table represents the number of markets as of the periods presented:</w:t>
      </w:r>
    </w:p>
    <w:tbl>
      <w:tblPr>
        <w:tblW w:w="7887" w:type="dxa"/>
        <w:jc w:val="left"/>
        <w:tblInd w:w="0" w:type="dxa"/>
        <w:tblLayout w:type="fixed"/>
        <w:tblCellMar>
          <w:top w:w="28" w:type="dxa"/>
          <w:left w:w="28" w:type="dxa"/>
          <w:bottom w:w="28" w:type="dxa"/>
          <w:right w:w="28" w:type="dxa"/>
        </w:tblCellMar>
      </w:tblPr>
      <w:tblGrid>
        <w:gridCol w:w="1041"/>
        <w:gridCol w:w="916"/>
        <w:gridCol w:w="923"/>
        <w:gridCol w:w="109"/>
        <w:gridCol w:w="109"/>
        <w:gridCol w:w="109"/>
        <w:gridCol w:w="239"/>
        <w:gridCol w:w="239"/>
        <w:gridCol w:w="241"/>
        <w:gridCol w:w="109"/>
        <w:gridCol w:w="109"/>
        <w:gridCol w:w="109"/>
        <w:gridCol w:w="109"/>
        <w:gridCol w:w="109"/>
        <w:gridCol w:w="284"/>
        <w:gridCol w:w="284"/>
        <w:gridCol w:w="286"/>
        <w:gridCol w:w="109"/>
        <w:gridCol w:w="109"/>
        <w:gridCol w:w="109"/>
        <w:gridCol w:w="155"/>
        <w:gridCol w:w="155"/>
        <w:gridCol w:w="156"/>
        <w:gridCol w:w="132"/>
        <w:gridCol w:w="132"/>
        <w:gridCol w:w="132"/>
        <w:gridCol w:w="155"/>
        <w:gridCol w:w="155"/>
        <w:gridCol w:w="156"/>
        <w:gridCol w:w="132"/>
        <w:gridCol w:w="132"/>
        <w:gridCol w:w="132"/>
        <w:gridCol w:w="149"/>
        <w:gridCol w:w="149"/>
        <w:gridCol w:w="213"/>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whole 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markets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deteriorating macro environment in 2022, we slowed down our new market expansion plans.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view the first year of a market launch as an investment period during which we refine our pricing models, renovation strategies and cost structure. Historically, we have seen underwriting performance for purchase cohorts in new markets improve approximately one year after initial launch. However, given our “risk-off” stance and our reduced acquisition pace, we expect our newer markets will grow slower than prior cohorts.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Adjacent Services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home sellers and buyers value simplicity and certainty. To that end, we are building an online, integrated suite of home services, which currently includes title insurance, escrow services and brokerage services.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with title insurance and escrow services helps validate our view that customers prefer an online, integrated experience. We will continue to evaluate new ways to improve our end-to-end solution and expect to invest in additional adjacent products and services over time with the expectation that these adjacent services will continue to improve our unit economics and Contribution Margin.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Unit Economics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view Contribution Margin as a key measure of unit economic performance. Our long-term financial performance depends, in part, on continuing to maintain and expand unit margins through the following initiatives: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Optimization and enhancements of our pricing engine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Platform efficiency improvements through greater automation and self-service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Incremental attach of services, which supplement the core transaction margin profile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Expansion of our marketplace product offering, which will reduce our inventory exposure and capital intensity, and eliminate the holding and selling costs associated with taking ownership of the home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Inventory Management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Effectively managing our overall inventory position and balancing growth, margin, and risk are critical to our financial performance. Since our inception, we have prioritized investment in our pricing capabilities across our home acquisition processes and our forecasting and resale systems, and will continue to do so. As part of our overall risk management framework, we consider both individual market and aggregate portfolio exposures. We typically seek to maximize the resale margin performance of our inventory in the context of managing overall risk and inventory health through monitoring sell-through rates, holding periods, and portfolio aging.</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performance in the first half of 2023 reflects the sharp transition in the housing market from peak levels earlier in 2022 to lower transaction velocity and home price appreciation well beyond typical seasonal trends. Given these macroeconomic pressures, we have been focused on managing for overall inventory health and risk, particularly on homes that we acquired based on offers made in the first half of 2022 and prior (“old book”). As part of that focus, we have continued to adjust down listed prices on our inventory to stay in-line with market sell-through rates and drive resale clearance. As of June 30, 2023, we had $254 million of old book homes in inventory, down 82% from $1.4 billion at March 31, 2023 and 93% from $3.5 billion at December 31, 2022. We have also proactively reduced our acquisition pace via higher spreads embedded in our offers and lower marketing investment. Margins on acquisitions arising from offers made in the second half of 2022 onward have, thus far, exceeded our expectations at an acquisition cohort level. We expect future margins on those acquisition cohorts to be in-line with, or exceed, our expectations for positive contribution margins once fully sold through and we expect to resume a higher acquisition pace as the housing market stabilizes.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Related primarily to the sharp transition in the housing market, we recorded inventory valuation adjustments of $737 million during the year ended December 31, 2022. In 2023, resale clearance is trending better than 2022 and a lack of supply of new listings has helped to stabilize home prices. As such, inventory valuation adjustments recorded year to date in 2023 are significantly lower than 2022, at $14 million and $37 million during the three and six months ended June 30, 2023, respectively. These valuation adjustments are largely concentrated on old book inventory.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one key measure of inventory management performance, we evaluate our portfolio metrics relative to the broader market (as observed on the multiple listing services (“MLS”)). One such metric is our percentage of homes “on the market” for greater than 120 days as measured from initial listing date. As of June 30, 2023, such homes represented 24% of our portfolio, compared to 16% for the broader market when filtered for the types of homes we are able to underwrite and acquire in a given market based on characteristics such as price range, home type, home location, year built and lot size (which we refer to as our “buybox”). This metric is impacted by the mix of homes in our inventory. Beginning early in the third quarter of 2022, we significantly reduced our offer pace and subsequent closings of new home acquisitions in light of our risk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objective and overall macroeconomic uncertainty. As newly acquired homes represent a larger proportion of our overall inventory, we would expect average days on market for our portfolio to decrease. To this point, as of March 31, 2023, such homes represented 59% of our portfolio, compared to 24% as of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Inventory Financing</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Our business model is working capital intensive and inventory financing is a key enabler of our growth. We primarily rely on our access to non-recourse asset-backed debt, which consists of asset-backed senior debt facilities and asset-backed mezzanine term debt facilities, to finance our home acquisitions. See “—</w:t>
      </w:r>
      <w:r>
        <w:rPr>
          <w:rFonts w:ascii="Times New Roman;sans-serif" w:hAnsi="Times New Roman;sans-serif"/>
          <w:b w:val="false"/>
          <w:i/>
          <w:color w:val="000000"/>
          <w:sz w:val="20"/>
        </w:rPr>
        <w:t>Liquidity and Capital Resources — Debt and Financing Arrangements.</w:t>
      </w:r>
      <w:r>
        <w:rPr>
          <w:color w:val="00000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residential real estate market is seasonal, with greater demand and home price appreciation from home buyers in the spring and summer, and typically weaker demand and lower home price appreciation in late fall and winter. In general, we expect our financial results and working capital requirements to reflect seasonal variations over time. However, other factors, including growth, market expansion and changes in macroeconomic conditions, such as rising inflation and interest rate increases as recently observed, have obscured the impact of seasonality in our historical financials and we expect may continue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of operations below, we report certain financial measures that are not required by, or presented in accordance with, U.S. generally accepted accounting principles (“GAAP”).</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measures have limitations as analytical tools when assessing our operating performance and should not be considered in isolation or as a substitute for GAAP measures, including gross profit and net income.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Gross Profit (Loss) and Contribution (Loss) Profit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provide investors with additional information regarding our margins and return on inventory acquired, we have included Adjusted Gross Profit (Loss) and Contribution (Loss) Profit, which are non-GAAP financial measures. We believe that Adjusted Gross Profit (Loss) and Contribution (Loss)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(Loss) Profit provides investors a measure to assess Opendoor’s ability to generate returns on homes sold during a reporting period after considering home purchase costs, renovation and repair costs, holding costs and selling costs.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(Loss) and Contribution (Loss)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Gross Profit (Loss) / Margin</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Gross Profit (Loss)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period end. Inventory valuation adjustment in prior periods is calculated by subtracting the inventory valuation adjustments recorded in prior periods on homes sold in the current period. We define Adjusted Gross Margin as Adjusted Gross Profit (Loss) as a percentage of revenue.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view this metric as an important measure of business performance as it captures gross margin performance isolated to homes sold in a given period and provides comparability across reporting periods. Adjusted Gross Profit (Loss) helps management assess home pricing, service fees and renovation performance for a specific resale cohort.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Contribution (Loss) Profit / Margin</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Contribution (Loss) Profit as Adjusted Gross Profit (Loss), minus certain costs incurred on homes sold during the current period including: (1) holding costs incurred in the current period, (2) holding costs incurred in prior periods, and (3) direct selling costs. The composition of our holding costs is described in the footnotes to the reconciliation table below. Contribution Margin is Contribution (Loss) Profit as a percentage of revenue.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view this metric as an important measure of business performance as it captures the unit level performance isolated to homes sold in a given period and provides comparability across reporting periods. Contribution (Loss) Profit helps management assess inflows and outflows directly associated with a specific resale cohort.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our Adjusted Gross Profit (Loss) and Contribution (Loss) Profit to our gross profit, which is the most directly comparable GAAP measure, for the periods indicated:</w:t>
      </w:r>
    </w:p>
    <w:tbl>
      <w:tblPr>
        <w:tblW w:w="9809" w:type="dxa"/>
        <w:jc w:val="left"/>
        <w:tblInd w:w="0" w:type="dxa"/>
        <w:tblLayout w:type="fixed"/>
        <w:tblCellMar>
          <w:top w:w="28" w:type="dxa"/>
          <w:left w:w="28" w:type="dxa"/>
          <w:bottom w:w="28" w:type="dxa"/>
          <w:right w:w="28" w:type="dxa"/>
        </w:tblCellMar>
      </w:tblPr>
      <w:tblGrid>
        <w:gridCol w:w="1592"/>
        <w:gridCol w:w="1398"/>
        <w:gridCol w:w="1404"/>
        <w:gridCol w:w="109"/>
        <w:gridCol w:w="109"/>
        <w:gridCol w:w="109"/>
        <w:gridCol w:w="211"/>
        <w:gridCol w:w="481"/>
        <w:gridCol w:w="271"/>
        <w:gridCol w:w="109"/>
        <w:gridCol w:w="109"/>
        <w:gridCol w:w="109"/>
        <w:gridCol w:w="211"/>
        <w:gridCol w:w="481"/>
        <w:gridCol w:w="271"/>
        <w:gridCol w:w="109"/>
        <w:gridCol w:w="109"/>
        <w:gridCol w:w="109"/>
        <w:gridCol w:w="211"/>
        <w:gridCol w:w="541"/>
        <w:gridCol w:w="271"/>
        <w:gridCol w:w="109"/>
        <w:gridCol w:w="109"/>
        <w:gridCol w:w="109"/>
        <w:gridCol w:w="211"/>
        <w:gridCol w:w="631"/>
        <w:gridCol w:w="316"/>
      </w:tblGrid>
      <w:tr>
        <w:trPr/>
        <w:tc>
          <w:tcPr>
            <w:tcW w:w="159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1,021</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Inventory valuation adjustment – Current Period</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Inventory valuation adjustment – Prior Periods</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1,068</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Direct selling costs</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Holding costs on sales – Current Period</w:t>
            </w:r>
            <w:r>
              <w:rPr>
                <w:rFonts w:ascii="Times New Roman;sans-serif" w:hAnsi="Times New Roman;sans-serif"/>
                <w:b w:val="false"/>
                <w:color w:val="000000"/>
                <w:sz w:val="13"/>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Holding costs on sales – Prior Periods</w:t>
            </w:r>
            <w:r>
              <w:rPr>
                <w:rFonts w:ascii="Times New Roman;sans-serif" w:hAnsi="Times New Roman;sans-serif"/>
                <w:b w:val="false"/>
                <w:color w:val="000000"/>
                <w:sz w:val="13"/>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Contribution (Loss)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754</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2" w:space="0" w:color="FFFFFF"/>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Inventory valuation adjustment includes adjustments to record real estate inventory at the lower of its carrying amount or its net realizable value. </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Represents selling costs incurred related to homes sold in the relevant period. This primarily includes broker commissions, external title and escrow-related fees and transfer taxes.</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Holding costs include mainly property taxes, insurance, utilities, homeowners association dues, cleaning and maintenance costs. Holding costs are included in Sales, marketing, and operations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Represents holding costs incurred in the period presented on homes sold in the period presented.</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Represents holding costs incurred in prior periods on homes sold in the period presented.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Adjusted Net (Loss) Income and Adjusted EBITDA</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present Adjusted Net (Loss) Income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not aligned to related revenue, or not reflective of ongoing operating results that vary in frequency and amount.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 Income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income (loss).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Net (Loss) Income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Adjusted Net (Loss) Income as GAAP net income (loss) adjusted to exclude non-cash expenses of stock-based compensation, equity securities fair value adjustment, and intangibles amortization expense. It excludes expenses that are not directly related to our revenue-generating operations such as restructuring, gain on lease termination, and legal contingency accruals. It excludes (gain) loss on extinguishment of debt as these expenses were incurred as a result of decisions made by management to repay portions of our outstanding credit facilities early; these expenses are not reflective of ongoing operating results and vary in frequency and amount. Adjusted Net (Loss) Income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Income does not currently include the tax effects of the non-GAAP adjustments because our taxes and such tax effects have not been material to date.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calculated Adjusted EBITDA as Adjusted Net (Loss) Income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our Adjusted Net (Loss) Income and Adjusted EBITDA to our net income (loss), which is the most directly comparable GAAP measure, for the periods indicated:</w:t>
      </w:r>
    </w:p>
    <w:tbl>
      <w:tblPr>
        <w:tblW w:w="10205" w:type="dxa"/>
        <w:jc w:val="left"/>
        <w:tblInd w:w="0" w:type="dxa"/>
        <w:tblLayout w:type="fixed"/>
        <w:tblCellMar>
          <w:top w:w="28" w:type="dxa"/>
          <w:left w:w="28" w:type="dxa"/>
          <w:bottom w:w="28" w:type="dxa"/>
          <w:right w:w="28" w:type="dxa"/>
        </w:tblCellMar>
      </w:tblPr>
      <w:tblGrid>
        <w:gridCol w:w="1823"/>
        <w:gridCol w:w="1536"/>
        <w:gridCol w:w="1543"/>
        <w:gridCol w:w="109"/>
        <w:gridCol w:w="109"/>
        <w:gridCol w:w="109"/>
        <w:gridCol w:w="211"/>
        <w:gridCol w:w="529"/>
        <w:gridCol w:w="271"/>
        <w:gridCol w:w="109"/>
        <w:gridCol w:w="109"/>
        <w:gridCol w:w="109"/>
        <w:gridCol w:w="211"/>
        <w:gridCol w:w="481"/>
        <w:gridCol w:w="271"/>
        <w:gridCol w:w="109"/>
        <w:gridCol w:w="109"/>
        <w:gridCol w:w="109"/>
        <w:gridCol w:w="211"/>
        <w:gridCol w:w="529"/>
        <w:gridCol w:w="271"/>
        <w:gridCol w:w="109"/>
        <w:gridCol w:w="109"/>
        <w:gridCol w:w="109"/>
        <w:gridCol w:w="211"/>
        <w:gridCol w:w="481"/>
        <w:gridCol w:w="318"/>
      </w:tblGrid>
      <w:tr>
        <w:trPr/>
        <w:tc>
          <w:tcPr>
            <w:tcW w:w="182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9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Equity securities fair value adjustment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Intangibles amortization expense</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Inventory valuation adjustment – Current Period</w:t>
            </w:r>
            <w:r>
              <w:rPr>
                <w:rFonts w:ascii="Times New Roman;sans-serif" w:hAnsi="Times New Roman;sans-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Inventory valuation adjustment — Prior Periods</w:t>
            </w:r>
            <w:r>
              <w:rPr>
                <w:rFonts w:ascii="Times New Roman;sans-serif" w:hAnsi="Times New Roman;sans-serif"/>
                <w:b w:val="false"/>
                <w:color w:val="000000"/>
                <w:sz w:val="13"/>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Restructuring</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lease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contingency accrual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(606)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221</w:t>
            </w: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excluding 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Property financing</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Other interest expense</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Interest income</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(509)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394</w:t>
            </w:r>
            <w:r>
              <w:rPr>
                <w:color w:val="000000"/>
              </w:rPr>
              <w:t>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the gains and losses on certain financial instruments, which are marked to fair value at the end of each period.</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amortization of acquisition-related intangible assets. The acquired intangible assets have useful lives ranging from 1 to 5 years and amortization is expected until the intangible assets are fully amortized.</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Inventory valuation adjustment includes adjustments to record real estate inventory at the lower of its carrying amount or its net realizable value.</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Restructuring costs consist primarily of severance and employee termination benefits related to the Company’s April 2023 workforce reduction.</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Includes primarily sublease income and income from equity method investments.</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Includes interest expense on our non-recourse asset-backed debt facilities.</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Includes amortization of debt issuance costs and loan origination fees, commitment fees, unused fees, other interest related costs on our asset-backed debt facilities, interest expense related to the 2026 convertible senior notes outstanding, and interest expense on other secured borrowings.</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Consists mainly of interest earned on cash, cash equivalents, restricted cash and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the majority of our revenue from the sale of homes that we previously acquired from homeowners. In addition, we generate revenue from additional services we provide to both home sellers and buyers, which consists primarily of title insurance and escrow services and brokerage services.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includes the property purchase price, acquisition costs, and direct costs to renovate or repair the home. These costs are accumulated in real estate inventory during the property holding period and charged to cost of revenue under the specific identification method when the property is sold. Real estate inventory is reviewed for valuation adjustments at least quarterly. If the carrying amount for a given home is not expected to be recovered, an inventory valuation adjustment is recorded to cost of revenue and the home’s carrying value is adjusted to its net realizable value. Additionally, for our revenue other than home sales revenue, cost of revenue consists of any costs incurred in delivering the service, including associated headcount expenses such as salaries, benefits, and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Marketing and Operations Expense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marketing and operations expense consists primarily of broker commissions (paid to the home buyers’ real estate agents and third-party listing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and Development Expense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 consists primarily of headcount expenses, including salaries, benefits and stock-based compensation for employees in the design, development, testing, maintenance and operation of our mobile applications, websites, tools, applications, and mobile apps that support our products. Technology and development expense also includes amortization of capitalized software development costs and third-party software and hosting costs.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Expense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 consists primarily of severance and other termination benefits for employees whose roles have been eliminated.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Gain on Extinguishment of Debt</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 xml:space="preserve">Gain on extinguishment of debt is the result of the Company’s partial repurchase of the 2026 Notes at a discount net of unamortized deferred costs associated with the 2026 Notes. The amount is offset by the termination of debt facilities, partial debt extinguishments, and unamortized deferred costs associated with these facilities. See </w:t>
      </w:r>
      <w:r>
        <w:rPr>
          <w:rFonts w:ascii="Times New Roman;sans-serif" w:hAnsi="Times New Roman;sans-serif"/>
          <w:b w:val="false"/>
          <w:i/>
          <w:color w:val="000000"/>
          <w:sz w:val="20"/>
        </w:rPr>
        <w:t xml:space="preserve">Part I – Item 1.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pPr>
      <w:r>
        <w:rPr>
          <w:color w:val="000000"/>
        </w:rPr>
        <w:t xml:space="preserve">– </w:t>
      </w:r>
      <w:r>
        <w:rPr>
          <w:rFonts w:ascii="Times New Roman;sans-serif" w:hAnsi="Times New Roman;sans-serif"/>
          <w:b w:val="false"/>
          <w:i/>
          <w:color w:val="000000"/>
          <w:sz w:val="20"/>
        </w:rPr>
        <w:t>Notes to Condensed Consolidated Financial Statements – Note 5. Credit Facilities and Long-Term Debt—Convertible Senior Notes</w:t>
      </w:r>
      <w:r>
        <w:rPr>
          <w:color w:val="000000"/>
        </w:rPr>
        <w:t xml:space="preserve"> </w:t>
      </w:r>
      <w:r>
        <w:rPr>
          <w:rFonts w:ascii="Times New Roman;sans-serif" w:hAnsi="Times New Roman;sans-serif"/>
          <w:b w:val="false"/>
          <w:color w:val="000000"/>
          <w:sz w:val="20"/>
        </w:rPr>
        <w:t>for additional information regarding the 2026 Notes.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Interest expense consists primarily of interest paid or payable and the amortization of debt discounts and debt issuance costs. Interest expense varies period over period, primarily due to fluctuations in our inventory volumes and changes in the floating benchmark interest rates (“Benchmark Rates”), based on a London Interbank Offered Rate (“LIBOR”) or the secured overnight financing rate (“SOFR”), plus an applicable margin, which impact the interest incurred on our senior revolving credit facilities (see “— </w:t>
      </w:r>
      <w:r>
        <w:rPr>
          <w:rFonts w:ascii="Times New Roman;sans-serif" w:hAnsi="Times New Roman;sans-serif"/>
          <w:b w:val="false"/>
          <w:i/>
          <w:color w:val="000000"/>
          <w:sz w:val="20"/>
        </w:rPr>
        <w:t>Liquidity and Capital Resources — Debt and Financing Arrangements</w:t>
      </w:r>
      <w:r>
        <w:rPr>
          <w:color w:val="000000"/>
        </w:rPr>
        <w:t>”</w:t>
      </w:r>
      <w:r>
        <w:rPr>
          <w:rFonts w:ascii="Times New Roman;sans-serif" w:hAnsi="Times New Roman;sans-serif"/>
          <w:b w:val="false"/>
          <w:color w:val="000000"/>
          <w:sz w:val="20"/>
        </w:rPr>
        <w: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cost-effective financing relative to our higher cost mezzanine term debt facilities.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(Loss) — Net</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 xml:space="preserve">Other income (loss) </w:t>
      </w:r>
      <w:r>
        <w:rPr>
          <w:color w:val="000000"/>
        </w:rPr>
        <w:t xml:space="preserve">– </w:t>
      </w:r>
      <w:r>
        <w:rPr>
          <w:rFonts w:ascii="Times New Roman;sans-serif" w:hAnsi="Times New Roman;sans-serif"/>
          <w:b w:val="false"/>
          <w:color w:val="000000"/>
          <w:sz w:val="20"/>
        </w:rPr>
        <w:t>net consists primarily of interest income on our Cash and Restricted cash balances and from our investment in money market funds, time deposits, and debt securities as well as changes in fair value of, and dividend income from, our investment in equity securities.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each of the periods presented:</w:t>
      </w:r>
    </w:p>
    <w:tbl>
      <w:tblPr>
        <w:tblW w:w="7426" w:type="dxa"/>
        <w:jc w:val="left"/>
        <w:tblInd w:w="0" w:type="dxa"/>
        <w:tblLayout w:type="fixed"/>
        <w:tblCellMar>
          <w:top w:w="28" w:type="dxa"/>
          <w:left w:w="28" w:type="dxa"/>
          <w:bottom w:w="28" w:type="dxa"/>
          <w:right w:w="28" w:type="dxa"/>
        </w:tblCellMar>
      </w:tblPr>
      <w:tblGrid>
        <w:gridCol w:w="1059"/>
        <w:gridCol w:w="931"/>
        <w:gridCol w:w="934"/>
        <w:gridCol w:w="211"/>
        <w:gridCol w:w="616"/>
        <w:gridCol w:w="109"/>
        <w:gridCol w:w="109"/>
        <w:gridCol w:w="109"/>
        <w:gridCol w:w="109"/>
        <w:gridCol w:w="211"/>
        <w:gridCol w:w="616"/>
        <w:gridCol w:w="109"/>
        <w:gridCol w:w="109"/>
        <w:gridCol w:w="109"/>
        <w:gridCol w:w="109"/>
        <w:gridCol w:w="211"/>
        <w:gridCol w:w="691"/>
        <w:gridCol w:w="109"/>
        <w:gridCol w:w="109"/>
        <w:gridCol w:w="269"/>
        <w:gridCol w:w="271"/>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in</w:t>
            </w:r>
          </w:p>
        </w:tc>
        <w:tc>
          <w:tcPr>
            <w:tcW w:w="856" w:type="dxa"/>
            <w:gridSpan w:val="3"/>
            <w:tcBorders/>
          </w:tcPr>
          <w:p>
            <w:pPr>
              <w:pStyle w:val="TableContents"/>
              <w:bidi w:val="0"/>
              <w:spacing w:before="0" w:after="283"/>
              <w:jc w:val="left"/>
              <w:rPr>
                <w:sz w:val="4"/>
                <w:szCs w:val="4"/>
              </w:rPr>
            </w:pPr>
            <w:r>
              <w:rPr>
                <w:sz w:val="4"/>
                <w:szCs w:val="4"/>
              </w:rPr>
            </w:r>
          </w:p>
        </w:tc>
      </w:tr>
      <w:tr>
        <w:trPr/>
        <w:tc>
          <w:tcPr>
            <w:tcW w:w="2924"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24"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marketing and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tbl>
      <w:tblPr>
        <w:tblW w:w="7202" w:type="dxa"/>
        <w:jc w:val="left"/>
        <w:tblInd w:w="0" w:type="dxa"/>
        <w:tblLayout w:type="fixed"/>
        <w:tblCellMar>
          <w:top w:w="28" w:type="dxa"/>
          <w:left w:w="28" w:type="dxa"/>
          <w:bottom w:w="28" w:type="dxa"/>
          <w:right w:w="28" w:type="dxa"/>
        </w:tblCellMar>
      </w:tblPr>
      <w:tblGrid>
        <w:gridCol w:w="978"/>
        <w:gridCol w:w="860"/>
        <w:gridCol w:w="862"/>
        <w:gridCol w:w="211"/>
        <w:gridCol w:w="616"/>
        <w:gridCol w:w="109"/>
        <w:gridCol w:w="109"/>
        <w:gridCol w:w="109"/>
        <w:gridCol w:w="109"/>
        <w:gridCol w:w="211"/>
        <w:gridCol w:w="616"/>
        <w:gridCol w:w="109"/>
        <w:gridCol w:w="109"/>
        <w:gridCol w:w="109"/>
        <w:gridCol w:w="109"/>
        <w:gridCol w:w="211"/>
        <w:gridCol w:w="691"/>
        <w:gridCol w:w="109"/>
        <w:gridCol w:w="109"/>
        <w:gridCol w:w="269"/>
        <w:gridCol w:w="271"/>
        <w:gridCol w:w="316"/>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in</w:t>
            </w:r>
          </w:p>
        </w:tc>
        <w:tc>
          <w:tcPr>
            <w:tcW w:w="856" w:type="dxa"/>
            <w:gridSpan w:val="3"/>
            <w:tcBorders/>
          </w:tcPr>
          <w:p>
            <w:pPr>
              <w:pStyle w:val="TableContents"/>
              <w:bidi w:val="0"/>
              <w:spacing w:before="0" w:after="283"/>
              <w:jc w:val="left"/>
              <w:rPr>
                <w:sz w:val="4"/>
                <w:szCs w:val="4"/>
              </w:rPr>
            </w:pPr>
            <w:r>
              <w:rPr>
                <w:sz w:val="4"/>
                <w:szCs w:val="4"/>
              </w:rPr>
            </w:r>
          </w:p>
        </w:tc>
      </w:tr>
      <w:tr>
        <w:trPr/>
        <w:tc>
          <w:tcPr>
            <w:tcW w:w="2700"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0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marketing and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by $2.2 billion, or 53%, for the three months ended June 30, 2023 compared to the three months ended June 30, 2022. The decrease in revenue was primarily attributable to lower sales volumes as well as lower revenue per home in the second quarter of 2023. We sold 5,383 homes during the three months ended June 30, 2023, compared to 10,482 homes during the three months ended June 30, 2022, representing a decrease of 49%. Revenue per home sold decreased 8% between the same periods. The decrease in sales volumes was a result of the proactive reduction of our inventory acquisition pace beginning in the third quarter of 2022 via higher spreads embedded in our offers and lower marketing investment in reaction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in the U.S. housing market. The decrease in revenue per home sold was primarily attributed to a slowdown in home price appreciation (“HPA”).</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by $4.3 billion, or 45%, for the six months ended June 30, 2023 compared to the six months ended June 30, 2022. The decrease in revenue was primarily attributable to lower sales volumes as well as lower revenue per home sold. We sold 13,657 homes during the six months ended June 30, 2023, compared to 23,151 homes during the six months ended June 30, 2022, representing a decrease of 41% and revenue per home sold decreased 8% between the same periods. The decrease in sales volumes and revenue per home sold was primarily attributable to the slowdown in inventory acquisition pacing and HPA discussed above.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and Gross Profit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decreased by $1.9 billion, or 51%, for the three months ended June 30, 2023 compared to the three months ended June 30, 2022. The decrease in cost of revenue was primarily attributable to lower sales volumes and a 4% decrease in cost of revenue per home due to the slowdown in inventory acquisition pacing and HPA discussed above.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$3.6 billion, or 43%, for the six months ended June 30, 2023 compared to the six months ended June 30, 2022. The decrease in cost of revenue was primarily attributable to lower sales volumes and a 3% decrease in cost of revenue per home due to the slowdown in inventory acquisition pacing and HPA discussed above.</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Gross profit decreased from $486 million to $149 million and gross margin decreased from 11.6% to 7.5% for the three months ended June 30, 2022 and June 30, 2023, respectively. For the same periods, Adjusted Gross Margin decreased from 13.2% to 0.4%. The decrease in gross margin reflects the rapid downturn in the U.S. housing market primarily in the second half of 2022, resulting in market conditions at the time of sale to be weaker than we believed they would be at the time of pricing our inventory acquisitions. In addition, we have prioritized risk management and resale clearance at the expense of resale margin performance in order to clear homes acquired prior to the shift in market conditions. Adjusted gross margin for the three months ended June 30, 2023 is further impacted by $156 million of inventory valuation adjustments recorded in prior periods on the homes sold in the current period in order to reduce the carrying value of these homes to their net realizable value. Contribution Margin decreased from 10.1% to (4.6)%, due to the reasons noted above as well as increased holding costs due to longer average inventory holding periods. See “— </w:t>
      </w:r>
      <w:r>
        <w:rPr>
          <w:rFonts w:ascii="Times New Roman;sans-serif" w:hAnsi="Times New Roman;sans-serif"/>
          <w:b w:val="false"/>
          <w:i/>
          <w:color w:val="000000"/>
          <w:sz w:val="20"/>
        </w:rPr>
        <w:t>Non-GAAP Financial Measures</w:t>
      </w:r>
      <w:r>
        <w:rPr>
          <w:rFonts w:ascii="Times New Roman;sans-serif" w:hAnsi="Times New Roman;sans-serif"/>
          <w:b w:val="false"/>
          <w:color w:val="000000"/>
          <w:sz w:val="20"/>
        </w:rPr>
        <w:t>.”</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Gross profit decreased from $1.0 billion to $319 million and gross margin decreased from 10.9% to 6.3% for the six months ended June 30, 2022 and June 30, 2023, respectively. For the same periods, Adjusted Gross Margin decreased from 11.4% to (1.9)%. The decrease in gross margin reflects the rapid downturn in the U.S. housing market primarily in the second half of 2022, resulting in market conditions at the time of sale to be weaker than we believed they would be at the time of pricing our inventory acquisitions. In addition, we have prioritized risk management and resale clearance at the expense of resale margin performance in order to clear homes acquired prior to the shift in market conditions. Adjusted gross margin for the six months ended June 30, 2023 is further impacted by $432 million of inventory valuation adjustments recorded in prior periods on the homes sold in the current period in order to reduce the carrying value of these homes to their net realizable value. For the same period, Contribution Margin decreased from 8.1% to (6.5)%, due to the reasons noted above as well as increased holding costs due to longer average inventory holding periods. See “— </w:t>
      </w:r>
      <w:r>
        <w:rPr>
          <w:rFonts w:ascii="Times New Roman;sans-serif" w:hAnsi="Times New Roman;sans-serif"/>
          <w:b w:val="false"/>
          <w:i/>
          <w:color w:val="000000"/>
          <w:sz w:val="20"/>
        </w:rPr>
        <w:t>Non-GAAP Financial Measures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lineRule="auto" w:line="288" w:before="240" w:after="283"/>
        <w:ind w:left="0" w:right="0" w:firstLine="450"/>
        <w:jc w:val="left"/>
        <w:rPr/>
      </w:pPr>
      <w:r>
        <w:rPr>
          <w:rFonts w:ascii="Times New Roman;sans-serif" w:hAnsi="Times New Roman;sans-serif"/>
          <w:b w:val="false"/>
          <w:i/>
          <w:color w:val="000000"/>
          <w:sz w:val="20"/>
        </w:rPr>
        <w:t>Sales, Marketing and Operations</w:t>
      </w:r>
      <w:r>
        <w:rPr>
          <w:rFonts w:ascii="Times New Roman;sans-serif" w:hAnsi="Times New Roman;sans-serif"/>
          <w:b w:val="false"/>
          <w:color w:val="000000"/>
          <w:sz w:val="20"/>
        </w:rPr>
        <w:t xml:space="preserve">. Sales, marketing and operations decreased by $152 million, or 55%, for the three months ended June 30, 2023 compared to the three months ended June 30, 2022. The decrease was primarily attributable to a $42 million decrease in resale transaction costs and broker commissions, consistent with the 53% decrease in revenue during the same period. Property holding costs decreased by $26 million, consistent with decreased inventory levels compared to the three months ended June 30, 2022. Advertising expense decreased $63 million, from $78 million for the three months ended June 30, 2022 to $15 million for the three months ended June 30, 2023 as we decreased marketing in both existing and new markets. In addition, for the same period, headcount expenses, including salaries and benefits, decreased $11 million, which was largely attributable to the November 2022 and April 2023 workforce reductions.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marketing and operations decreased by $240 million, or 43%, for the six months ended June 30, 2023 compared to the six months ended June 30, 2022. The decrease was primarily attributable to a $93 million decrease in resale transaction costs and broker commissions, consistent with the 45% decrease in revenue during the same period. Property holding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decreased by $37 million, consistent with decreased inventory levels compared to the six months ended June 30, 2022. Advertising expense decreased $85 million, from $127 million for the six months ended June 30, 2022 to $42 million for the six months ended June 30, 2023 as we decreased marketing in both existing and new markets. In addition, headcount expenses, including salaries and benefits, decreased $9 million consistent with the November 2022 and April 2023 workforce reductions. </w:t>
      </w:r>
    </w:p>
    <w:p>
      <w:pPr>
        <w:pStyle w:val="TextBody"/>
        <w:bidi w:val="0"/>
        <w:spacing w:lineRule="auto" w:line="288" w:before="240" w:after="283"/>
        <w:ind w:left="0" w:right="0" w:firstLine="450"/>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decreased by $93 million, or 68%, for the three months ended June 30, 2023 compared to the three months ended June 30, 2022. The decrease was mainly attributable to a $38 million reduction in stock-based compensation, which was primarily related to the forfeiture of certain executive restricted stock units (“RSUs”), including performance-based awards. In addition, the Company recorded a $42 million legal contingency accrual during the three months ended June 30, 2022 for the Federal Trade Commission matter, which was settled in October 2022, as previously disclosed in our Annual Report and therefore no additional settlement amounts were incurred on this matter during the three months ended June 30, 2023.</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decreased by $128 million, or 54%, for the six months ended June 30, 2023 compared to the six months ended June 30, 2022. The decrease was mainly attributable to a $62 million reduction in stock-based compensation, which was primarily related to the forfeiture of certain executive RSUs, including performance-based awards. In addition, the Company recorded a $45 million legal contingency accrual during the six months ended June 30, 2022 for the Federal Trade Commission matter, which was settled in October 2022, as previously disclosed in our Annual Report. No additional legal expenses were incurred on this matter during the six months ended June 30, 2023.</w:t>
      </w:r>
    </w:p>
    <w:p>
      <w:pPr>
        <w:pStyle w:val="TextBody"/>
        <w:bidi w:val="0"/>
        <w:spacing w:lineRule="auto" w:line="288" w:before="240" w:after="283"/>
        <w:ind w:left="0" w:right="0" w:firstLine="450"/>
        <w:jc w:val="left"/>
        <w:rPr/>
      </w:pPr>
      <w:r>
        <w:rPr>
          <w:rFonts w:ascii="Times New Roman;sans-serif" w:hAnsi="Times New Roman;sans-serif"/>
          <w:b w:val="false"/>
          <w:i/>
          <w:color w:val="000000"/>
          <w:sz w:val="20"/>
        </w:rPr>
        <w:t>Technology and Development</w:t>
      </w:r>
      <w:r>
        <w:rPr>
          <w:rFonts w:ascii="Times New Roman;sans-serif" w:hAnsi="Times New Roman;sans-serif"/>
          <w:b w:val="false"/>
          <w:color w:val="000000"/>
          <w:sz w:val="20"/>
        </w:rPr>
        <w:t xml:space="preserve">. Technology and development changed by a nominal amount for the three and six months ended June 30, 2023 compared to the three and six months ended June 30, 2022. </w:t>
      </w:r>
    </w:p>
    <w:p>
      <w:pPr>
        <w:pStyle w:val="TextBody"/>
        <w:bidi w:val="0"/>
        <w:spacing w:lineRule="auto" w:line="288" w:before="240" w:after="283"/>
        <w:ind w:left="0" w:right="0" w:firstLine="450"/>
        <w:jc w:val="left"/>
        <w:rPr/>
      </w:pPr>
      <w:r>
        <w:rPr>
          <w:rFonts w:ascii="Times New Roman;sans-serif" w:hAnsi="Times New Roman;sans-serif"/>
          <w:b w:val="false"/>
          <w:i/>
          <w:color w:val="000000"/>
          <w:sz w:val="20"/>
        </w:rPr>
        <w:t>Restructuring</w:t>
      </w:r>
      <w:r>
        <w:rPr>
          <w:rFonts w:ascii="Times New Roman;sans-serif" w:hAnsi="Times New Roman;sans-serif"/>
          <w:b w:val="false"/>
          <w:color w:val="000000"/>
          <w:sz w:val="20"/>
        </w:rPr>
        <w:t xml:space="preserve">. Restructuring increased by $10 million, for the three and six months ended June 30, 2023 compared to the three and six months ended June 30, 2022. Restructuring expense was attributable to the Company’s April 2023 workforce reduction of approximately 22% of our workforce or 560 employees.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Extinguishment of Debt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 increased by $104 million, for the three months ended June 30, 2023 compared to the three months ended June 30, 2022. The gain on extinguishment of debt resulted from the Company’s partial repurchase of its 2026 Notes at a discount net of unamortized deferred costs associated with the 2026 Notes in May 2023, partially offset by expenses related to partial debt extinguishments during the three months ended June 30, 2023.</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 increased by $182 million, for the six months ended June 30, 2023 compared to the six months ended June 30, 2022. The gain on extinguishment of debt resulted from the Company’s partial repurchase of its 2026 Notes in March and May 2023 at a discount net of unamortized deferred costs associated with the 2026 Notes, partially offset by expenses related to partial debt extinguishments during the six months ended June 30,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decreased by $36 million, or 40%, for the three months ended June 30, 2023 compared to the three months ended June 30, 2022. The decrease was primarily attributable to a significant decrease in average balances in our non-recourse asset-backed debt, partially offset by increases in the floating Benchmark Rates on our asset-backed senior revolving credit facilities.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$30 million, or 19%, for the six months ended June 30, 2023 compared to the six months ended June 30, 2022. The decrease was primarily attributable to a significant decrease in average balances in our non-recourse asset-backed debt, partially offset by increases in the floating Benchmark Rates on our asset-backed senior revolving credit facilities.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(Loss) — Net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(loss) – net increased to $41 million from $4 million for the three months ended June 30, 2023 compared to the three months ended June 30, 2022. The increase is primarily related to a $28 million increase in interest income due 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interest rates and a $9 million unrealized fair value adjustment recorded on marketable equity securities during the three months ended June 30, 2023.</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 net increased to $60 million from $(18) million for the six months ended June 30, 2023 compared to the six months ended June 30, 2022. The increase is primarily related to a $46 million increase in interest income due to an increase in interest rates and a $31 million unrealized fair value adjustment recorded on marketable equity securities during the three months ended June 30,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changed by a nominal amount for the three and six months ended June 30, 2023 compared to the three and six months ended June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have historically consisted of cash generated from our operations and from financing activities. As of June 30, 2023, we had cash and cash equivalents of $1.1 billion, restricted cash of $1.7 billion, and marketable securities of $90 million. The decline in our cash, cash equivalents and marketable securities balance of $71 million as compared to December 31, 2022 resulted from a combination of operating losses and the partial repurchase of our 2026 Notes, offset by capital released as a result of reduced inventory levels. The increase in our restricted cash balance of $1.0 billion as compared to December 31, 2022 was a result of the proactive reduction of our acquisition pace via higher spreads embedded in our offers and lower marketing investment, resulting in greater restricted cash available for the future acquisition of real estate inventory.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total outstanding balances on our asset-backed debt of $2.6 billion and aggregate principal outstanding from convertible senior notes of $510 million. In addition, we had undrawn borrowing capacity of $7.6 billion under our non-recourse asset-backed debt facilities (as described further below), of which $1.7 billion was committed.</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In March 2023 and May 2023, we repurchased approximately $189 million and $279 million, respectively, in aggregate principal amount of our 2026 Notes as further described in “</w:t>
      </w:r>
      <w:r>
        <w:rPr>
          <w:rFonts w:ascii="Times New Roman;sans-serif" w:hAnsi="Times New Roman;sans-serif"/>
          <w:b w:val="false"/>
          <w:i/>
          <w:color w:val="000000"/>
          <w:sz w:val="20"/>
        </w:rPr>
        <w:t>Part I – Item 1. Financial Statements – Notes to Condensed Consolidated Financial Statements – Note 5. Credit Facilities and Long-Term Debt – Convertible Senior Notes</w:t>
      </w:r>
      <w:r>
        <w:rPr>
          <w:color w:val="000000"/>
        </w:rPr>
        <w:t xml:space="preserve">” </w:t>
      </w:r>
      <w:r>
        <w:rPr>
          <w:rFonts w:ascii="Times New Roman;sans-serif" w:hAnsi="Times New Roman;sans-serif"/>
          <w:b w:val="false"/>
          <w:color w:val="000000"/>
          <w:sz w:val="20"/>
        </w:rPr>
        <w:t>in this Quarterly Report on Form 10-Q. As market conditions warrant, we may, from time to time, repurchase additional outstanding debt securities in the open market, in privately negotiated transactions, by tender offer, by exchange transaction or otherwise. Such repurchases, if any, will be upon such terms and at such prices as we may determine, and will depend on prevailing market conditions, our liquidity and other factors and may be commenced or suspended at any time. The amounts involved and total consideration paid may be material.</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losses from inception, with the exception of net income during the three months ended March 31, 2022 and three months ended June 30, 2023, and we expect to incur additional losses in the future. Our ability to service our debt and fund working capital, business operations and capital expenditures will depend on our ability to generate cash from operating activities, which is subject to our future operating success, and ability to obtain inventory acquisition financing on reasonable terms, which is subject to factors beyond our control, including potential economic recession, rising interest rates, inflation and general economic, political and financial market conditions.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may increase should our inventory balance increase over the remainder of the year. We believe our cash, cash equivalents and marketable securities, together with cash we expect to generate from future operations and borrowings, will be sufficient to meet our working capital and capital expenditure requirements for a period of at least 12 months from the date of this Quarterly Report on Form 10-Q.</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Debt and Financing Arrangements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include: short-term borrowings under our asset-backed senior revolving credit facilities and, prior to the discontinuation of our mortgage origination business, our mortgage repurchase financing; the issuance of long-term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backed senior term debt, asset-backed mezzanine term debt, and convertible debt;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We intend to actively manage our relationships with multiple financial institutions and seek to optimize duration, flexibility, efficiency and cost of funds, but there can be no assurance that we will be able to obtain sufficient capital for our business or to do so on acceptable financial and other terms.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asset-backed facilities are each collateralized by a specified pool of assets, consisting of real estate inventory, restricted cash and equity interests in certain consolidated subsidiaries of Opendoor that directly or indirectly own our real estate inventory. The terms of our inventory financing facilities require an Opendoor subsidiary to comply with customary financial covenants, such as maintaining certain levels of liquidity, tangible net worth or leverage (ratio of debt to tangible net worth). As of June 30, 2023, the Company was in compliance with all financial covenants.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property financing subsidiaries’ assets and credit generally are not available to satisfy the debts and other obligations of any other Opendoor entities. Our asset-backed debt is non-recourse to Opendoor and our subsidiaries that are not party to the relevant financing arrangements, except for limited guarantees provided by an Opendoor subsidiary for certain obligations in situations involving “bad acts” by an Opendoor entity and certain other limited circumstances.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asset-backed senior debt facilities generally provide for advance rates of 75% to 90% against our cost basis in the underlying properties upon acquisition. Our mezzanine term facilities may finance up to 95% to 100% of our cost basis in the underlying properties upon acquisition. The maximum initial advance rates vary by facility and generally decrease on a fixed timeline that varies by facility based on the length of time a given property has been financed and other facility-specific adjustments, including adjustments based on collateral performance.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times, we may be required to keep amounts in restricted cash accounts to collateralize our asset-backed term debt facilities if the property borrowing base is insufficient to satisfy the borrowing base requirements. These amounts may fluctuate due to seasonality, timing of property acquisitions and resales, and the outstanding loan balances under our asset-backed term debt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details related to our non-recourse asset-backed debt and other secured borrowings as of June 30, 2023 (in millions, except interest rates):</w:t>
      </w:r>
    </w:p>
    <w:tbl>
      <w:tblPr>
        <w:tblW w:w="10205" w:type="dxa"/>
        <w:jc w:val="left"/>
        <w:tblInd w:w="0" w:type="dxa"/>
        <w:tblLayout w:type="fixed"/>
        <w:tblCellMar>
          <w:top w:w="28" w:type="dxa"/>
          <w:left w:w="28" w:type="dxa"/>
          <w:bottom w:w="28" w:type="dxa"/>
          <w:right w:w="28" w:type="dxa"/>
        </w:tblCellMar>
      </w:tblPr>
      <w:tblGrid>
        <w:gridCol w:w="658"/>
        <w:gridCol w:w="579"/>
        <w:gridCol w:w="567"/>
        <w:gridCol w:w="109"/>
        <w:gridCol w:w="109"/>
        <w:gridCol w:w="109"/>
        <w:gridCol w:w="196"/>
        <w:gridCol w:w="646"/>
        <w:gridCol w:w="109"/>
        <w:gridCol w:w="109"/>
        <w:gridCol w:w="109"/>
        <w:gridCol w:w="109"/>
        <w:gridCol w:w="196"/>
        <w:gridCol w:w="406"/>
        <w:gridCol w:w="109"/>
        <w:gridCol w:w="109"/>
        <w:gridCol w:w="109"/>
        <w:gridCol w:w="109"/>
        <w:gridCol w:w="239"/>
        <w:gridCol w:w="678"/>
        <w:gridCol w:w="134"/>
        <w:gridCol w:w="109"/>
        <w:gridCol w:w="109"/>
        <w:gridCol w:w="109"/>
        <w:gridCol w:w="297"/>
        <w:gridCol w:w="259"/>
        <w:gridCol w:w="458"/>
        <w:gridCol w:w="109"/>
        <w:gridCol w:w="109"/>
        <w:gridCol w:w="109"/>
        <w:gridCol w:w="539"/>
        <w:gridCol w:w="539"/>
        <w:gridCol w:w="541"/>
        <w:gridCol w:w="109"/>
        <w:gridCol w:w="109"/>
        <w:gridCol w:w="109"/>
        <w:gridCol w:w="355"/>
        <w:gridCol w:w="303"/>
        <w:gridCol w:w="435"/>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Borrowing</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End of Revolving / Withdrawal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Final Maturity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October 20,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October 20, 2025</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31, 2023</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8, 2023</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4, 2025</w:t>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Senior Term Debt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January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2025</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10, 2025</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2021-S3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January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July 31, 2027</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March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 2025</w:t>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Mezzanine Term Debt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2020-M1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April 1, 2026</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Debt Facility 2022-M1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September 15, 2026</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Non-Recourse Asset-backed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Asset-backed Senior Revolving Credit Facilities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classify the senior revolving credit facilities as current liabilities on our condensed consolidated balance sheets. In some cases, the borrowing capacity amounts under the asset-backed senior revolving credit facilities as reflected in the table are not fully committed and any borrowings above the committed amounts are subject to the applicable lender’s discretion. As of June 30, 2023, we had committed borrowing capacity with respect to asset-backed senior revolving credit facilities of $1.7 billion.</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 The Company has entered into short term extensions under Revolving Facilities 2019-1 and 2019-2 with the intention of entering into longer duration renewals with respect to each facility.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Asset-backed Senior Term Debt Facilities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senior term debt facilities as non-current liabilities in our condensed consolidated balance sheets. The carrying value of the non-current liabilities is reduced by issuance costs of $15 million. In some cases, the borrowing capacity amounts under the asset-backed senior term debt facilities as reflected in the table are not fully committed and any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 the committed amounts are subject to the applicable lender’s discretion. As of June 30, 2023, we had committed borrowing capacity with respect to asset-backed senior term debt facilities of $1.6 billion.</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withdrawal period end dates and final maturity dates reflected in the table above are inclusive of any extensions that are at the sole discretion of the Company. Certain of our asset-backed senior term debt facilities also have additional extension options that are subject to lender approval that are not reflected in the table above.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Asset-backed Mezzanine Term Debt Facilities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asset-backed senior revolving credit facilities and asset-backed senior term debt facilities, we have issued asset-backed mezzanine term debt facilities which are subordinated to the related senior facilities. The borrowing capacity amounts under the asset-backed mezzanine term debt facilities as reflected in the table are not fully committed and any borrowing above the committed amounts are subject to the applicable lender’s discretion. As of June 30, 2023, we had committed borrowing capacity with respect to asset-backed mezzanine term debt facilities of $950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we issued the 2026 Notes with an aggregate principal amount of $978 million. The table below summarizes certain details related to our 2026 Notes (in millions), as of June 30, 2023, which includes certain repurchases:</w:t>
      </w:r>
    </w:p>
    <w:tbl>
      <w:tblPr>
        <w:tblW w:w="9424" w:type="dxa"/>
        <w:jc w:val="left"/>
        <w:tblInd w:w="0" w:type="dxa"/>
        <w:tblLayout w:type="fixed"/>
        <w:tblCellMar>
          <w:top w:w="28" w:type="dxa"/>
          <w:left w:w="28" w:type="dxa"/>
          <w:bottom w:w="28" w:type="dxa"/>
          <w:right w:w="28" w:type="dxa"/>
        </w:tblCellMar>
      </w:tblPr>
      <w:tblGrid>
        <w:gridCol w:w="411"/>
        <w:gridCol w:w="362"/>
        <w:gridCol w:w="367"/>
        <w:gridCol w:w="109"/>
        <w:gridCol w:w="109"/>
        <w:gridCol w:w="109"/>
        <w:gridCol w:w="810"/>
        <w:gridCol w:w="1796"/>
        <w:gridCol w:w="424"/>
        <w:gridCol w:w="109"/>
        <w:gridCol w:w="109"/>
        <w:gridCol w:w="109"/>
        <w:gridCol w:w="899"/>
        <w:gridCol w:w="1153"/>
        <w:gridCol w:w="467"/>
        <w:gridCol w:w="109"/>
        <w:gridCol w:w="109"/>
        <w:gridCol w:w="109"/>
        <w:gridCol w:w="445"/>
        <w:gridCol w:w="984"/>
        <w:gridCol w:w="325"/>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Remaining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Part I – Item 1. Financial Statements – Notes to Condensed Consolidated Financial Statements – Note 5. Credit Facilities and Long-Term Debt</w:t>
      </w:r>
      <w:r>
        <w:rPr>
          <w:color w:val="000000"/>
        </w:rPr>
        <w:t xml:space="preserve">” </w:t>
      </w:r>
      <w:r>
        <w:rPr>
          <w:rFonts w:ascii="Times New Roman;sans-serif" w:hAnsi="Times New Roman;sans-serif"/>
          <w:b w:val="false"/>
          <w:color w:val="000000"/>
          <w:sz w:val="20"/>
        </w:rPr>
        <w:t>for additional information regarding our debt and financing arrangements.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 Purpose Entities</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The Company has established certain special purpose entities (“SPEs”) for the purpose of financing the Company’s purchase and renovation of real estate inventory through the issuance of asset-backed debt. The Company is the primary beneficiary of the various variable interest entities (“VIE”) within these financing structures and consolidates these VIEs. See “</w:t>
      </w:r>
      <w:r>
        <w:rPr>
          <w:rFonts w:ascii="Times New Roman;sans-serif" w:hAnsi="Times New Roman;sans-serif"/>
          <w:b w:val="false"/>
          <w:i/>
          <w:color w:val="000000"/>
          <w:sz w:val="20"/>
        </w:rPr>
        <w:t>Part I – Item 1. Financial Statements – Notes to Condensed Consolidated Financial Statements – Note 4. Variable Interest Entities</w:t>
      </w:r>
      <w:r>
        <w:rPr>
          <w:color w:val="000000"/>
        </w:rPr>
        <w:t xml:space="preserve">” </w:t>
      </w:r>
      <w:r>
        <w:rPr>
          <w:rFonts w:ascii="Times New Roman;sans-serif" w:hAnsi="Times New Roman;sans-serif"/>
          <w:b w:val="false"/>
          <w:color w:val="000000"/>
          <w:sz w:val="20"/>
        </w:rPr>
        <w:t>for additional information regarding our VIEs.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assets and liabilities related to the VIEs consolidated by the Company as well as the assets, liabilities and equity related to Opendoor Technologies Inc. (Parent Company Only) (“Parent Company”) and subsidiaries that are not VIEs, as of June 30, 2023 (in millions): </w:t>
      </w:r>
    </w:p>
    <w:tbl>
      <w:tblPr>
        <w:tblW w:w="7733" w:type="dxa"/>
        <w:jc w:val="left"/>
        <w:tblInd w:w="0" w:type="dxa"/>
        <w:tblLayout w:type="fixed"/>
        <w:tblCellMar>
          <w:top w:w="28" w:type="dxa"/>
          <w:left w:w="28" w:type="dxa"/>
          <w:bottom w:w="28" w:type="dxa"/>
          <w:right w:w="28" w:type="dxa"/>
        </w:tblCellMar>
      </w:tblPr>
      <w:tblGrid>
        <w:gridCol w:w="1411"/>
        <w:gridCol w:w="1242"/>
        <w:gridCol w:w="1246"/>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valuation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inventory,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senior revolver asset-backed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asset-backed mezzanine 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asset-backed senior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Company’s consolidated Other Assets include the following assets as shown in the Condensed Consolidated Balance Sheets: Property and Equipment - Net, $62 million; Right of Use Assets, $28 million; Goodwill, $4 million; Intangibles - Net, $9 million; and Other Assets, $27 million.</w:t>
      </w:r>
    </w:p>
    <w:p>
      <w:pPr>
        <w:pStyle w:val="TextBody"/>
        <w:bidi w:val="0"/>
        <w:spacing w:lineRule="auto" w:line="288" w:before="6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Company’s Other Current Liabilities include the following liabilities as shown in the Condensed Consolidated Balance Sheets: Accounts Payable and Other Accrued Liabilities, $65 million; Interest Payable, $1 million; and Lease Liabilities - Current, $7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7326" w:type="dxa"/>
        <w:jc w:val="left"/>
        <w:tblInd w:w="0" w:type="dxa"/>
        <w:tblLayout w:type="fixed"/>
        <w:tblCellMar>
          <w:top w:w="28" w:type="dxa"/>
          <w:left w:w="28" w:type="dxa"/>
          <w:bottom w:w="28" w:type="dxa"/>
          <w:right w:w="28" w:type="dxa"/>
        </w:tblCellMar>
      </w:tblPr>
      <w:tblGrid>
        <w:gridCol w:w="1723"/>
        <w:gridCol w:w="1513"/>
        <w:gridCol w:w="1519"/>
        <w:gridCol w:w="109"/>
        <w:gridCol w:w="109"/>
        <w:gridCol w:w="109"/>
        <w:gridCol w:w="211"/>
        <w:gridCol w:w="691"/>
        <w:gridCol w:w="109"/>
        <w:gridCol w:w="109"/>
        <w:gridCol w:w="109"/>
        <w:gridCol w:w="109"/>
        <w:gridCol w:w="211"/>
        <w:gridCol w:w="541"/>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755"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Cash Provided by (Used in) Operating Activities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 was $3.1 billion and $(343) million for the six months ended June 30, 2023 and 2022, respectively. For the six months ended June 30, 2023, cash provided by operating activities was primarily driven by the $3.3 billion decrease in real estate inventory, partially offset by our net loss, net of non-cash items, of $125 million. For the six months ended June 30, 2022, cash used in operating activities was primarily driven by the $622 million increase in real estate inventory, partially offset by our net loss, net of non-cash items, of $257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Cash Provided by Investing Activities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$45 million and $183 million for the six months ended June 30, 2023 and 2022, respectively. For the six months ended June 30, 2023, cash provided by investing activities primarily consisted of a net decrease in marketable securities of $61 million, partially offset by a $17 million increase in property and equipment principally related to the capitalization of internally developed software. For the six months ended June 30, 2022, cash provided by investing activities primarily consisted of a net decrease in marketable securities of $222 million, partially offset by $19 million for strategic investments in certain privately held companies and $20 million increase in property and equipment.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Cash (Used in) Provided by Financing Activities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 was $(2.1) billion and $436 million for the six months ended June 30, 2023 and 2022, respectively. For the six months ended June 30, 2023, cash used in financing activities was primarily attributable to $1.9 billion net principal payments on non-recourse asset-backed debt as well as $270 million related to the partial repurchase of the 2026 Notes. For the six months ended June 30, 2022, cash provided by financing activities was primarily attributable to $446 million net proceeds on non-recourse asset-backed debt.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outside the ordinary course of business in our commitments under contractual obligations as previously disclosed in our Annual Report on Form 10-K for the year ended December 31, 2022, except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categories of contractual obligations included in the table below, which have been updated to reflect our contractual obligations as of June 30, 2023: </w:t>
      </w:r>
    </w:p>
    <w:tbl>
      <w:tblPr>
        <w:tblW w:w="9446" w:type="dxa"/>
        <w:jc w:val="left"/>
        <w:tblInd w:w="0" w:type="dxa"/>
        <w:tblLayout w:type="fixed"/>
        <w:tblCellMar>
          <w:top w:w="28" w:type="dxa"/>
          <w:left w:w="28" w:type="dxa"/>
          <w:bottom w:w="28" w:type="dxa"/>
          <w:right w:w="28" w:type="dxa"/>
        </w:tblCellMar>
      </w:tblPr>
      <w:tblGrid>
        <w:gridCol w:w="1313"/>
        <w:gridCol w:w="1157"/>
        <w:gridCol w:w="1160"/>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50"/>
        <w:gridCol w:w="482"/>
        <w:gridCol w:w="182"/>
      </w:tblGrid>
      <w:tr>
        <w:trPr/>
        <w:tc>
          <w:tcPr>
            <w:tcW w:w="13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Payment Due by Year</w:t>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Less than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4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More than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5 years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Senior revolving credit facilities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Senior and mezzanine term debt facilities</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Convertible senior notes</w:t>
            </w:r>
            <w:r>
              <w:rPr>
                <w:rFonts w:ascii="Times New Roman;sans-serif" w:hAnsi="Times New Roman;sans-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lease</w:t>
            </w:r>
            <w:r>
              <w:rPr>
                <w:rFonts w:ascii="Times New Roman;sans-serif" w:hAnsi="Times New Roman;sans-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Purchase commitments</w:t>
            </w:r>
            <w:r>
              <w:rPr>
                <w:rFonts w:ascii="Times New Roman;sans-serif" w:hAnsi="Times New Roman;sans-serif"/>
                <w:b w:val="false"/>
                <w:color w:val="000000"/>
                <w:sz w:val="13"/>
              </w:rPr>
              <w:t>(5)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the principal amounts outstanding as of June 30, 2023.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June 30, 2023.</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the principal amounts outstanding as of June 30, 2023 and interest payments assuming the principal balances remain outstanding until maturity. The final maturity dates of the senior and mezzanine term debt facilities vary, as discussed above.</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the principal amounts outstanding as of June 30, 2023 and interest payments assuming the principal balances remain outstanding until maturity.</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Represents future payments for long-term operating leases that have commenced as of June 30, 2023. In May 2023, the Company amended its Tempe, Arizona office lease to partially terminate the Company’s obligation with respect to a portion of the leased premises, which resulted in a decrease of undiscounted, future lease payments of $19 million.</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As of June 30, 2023, we were under contract to purchase 1,390 homes for an aggregate purchase price of $469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the condensed consolidated financial statements. Based on this definition, critical accounting policies and estimates are discussed in “</w:t>
      </w:r>
      <w:r>
        <w:rPr>
          <w:rFonts w:ascii="Times New Roman;sans-serif" w:hAnsi="Times New Roman;sans-serif"/>
          <w:b w:val="false"/>
          <w:i/>
          <w:color w:val="000000"/>
          <w:sz w:val="20"/>
        </w:rPr>
        <w:t>Part II – Item 7. Management's Discussion and Analysis of Financial Condition and Results of Operations – Critical Accounting Policies and Estimates</w:t>
      </w:r>
      <w:r>
        <w:rPr>
          <w:color w:val="000000"/>
        </w:rPr>
        <w:t xml:space="preserve">” </w:t>
      </w:r>
      <w:r>
        <w:rPr>
          <w:rFonts w:ascii="Times New Roman;sans-serif" w:hAnsi="Times New Roman;sans-serif"/>
          <w:b w:val="false"/>
          <w:color w:val="000000"/>
          <w:sz w:val="20"/>
        </w:rPr>
        <w:t>in the Annual Report on Form 10-K for the year ended December 31, 2022. There have been no significant changes to these critical accounting estimates during the first six months of 2023. In addition, we have other key accounting policies and estimates that are described in “</w:t>
      </w:r>
      <w:r>
        <w:rPr>
          <w:rFonts w:ascii="Times New Roman;sans-serif" w:hAnsi="Times New Roman;sans-serif"/>
          <w:b w:val="false"/>
          <w:i/>
          <w:color w:val="000000"/>
          <w:sz w:val="20"/>
        </w:rPr>
        <w:t>Part I – Item 1. Financial Statements – Notes to Condensed Consolidated Financial Statements – Note 1. Description of Business and Accounting Policies</w:t>
      </w:r>
      <w:r>
        <w:rPr>
          <w:color w:val="000000"/>
        </w:rPr>
        <w:t xml:space="preserve">” </w:t>
      </w:r>
      <w:r>
        <w:rPr>
          <w:rFonts w:ascii="Times New Roman;sans-serif" w:hAnsi="Times New Roman;sans-serif"/>
          <w:b w:val="false"/>
          <w:color w:val="000000"/>
          <w:sz w:val="20"/>
        </w:rPr>
        <w:t>in this Quarterly Report on Form 10-Q.</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For information on recent accounting standards, see “</w:t>
      </w:r>
      <w:r>
        <w:rPr>
          <w:rFonts w:ascii="Times New Roman;sans-serif" w:hAnsi="Times New Roman;sans-serif"/>
          <w:b w:val="false"/>
          <w:i/>
          <w:color w:val="000000"/>
          <w:sz w:val="20"/>
        </w:rPr>
        <w:t>Part I – Item 1. Financial Statements – Notes to Condensed Consolidated Financial Statements – Note 1. Description of Business and Accounting Policies”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consist of fluctuations in interest rates and exposures to inflationary pressures.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 by way of changes in interest rates on borrowings under our inventory financing facilities. The Company had total outstanding balances on our asset-backed debt and other secured borrowings of $2.6 billion, 99% of which was fixed rate with an average duration of 3 years and the remaining 1% was based on a floating rate. Total interest expense for the six months ended June 30, 2023 was $104 million, of which $85 million was fixed and $19 million was floating. As of June 30, 2023 and December 31, 2022 we had outstanding borrowings of $15 million and $1.4 billion, respectively, which bear interest at floating benchmark reference rates based on the secured overnight financing rate (“SOFR”),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benchmark rate floors. Assuming no change in the outstanding borrowings on our credit facilities, we estimate that a one percentage point increase in the applicable Benchmark Rates would increase our annual interest expense by approximately $0.1 million and $14 million as of June 30, 2023 and December 31, 2022,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inflation experienced in 2022, which is still ongoing, has impacted the cost of goods and services that we consume, such as labor and materials costs for home repairs. We endeavor to offset these impacts in our business through appropriately considering them in our pricing and operational models. However, if our costs were to become subject to significant incremental inflationary pressure, we may not be able to fully offset such higher costs by adjusting our operational model or our pricing methodology. Our inability to do so could harm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Our management, with the participation of our Chief Executive Officer and Interim Chief Financial Officer, evaluated the effectiveness of our disclosure controls and procedures (as defined in Rules 13a-15(e) and 15d-15(e) under the Exchange Act, as of the end of the period covered by this Quarterly Report on Form 10-Q. Based on the evaluation,</w:t>
      </w:r>
      <w:r>
        <w:rPr>
          <w:color w:val="000000"/>
        </w:rPr>
        <w:t xml:space="preserve"> </w:t>
      </w:r>
      <w:r>
        <w:rPr>
          <w:rFonts w:ascii="Times New Roman;sans-serif" w:hAnsi="Times New Roman;sans-serif"/>
          <w:b w:val="false"/>
          <w:color w:val="000000"/>
          <w:sz w:val="20"/>
        </w:rPr>
        <w:t>our Chief Executive Officer and Interim Chief Financial Officer concluded that the Company's disclosure controls and procedures are effective at the reasonable assurance level as of June 30,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in connection with the evaluation required by Rules 13a-15(d) and 15d-15(d) of the Exchange Act that occurred during the quarter ended June 30, 2023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before="0" w:after="0"/>
        <w:ind w:left="0" w:right="0" w:firstLine="720"/>
        <w:jc w:val="center"/>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 xml:space="preserve">On October 7, 2022 and November 22, 2022, purported securities class action lawsuits were filed in the United States District Court for the District of Arizona, captioned </w:t>
      </w:r>
      <w:r>
        <w:rPr>
          <w:rFonts w:ascii="Times New Roman;sans-serif" w:hAnsi="Times New Roman;sans-serif"/>
          <w:b w:val="false"/>
          <w:i/>
          <w:color w:val="000000"/>
          <w:sz w:val="20"/>
        </w:rPr>
        <w:t>Alich v. Opendoor Technologies Inc., et al.</w:t>
      </w:r>
      <w:r>
        <w:rPr>
          <w:color w:val="000000"/>
        </w:rPr>
        <w:t xml:space="preserve"> </w:t>
      </w:r>
      <w:r>
        <w:rPr>
          <w:rFonts w:ascii="Times New Roman;sans-serif" w:hAnsi="Times New Roman;sans-serif"/>
          <w:b w:val="false"/>
          <w:color w:val="000000"/>
          <w:sz w:val="20"/>
        </w:rPr>
        <w:t xml:space="preserve">(Case No. 2:22-cv-01717-JFM) (“Alich”) and </w:t>
      </w:r>
      <w:r>
        <w:rPr>
          <w:rFonts w:ascii="Times New Roman;sans-serif" w:hAnsi="Times New Roman;sans-serif"/>
          <w:b w:val="false"/>
          <w:i/>
          <w:color w:val="000000"/>
          <w:sz w:val="20"/>
        </w:rPr>
        <w:t xml:space="preserve">Oakland County Voluntary Employee’s Beneficiary Association, et al. v. Opendoor Technologies Inc., et al. </w:t>
      </w:r>
      <w:r>
        <w:rPr>
          <w:rFonts w:ascii="Times New Roman;sans-serif" w:hAnsi="Times New Roman;sans-serif"/>
          <w:b w:val="false"/>
          <w:color w:val="000000"/>
          <w:sz w:val="20"/>
        </w:rPr>
        <w:t xml:space="preserve">(Case No. 2:22-cv-01987-GMS) (“Oakland County”), respectively. The lawsuits were consolidated into a single action, captioned </w:t>
      </w:r>
      <w:r>
        <w:rPr>
          <w:rFonts w:ascii="Times New Roman;sans-serif" w:hAnsi="Times New Roman;sans-serif"/>
          <w:b w:val="false"/>
          <w:i/>
          <w:color w:val="000000"/>
          <w:sz w:val="20"/>
        </w:rPr>
        <w:t>In re Opendoor Technologies Inc. Securities Litigation</w:t>
      </w:r>
      <w:r>
        <w:rPr>
          <w:color w:val="000000"/>
        </w:rPr>
        <w:t xml:space="preserve"> </w:t>
      </w:r>
      <w:r>
        <w:rPr>
          <w:rFonts w:ascii="Times New Roman;sans-serif" w:hAnsi="Times New Roman;sans-serif"/>
          <w:b w:val="false"/>
          <w:color w:val="000000"/>
          <w:sz w:val="20"/>
        </w:rPr>
        <w:t>(Case No. 2:22-CV-01717-MTL). The consolidated amended complaint names as defendants the Company, Social Capital Hedosophia Holdings Corp. II (SCH"), certain of the Company’s current and former officers and directors and the underwriters of a securities offering the Company made in February 2021. The complaint alleges that the Company and certain officers violated Section 10(b) of the Exchange Act and SEC Rule 10b-5, and that the Company, SCH, certain officers and directors and the underwriters violated Section 11 of the Securities Act, in each case by making materially false or misleading statements related to the effectiveness of the Company’s pricing algorithm. The plaintiffs also allege that certain defendants violated Section 20(a) of the Exchange Act and Section 15 of the Securities Act, respectively, which provide for control person liability. The complaint asserts claims on behalf of all persons and entities that purchased, or otherwise acquired, Company common stock between December 21, 2020 and November 3, 2022 or pursuant to offering documents issued in connection with our business combination with SCH and the secondary public offering conducted by the Company in February 2021. The plaintiffs seek class certification, an award of unspecified compensatory damages, an award of interest and reasonable costs and expenses, including attorneys’ fees and expert fees, and other and further relief as the court may deem just and proper. The defendants filed motions to dismiss on June 30, 2023, which are pending before the court. We believe that the allegations in the complaint are without merit and we intend to vigorously defend ourselves in the matter.</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rPr>
        <w:t xml:space="preserve">On March 1, 2023 and March 15, 2023, shareholder derivative lawsuits were filed in the United States District Court for the District of Arizona, captioned </w:t>
      </w:r>
      <w:r>
        <w:rPr>
          <w:rFonts w:ascii="Times New Roman;sans-serif" w:hAnsi="Times New Roman;sans-serif"/>
          <w:b w:val="false"/>
          <w:i/>
          <w:color w:val="000000"/>
          <w:sz w:val="20"/>
        </w:rPr>
        <w:t xml:space="preserve">Carlson v. Rice, et al. </w:t>
      </w:r>
      <w:r>
        <w:rPr>
          <w:rFonts w:ascii="Times New Roman;sans-serif" w:hAnsi="Times New Roman;sans-serif"/>
          <w:b w:val="false"/>
          <w:color w:val="000000"/>
          <w:sz w:val="20"/>
        </w:rPr>
        <w:t xml:space="preserve">(Case No. 2:23-cv-00367-GMS) and </w:t>
      </w:r>
      <w:r>
        <w:rPr>
          <w:rFonts w:ascii="Times New Roman;sans-serif" w:hAnsi="Times New Roman;sans-serif"/>
          <w:b w:val="false"/>
          <w:i/>
          <w:color w:val="000000"/>
          <w:sz w:val="20"/>
        </w:rPr>
        <w:t xml:space="preserve">Van Dorn v. Wu, et al. </w:t>
      </w:r>
      <w:r>
        <w:rPr>
          <w:rFonts w:ascii="Times New Roman;sans-serif" w:hAnsi="Times New Roman;sans-serif"/>
          <w:b w:val="false"/>
          <w:color w:val="000000"/>
          <w:sz w:val="20"/>
        </w:rPr>
        <w:t xml:space="preserve">(Case No. 2:23-cv-00455-DMF), respectively, which were subsequently consolidated into a single action, captioned </w:t>
      </w:r>
      <w:r>
        <w:rPr>
          <w:rFonts w:ascii="Times New Roman;sans-serif" w:hAnsi="Times New Roman;sans-serif"/>
          <w:b w:val="false"/>
          <w:i/>
          <w:color w:val="000000"/>
          <w:sz w:val="20"/>
        </w:rPr>
        <w:t>Carlson v. Rice</w:t>
      </w:r>
      <w:r>
        <w:rPr>
          <w:color w:val="000000"/>
        </w:rPr>
        <w:t xml:space="preserve"> </w:t>
      </w:r>
      <w:r>
        <w:rPr>
          <w:rFonts w:ascii="Times New Roman;sans-serif" w:hAnsi="Times New Roman;sans-serif"/>
          <w:b w:val="false"/>
          <w:color w:val="000000"/>
          <w:sz w:val="20"/>
        </w:rPr>
        <w:t xml:space="preserve">(Case No. 2:23-CV-00367-GMS). Plaintiffs voluntarily dismissed the matter on June 22, 2023, and thereafter re-filed complaints in the Court of Chancery of the State of Delaware, captioned </w:t>
      </w:r>
      <w:r>
        <w:rPr>
          <w:rFonts w:ascii="Times New Roman;sans-serif" w:hAnsi="Times New Roman;sans-serif"/>
          <w:b w:val="false"/>
          <w:i/>
          <w:color w:val="000000"/>
          <w:sz w:val="20"/>
        </w:rPr>
        <w:t xml:space="preserve">Carlson v. Rice, et al. </w:t>
      </w:r>
      <w:r>
        <w:rPr>
          <w:rFonts w:ascii="Times New Roman;sans-serif" w:hAnsi="Times New Roman;sans-serif"/>
          <w:b w:val="false"/>
          <w:color w:val="000000"/>
          <w:sz w:val="20"/>
        </w:rPr>
        <w:t xml:space="preserve">(Case No. 2023-0642) and </w:t>
      </w:r>
      <w:r>
        <w:rPr>
          <w:rFonts w:ascii="Times New Roman;sans-serif" w:hAnsi="Times New Roman;sans-serif"/>
          <w:b w:val="false"/>
          <w:i/>
          <w:color w:val="000000"/>
          <w:sz w:val="20"/>
        </w:rPr>
        <w:t>Van Dorn v. Rice, et al.</w:t>
      </w:r>
      <w:r>
        <w:rPr>
          <w:color w:val="000000"/>
        </w:rPr>
        <w:t xml:space="preserve"> </w:t>
      </w:r>
      <w:r>
        <w:rPr>
          <w:rFonts w:ascii="Times New Roman;sans-serif" w:hAnsi="Times New Roman;sans-serif"/>
          <w:b w:val="false"/>
          <w:color w:val="000000"/>
          <w:sz w:val="20"/>
        </w:rPr>
        <w:t xml:space="preserve">(Case No. 2023-0643).The cases have been consolidated into a single action, captioned Opendoor Technologies Inc. Stockholder Derivative Litigation (Case No. 2023-0642). On June 29, 2023, a shareholder derivative lawsuit was filed in the United States District Court for the State of Delaware, captioned </w:t>
      </w:r>
      <w:r>
        <w:rPr>
          <w:rFonts w:ascii="Times New Roman;sans-serif" w:hAnsi="Times New Roman;sans-serif"/>
          <w:b w:val="false"/>
          <w:i/>
          <w:color w:val="000000"/>
          <w:sz w:val="20"/>
        </w:rPr>
        <w:t>Juul v. Wu, et al.</w:t>
      </w:r>
      <w:r>
        <w:rPr>
          <w:color w:val="000000"/>
        </w:rPr>
        <w:t xml:space="preserve"> </w:t>
      </w:r>
      <w:r>
        <w:rPr>
          <w:rFonts w:ascii="Times New Roman;sans-serif" w:hAnsi="Times New Roman;sans-serif"/>
          <w:b w:val="false"/>
          <w:color w:val="000000"/>
          <w:sz w:val="20"/>
        </w:rPr>
        <w:t xml:space="preserve">(Case No. 1:23-cv-00705-UNA). The complaints in each matter are based on the same facts and circumstances as </w:t>
      </w:r>
      <w:r>
        <w:rPr>
          <w:rFonts w:ascii="Times New Roman;sans-serif" w:hAnsi="Times New Roman;sans-serif"/>
          <w:b w:val="false"/>
          <w:i/>
          <w:color w:val="000000"/>
          <w:sz w:val="20"/>
        </w:rPr>
        <w:t xml:space="preserve">In re Opendoor Technologies Inc. Securities Litigation </w:t>
      </w:r>
      <w:r>
        <w:rPr>
          <w:rFonts w:ascii="Times New Roman;sans-serif" w:hAnsi="Times New Roman;sans-serif"/>
          <w:b w:val="false"/>
          <w:color w:val="000000"/>
          <w:sz w:val="20"/>
        </w:rPr>
        <w:t xml:space="preserve">and name certain officers and directors of the Company as defendants. The defendants are alleged to have violated Section 10(b) of the Exchange Act and SEC Rule 10b-5 and breached fiduciary duties. The plaintiffs seek to maintain the derivative actions on behalf of the Company, an award of unspecified compensatory damages, an order directing the Company to reform its corporate governance and internal procedures, restitutionary relief, an award of interest and expenses, including attorneys’ fees and expert fees, and other and further relief as the court may deem just and proper. The derivative actions have been stayed pending further developments in </w:t>
      </w:r>
      <w:r>
        <w:rPr>
          <w:rFonts w:ascii="Times New Roman;sans-serif" w:hAnsi="Times New Roman;sans-serif"/>
          <w:b w:val="false"/>
          <w:i/>
          <w:color w:val="000000"/>
          <w:sz w:val="20"/>
        </w:rPr>
        <w:t>In re Opendoor Technologies Inc. Securities Litigation</w:t>
      </w:r>
      <w:r>
        <w:rPr>
          <w:rFonts w:ascii="Times New Roman;sans-serif" w:hAnsi="Times New Roman;sans-serif"/>
          <w:b w:val="false"/>
          <w:color w:val="000000"/>
          <w:sz w:val="20"/>
        </w:rPr>
        <w: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course of conducting our business operations, we are exposed to a variety of risks. You should carefully consider the risks described below, the risks described in “Part I – Item 1A. Risk Factors,” in our Annual Report on Form 10-K, as well as the other information in this Quarterly Report on Form 10-Q, including our financial statements and related notes and “Item 2. Management’s Discussion and Analysis of Financial Condition and Result of Operations,” before deciding whether to invest in our common stock. Any of the risk factors we described in “Part I – Item 1A. Risk Factors,” in our Annual Report or in subsequent periodic reports, have affected or could materially and adversely affect our business, financial condition, results of operations, and prospects. The market price of shares of our common stock could decline, possibly significantly or permanently, if one or more of these risks and uncertainties occurs. Certain statements in “Risk Factors” are forward-looking statements. See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before="0" w:after="0"/>
        <w:ind w:left="0" w:right="0" w:firstLine="720"/>
        <w:jc w:val="center"/>
        <w:rPr/>
      </w:pPr>
      <w:r>
        <w:rPr/>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risk factors since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446"/>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Trading Arrangements of Directors and Executive Officers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contracts, instructions or written plans for the sale or purchase of our securities that was intended to satisfy the affirmative defense conditions of Rule 10b5-1(c) or any “non-Rule 10b5-1 trading arrangement” by our directors or executive officers during the three-month period ended June 30, 2023.</w:t>
      </w:r>
    </w:p>
    <w:tbl>
      <w:tblPr>
        <w:tblW w:w="10205" w:type="dxa"/>
        <w:jc w:val="left"/>
        <w:tblInd w:w="0" w:type="dxa"/>
        <w:tblLayout w:type="fixed"/>
        <w:tblCellMar>
          <w:top w:w="28" w:type="dxa"/>
          <w:left w:w="28" w:type="dxa"/>
          <w:bottom w:w="28" w:type="dxa"/>
          <w:right w:w="28" w:type="dxa"/>
        </w:tblCellMar>
      </w:tblPr>
      <w:tblGrid>
        <w:gridCol w:w="811"/>
        <w:gridCol w:w="713"/>
        <w:gridCol w:w="718"/>
        <w:gridCol w:w="195"/>
        <w:gridCol w:w="195"/>
        <w:gridCol w:w="196"/>
        <w:gridCol w:w="109"/>
        <w:gridCol w:w="109"/>
        <w:gridCol w:w="109"/>
        <w:gridCol w:w="210"/>
        <w:gridCol w:w="210"/>
        <w:gridCol w:w="216"/>
        <w:gridCol w:w="109"/>
        <w:gridCol w:w="109"/>
        <w:gridCol w:w="109"/>
        <w:gridCol w:w="283"/>
        <w:gridCol w:w="283"/>
        <w:gridCol w:w="262"/>
        <w:gridCol w:w="153"/>
        <w:gridCol w:w="153"/>
        <w:gridCol w:w="153"/>
        <w:gridCol w:w="378"/>
        <w:gridCol w:w="378"/>
        <w:gridCol w:w="384"/>
        <w:gridCol w:w="109"/>
        <w:gridCol w:w="109"/>
        <w:gridCol w:w="109"/>
        <w:gridCol w:w="577"/>
        <w:gridCol w:w="486"/>
        <w:gridCol w:w="488"/>
        <w:gridCol w:w="109"/>
        <w:gridCol w:w="109"/>
        <w:gridCol w:w="109"/>
        <w:gridCol w:w="109"/>
        <w:gridCol w:w="109"/>
        <w:gridCol w:w="109"/>
        <w:gridCol w:w="326"/>
        <w:gridCol w:w="326"/>
        <w:gridCol w:w="476"/>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Rule 10b5-1 </w:t>
            </w:r>
            <w:r>
              <w:rPr>
                <w:rFonts w:ascii="Times New Roman;sans-serif" w:hAnsi="Times New Roman;sans-serif"/>
                <w:b/>
                <w:color w:val="000000"/>
                <w:sz w:val="10"/>
              </w:rPr>
              <w:t>(1)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Non-Rule 10b5-1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 Shares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Megan Meyer (President, Sell Direct &amp; Services)</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Adopt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400,009 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8/30/2024</w:t>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Christina Schwartz (Interim Chief Financial Officer)</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Adopt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591,595 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8/10/2024</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Intended to satisfy the affirmative defense of Rule 10b5-1(c)</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Not intended to satisfy the affirmative defense of Rule 10b5-1(c)</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This number includes up to 315,933 shares of common stock subject to RSUs previously granted to Ms. Schwartz (the “RSU Shares”) that vest at various dates between June 15, 2023 and July 15, 2024. The aggregate number of RSU Shares that will be available for sale under the Plan is not yet determinable because the shares available will be net of shares sold to satisfy tax withholding obligations that arise in connection with the vesting and settlement of such RSU awards. As such, for purposes of this disclosure, the shares included in this table reflect the aggregate maximum number of shares underlying Ms. Schwartz’s RSUs without excluding the shares that will be sold to satisfy the tax withholding obligations.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Sell to Cover Instruction Letters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12, 2023, Ms. Megan Meyer, Ms. Christina Schwartz and Ms. Sydney Schaub, Chief Legal Officer, entered into 10b5-1 Instruction Letters (the “Instructions”) with respect to all RSUs granted or to be granted to each of them under the Company’s equity plans or any successor plans, in order to instruct the broker(s) chosen by the Company to sell shares of common stock in order to satisfy any minimum tax withholding obligations that arise in connection with the vesting and settlement of such RSU awards. The Instructions are intended to satisfy the affirmative defense of Rule 10b5-1(c). The aggregate number of shares to be sold under the Instructions is not determinable.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1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exhibits filed as part of this Quarterly Report on Form 10-Q.</w:t>
      </w:r>
    </w:p>
    <w:tbl>
      <w:tblPr>
        <w:tblW w:w="6190"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09"/>
        <w:gridCol w:w="109"/>
        <w:gridCol w:w="109"/>
        <w:gridCol w:w="310"/>
        <w:gridCol w:w="310"/>
        <w:gridCol w:w="311"/>
        <w:gridCol w:w="170"/>
        <w:gridCol w:w="170"/>
        <w:gridCol w:w="171"/>
        <w:gridCol w:w="224"/>
        <w:gridCol w:w="224"/>
        <w:gridCol w:w="226"/>
        <w:gridCol w:w="210"/>
        <w:gridCol w:w="210"/>
        <w:gridCol w:w="211"/>
        <w:gridCol w:w="304"/>
        <w:gridCol w:w="304"/>
        <w:gridCol w:w="306"/>
        <w:gridCol w:w="360"/>
        <w:gridCol w:w="360"/>
        <w:gridCol w:w="509"/>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53" w:after="3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6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Filing Date</w:t>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Filed Herewith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333" w:before="0" w:after="0"/>
        <w:jc w:val="left"/>
        <w:rPr/>
      </w:pPr>
      <w:hyperlink w:anchor="i8b2419eff510402aba812c4fc6d8104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before="0" w:after="0"/>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241"/>
        <w:gridCol w:w="195"/>
        <w:gridCol w:w="200"/>
        <w:gridCol w:w="109"/>
        <w:gridCol w:w="109"/>
        <w:gridCol w:w="109"/>
        <w:gridCol w:w="109"/>
        <w:gridCol w:w="109"/>
        <w:gridCol w:w="109"/>
        <w:gridCol w:w="2025"/>
        <w:gridCol w:w="2025"/>
        <w:gridCol w:w="2029"/>
        <w:gridCol w:w="137"/>
        <w:gridCol w:w="137"/>
        <w:gridCol w:w="137"/>
        <w:gridCol w:w="333"/>
        <w:gridCol w:w="265"/>
        <w:gridCol w:w="267"/>
        <w:gridCol w:w="154"/>
        <w:gridCol w:w="154"/>
        <w:gridCol w:w="158"/>
        <w:gridCol w:w="237"/>
        <w:gridCol w:w="237"/>
        <w:gridCol w:w="239"/>
        <w:gridCol w:w="109"/>
        <w:gridCol w:w="109"/>
        <w:gridCol w:w="163"/>
      </w:tblGrid>
      <w:tr>
        <w:trPr/>
        <w:tc>
          <w:tcPr>
            <w:tcW w:w="2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left"/>
              <w:rPr/>
            </w:pPr>
            <w:hyperlink r:id="rId2">
              <w:r>
                <w:rPr>
                  <w:rStyle w:val="InternetLink"/>
                  <w:rFonts w:ascii="Times New Roman;sans-serif" w:hAnsi="Times New Roman;sans-serif"/>
                  <w:b w:val="false"/>
                  <w:color w:val="0000FF"/>
                  <w:sz w:val="20"/>
                  <w:u w:val="single"/>
                </w:rPr>
                <w:t xml:space="preserve">Agreement and Plan of Merger, dated as of September 15, 2020, by and among Social Capital Hedosophia Corp. II, Hestia Merger Sub Inc. and Opendoor Labs Inc. </w:t>
              </w:r>
            </w:hyperlink>
          </w:p>
        </w:tc>
        <w:tc>
          <w:tcPr>
            <w:tcW w:w="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001-39253</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09/17/2020</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3">
              <w:r>
                <w:rPr>
                  <w:rStyle w:val="InternetLink"/>
                  <w:rFonts w:ascii="Times New Roman;sans-serif" w:hAnsi="Times New Roman;sans-serif"/>
                  <w:b w:val="false"/>
                  <w:color w:val="0000FF"/>
                  <w:sz w:val="20"/>
                  <w:u w:val="single"/>
                </w:rPr>
                <w:t xml:space="preserve">Certificate of Incorporation of Opendoor Technologies Inc. </w:t>
              </w:r>
            </w:hyperlink>
          </w:p>
        </w:tc>
        <w:tc>
          <w:tcPr>
            <w:tcW w:w="4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001-39253</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12/18/2020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4">
              <w:r>
                <w:rPr>
                  <w:rStyle w:val="InternetLink"/>
                  <w:rFonts w:ascii="Times New Roman;sans-serif" w:hAnsi="Times New Roman;sans-serif"/>
                  <w:b w:val="false"/>
                  <w:color w:val="0000FF"/>
                  <w:sz w:val="20"/>
                  <w:u w:val="single"/>
                </w:rPr>
                <w:t xml:space="preserve">Amended and Restated Bylaws of Opendoor Technologies Inc. </w:t>
              </w:r>
            </w:hyperlink>
          </w:p>
        </w:tc>
        <w:tc>
          <w:tcPr>
            <w:tcW w:w="4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001-39253</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01/24/2023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5">
              <w:r>
                <w:rPr>
                  <w:rStyle w:val="InternetLink"/>
                  <w:rFonts w:ascii="Times New Roman;sans-serif" w:hAnsi="Times New Roman;sans-serif"/>
                  <w:b w:val="false"/>
                  <w:color w:val="0000FF"/>
                  <w:sz w:val="20"/>
                  <w:u w:val="single"/>
                </w:rPr>
                <w:t>Specimen Common Stock Certificate of Opendoor Technologies Inc.</w:t>
              </w:r>
            </w:hyperlink>
          </w:p>
        </w:tc>
        <w:tc>
          <w:tcPr>
            <w:tcW w:w="4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333-249302</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11/06/2020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Warrant Agreement, dated July 28, 2022, between Opendoor Technologies Inc. and Zillow, Inc.</w:t>
              </w:r>
            </w:hyperlink>
          </w:p>
        </w:tc>
        <w:tc>
          <w:tcPr>
            <w:tcW w:w="4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001-39253</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08/05/2022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1offerletteragreementda.htm">
              <w:r>
                <w:rPr>
                  <w:rStyle w:val="InternetLink"/>
                  <w:rFonts w:ascii="Times New Roman;sans-serif" w:hAnsi="Times New Roman;sans-serif"/>
                  <w:b w:val="false"/>
                  <w:color w:val="0000FF"/>
                  <w:sz w:val="20"/>
                  <w:u w:val="single"/>
                </w:rPr>
                <w:t>Offer Letter Agreement dated as of March 10, 2015, by and between Opendoor Labs Inc. and Megan Meyer</w:t>
              </w:r>
            </w:hyperlink>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q22023exhibit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q22023exhibit312.htm">
              <w:r>
                <w:rPr>
                  <w:rStyle w:val="InternetLink"/>
                  <w:rFonts w:ascii="Times New Roman;sans-serif" w:hAnsi="Times New Roman;sans-serif"/>
                  <w:b w:val="false"/>
                  <w:color w:val="0000FF"/>
                  <w:sz w:val="20"/>
                  <w:u w:val="single"/>
                </w:rPr>
                <w:t>Certification of Interim Chief Financial Officer Pursuant to Section 302 of the Sarbanes-Oxley Act of 2002</w:t>
              </w:r>
            </w:hyperlink>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q22023exhibit321.htm">
              <w:r>
                <w:rPr>
                  <w:rStyle w:val="InternetLink"/>
                  <w:rFonts w:ascii="Times New Roman;sans-serif" w:hAnsi="Times New Roman;sans-serif"/>
                  <w:b w:val="false"/>
                  <w:color w:val="0000FF"/>
                  <w:sz w:val="20"/>
                  <w:u w:val="single"/>
                </w:rPr>
                <w:t>Certification of Chief Executive Officer and Interim Chief Financial Officer Pursuant to Section 906 of the Sarbanes-Oxley Act of 2002</w:t>
              </w:r>
            </w:hyperlink>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(as formatted as Inline XBRL and contained in Exhibit 101)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lineRule="auto" w:line="333"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OPENDOOR TECHNOLOGIES INC.</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33" w:before="24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tbl>
      <w:tblPr>
        <w:tblW w:w="6947"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267"/>
        <w:gridCol w:w="267"/>
        <w:gridCol w:w="267"/>
        <w:gridCol w:w="267"/>
        <w:gridCol w:w="267"/>
        <w:gridCol w:w="267"/>
        <w:gridCol w:w="267"/>
        <w:gridCol w:w="267"/>
        <w:gridCol w:w="267"/>
        <w:gridCol w:w="728"/>
        <w:gridCol w:w="728"/>
        <w:gridCol w:w="104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OPENDOOR TECHNOLOGIES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03, 2023</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0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Carrie Wheeler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Wheeler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240" w:after="283"/>
        <w:jc w:val="center"/>
        <w:rPr/>
      </w:pPr>
      <w:r>
        <w:rPr/>
      </w:r>
    </w:p>
    <w:tbl>
      <w:tblPr>
        <w:tblW w:w="7555"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134"/>
        <w:gridCol w:w="134"/>
        <w:gridCol w:w="136"/>
        <w:gridCol w:w="210"/>
        <w:gridCol w:w="210"/>
        <w:gridCol w:w="210"/>
        <w:gridCol w:w="204"/>
        <w:gridCol w:w="204"/>
        <w:gridCol w:w="204"/>
        <w:gridCol w:w="1134"/>
        <w:gridCol w:w="1134"/>
        <w:gridCol w:w="1602"/>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03,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1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Christina Schwartz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Schwartz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spacing w:before="240" w:after="200"/>
        <w:jc w:val="left"/>
        <w:rPr/>
      </w:pPr>
      <w:r>
        <w:rPr/>
      </w:r>
    </w:p>
    <w:p>
      <w:pPr>
        <w:pStyle w:val="TextBody"/>
        <w:bidi w:val="0"/>
        <w:spacing w:before="24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40" w:before="60" w:after="283"/>
        <w:jc w:val="center"/>
        <w:rPr>
          <w:rFonts w:ascii="Times New Roman;sans-serif" w:hAnsi="Times New Roman;sans-serif"/>
          <w:b/>
          <w:color w:val="000000"/>
          <w:sz w:val="22"/>
        </w:rPr>
      </w:pPr>
      <w:r>
        <w:rPr>
          <w:rFonts w:ascii="Times New Roman;sans-serif" w:hAnsi="Times New Roman;sans-serif"/>
          <w:b/>
          <w:color w:val="000000"/>
          <w:sz w:val="22"/>
        </w:rPr>
        <w:t>OPENDOOR LABS INC.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577 Howard Street</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San Francisco, CA 94105</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March 10th, 2015</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Megan Meyer</w:t>
      </w:r>
    </w:p>
    <w:p>
      <w:pPr>
        <w:pStyle w:val="TextBody"/>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 mail</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Dear Megan Meyer:</w:t>
      </w:r>
    </w:p>
    <w:p>
      <w:pPr>
        <w:pStyle w:val="TextBody"/>
        <w:bidi w:val="0"/>
        <w:spacing w:before="0" w:after="0"/>
        <w:jc w:val="left"/>
        <w:rPr/>
      </w:pPr>
      <w:r>
        <w:rPr/>
      </w:r>
    </w:p>
    <w:p>
      <w:pPr>
        <w:pStyle w:val="TextBody"/>
        <w:bidi w:val="0"/>
        <w:spacing w:lineRule="auto" w:line="240" w:before="90" w:after="283"/>
        <w:ind w:left="0" w:right="0" w:firstLine="720"/>
        <w:jc w:val="left"/>
        <w:rPr/>
      </w:pPr>
      <w:r>
        <w:rPr>
          <w:rFonts w:ascii="Times New Roman;sans-serif" w:hAnsi="Times New Roman;sans-serif"/>
          <w:b w:val="false"/>
          <w:color w:val="000000"/>
          <w:sz w:val="22"/>
        </w:rPr>
        <w:t>OpenDoor Labs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is pleased to offer you employment with the Company on the terms described below.</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1.</w:t>
      </w:r>
      <w:r>
        <w:rPr>
          <w:rFonts w:ascii="Times New Roman;sans-serif" w:hAnsi="Times New Roman;sans-serif"/>
          <w:b/>
          <w:color w:val="000000"/>
          <w:sz w:val="22"/>
          <w:u w:val="single"/>
        </w:rPr>
        <w:t>Position</w:t>
      </w:r>
      <w:r>
        <w:rPr>
          <w:rFonts w:ascii="Times New Roman;sans-serif" w:hAnsi="Times New Roman;sans-serif"/>
          <w:b/>
          <w:color w:val="000000"/>
          <w:sz w:val="22"/>
        </w:rPr>
        <w:t xml:space="preserve">. </w:t>
      </w:r>
      <w:r>
        <w:rPr>
          <w:rFonts w:ascii="Times New Roman;sans-serif" w:hAnsi="Times New Roman;sans-serif"/>
          <w:b w:val="false"/>
          <w:color w:val="000000"/>
          <w:sz w:val="22"/>
        </w:rPr>
        <w:t>You will start in a full-time position in operations. By signing this letter, you confirm with the Company that you are under no contractual or other legal obligations that would prohibit you from performing your duties with the Company.</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2.</w:t>
      </w:r>
      <w:r>
        <w:rPr>
          <w:rFonts w:ascii="Times New Roman;sans-serif" w:hAnsi="Times New Roman;sans-serif"/>
          <w:b/>
          <w:color w:val="000000"/>
          <w:sz w:val="22"/>
          <w:u w:val="single"/>
        </w:rPr>
        <w:t>Compensation</w:t>
      </w:r>
      <w:r>
        <w:rPr>
          <w:rFonts w:ascii="Times New Roman;sans-serif" w:hAnsi="Times New Roman;sans-serif"/>
          <w:b/>
          <w:color w:val="000000"/>
          <w:sz w:val="22"/>
        </w:rPr>
        <w:t xml:space="preserve">. </w:t>
      </w:r>
      <w:r>
        <w:rPr>
          <w:rFonts w:ascii="Times New Roman;sans-serif" w:hAnsi="Times New Roman;sans-serif"/>
          <w:b w:val="false"/>
          <w:color w:val="000000"/>
          <w:sz w:val="22"/>
        </w:rPr>
        <w:t>You will be paid a starting salary at the rate of $120,000 per year, payable on the Company’s regular payroll dates.</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3.</w:t>
      </w:r>
      <w:r>
        <w:rPr>
          <w:rFonts w:ascii="Times New Roman;sans-serif" w:hAnsi="Times New Roman;sans-serif"/>
          <w:b/>
          <w:color w:val="000000"/>
          <w:sz w:val="22"/>
          <w:u w:val="single"/>
        </w:rPr>
        <w:t>Equity Grant</w:t>
      </w:r>
      <w:r>
        <w:rPr>
          <w:rFonts w:ascii="Times New Roman;sans-serif" w:hAnsi="Times New Roman;sans-serif"/>
          <w:b/>
          <w:color w:val="000000"/>
          <w:sz w:val="22"/>
        </w:rPr>
        <w:t xml:space="preserve">. </w:t>
      </w:r>
      <w:r>
        <w:rPr>
          <w:rFonts w:ascii="Times New Roman;sans-serif" w:hAnsi="Times New Roman;sans-serif"/>
          <w:b w:val="false"/>
          <w:color w:val="000000"/>
          <w:sz w:val="22"/>
        </w:rPr>
        <w:t>Subject to the approval of the Company’s Board of Directors, you will be granted a right to purchase 73,014 shares of the Company’s common stock. The purchase right will be subject to the terms and conditions applicable to restricted stock awards granted under the Company’s Employee Stock Plan, as described in that plan and the applicable restricted stock purchase agreement, which you will be required to sign. You will vest in 25% of the shares on the 12-month anniversary of your vesting commencement date and 1/48</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of the total shares will vest in monthly installments thereafter during continuous service, as described in the applicable restricted stock purchase agreement. The exercise price per share will be equal to the fair market value per share on the date the restricted stock award is granted, as determined by the Company’s Board of Directors in good faith. There is no guarantee that the Internal Revenue Service will agree with this value. You should consult with your own tax advisor concerning the tax risks associated with accepting a right to purchase the Company’s common stock.</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4.</w:t>
      </w:r>
      <w:r>
        <w:rPr>
          <w:rFonts w:ascii="Times New Roman;sans-serif" w:hAnsi="Times New Roman;sans-serif"/>
          <w:b/>
          <w:color w:val="000000"/>
          <w:sz w:val="22"/>
          <w:u w:val="single"/>
        </w:rPr>
        <w:t>Confidential Information and Invention Assignment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Like all Company employees, you will be required, as a condition of your employment with the Company, to sign the Company’s enclosed standard Confidential Information and Invention Assignment Agreement.</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5.</w:t>
      </w:r>
      <w:r>
        <w:rPr>
          <w:rFonts w:ascii="Times New Roman;sans-serif" w:hAnsi="Times New Roman;sans-serif"/>
          <w:b/>
          <w:color w:val="000000"/>
          <w:sz w:val="22"/>
          <w:u w:val="single"/>
        </w:rPr>
        <w:t>Employment Relationship</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Employment with the Company is for no specific period of time. Your employment with the 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may only be changed in an express written agreement signed by you and the Company’s Chief Executive Officer.</w:t>
      </w:r>
    </w:p>
    <w:p>
      <w:pPr>
        <w:pStyle w:val="TextBody"/>
        <w:bidi w:val="0"/>
        <w:spacing w:before="10" w:after="283"/>
        <w:jc w:val="left"/>
        <w:rPr/>
      </w:pPr>
      <w:r>
        <w:rPr/>
      </w:r>
    </w:p>
    <w:p>
      <w:pPr>
        <w:pStyle w:val="TextBody"/>
        <w:bidi w:val="0"/>
        <w:spacing w:lineRule="auto" w:line="240" w:before="0" w:after="0"/>
        <w:ind w:left="0" w:right="0" w:firstLine="839"/>
        <w:jc w:val="left"/>
        <w:rPr/>
      </w:pPr>
      <w:r>
        <w:rPr>
          <w:rFonts w:ascii="Times New Roman;sans-serif" w:hAnsi="Times New Roman;sans-serif"/>
          <w:b w:val="false"/>
          <w:color w:val="000000"/>
          <w:sz w:val="24"/>
        </w:rPr>
        <w:t>6.</w:t>
      </w:r>
      <w:r>
        <w:rPr>
          <w:rFonts w:ascii="Times New Roman;sans-serif" w:hAnsi="Times New Roman;sans-serif"/>
          <w:b/>
          <w:color w:val="000000"/>
          <w:sz w:val="22"/>
          <w:u w:val="single"/>
        </w:rPr>
        <w:t>Outside Activities</w:t>
      </w:r>
      <w:r>
        <w:rPr>
          <w:rFonts w:ascii="Times New Roman;sans-serif" w:hAnsi="Times New Roman;sans-serif"/>
          <w:b/>
          <w:color w:val="000000"/>
          <w:sz w:val="22"/>
        </w:rPr>
        <w:t xml:space="preserve">. </w:t>
      </w:r>
      <w:r>
        <w:rPr>
          <w:rFonts w:ascii="Times New Roman;sans-serif" w:hAnsi="Times New Roman;sans-serif"/>
          <w:b w:val="false"/>
          <w:color w:val="000000"/>
          <w:sz w:val="22"/>
        </w:rPr>
        <w:t>While you render services to the Company, you agree that you will not engage in any other employment, consulting or other business activity without the written consent of the Company.</w:t>
      </w:r>
    </w:p>
    <w:p>
      <w:pPr>
        <w:pStyle w:val="TextBody"/>
        <w:bidi w:val="0"/>
        <w:spacing w:before="10" w:after="283"/>
        <w:ind w:left="0" w:right="0" w:firstLine="839"/>
        <w:jc w:val="left"/>
        <w:rPr/>
      </w:pPr>
      <w:r>
        <w:rPr/>
      </w:r>
    </w:p>
    <w:p>
      <w:pPr>
        <w:pStyle w:val="TextBody"/>
        <w:bidi w:val="0"/>
        <w:spacing w:lineRule="auto" w:line="240" w:before="0" w:after="0"/>
        <w:ind w:left="0" w:right="0" w:firstLine="839"/>
        <w:jc w:val="left"/>
        <w:rPr/>
      </w:pPr>
      <w:r>
        <w:rPr>
          <w:rFonts w:ascii="Times New Roman;sans-serif" w:hAnsi="Times New Roman;sans-serif"/>
          <w:b w:val="false"/>
          <w:color w:val="000000"/>
          <w:sz w:val="24"/>
        </w:rPr>
        <w:t>7.</w:t>
      </w:r>
      <w:r>
        <w:rPr>
          <w:rFonts w:ascii="Times New Roman;sans-serif" w:hAnsi="Times New Roman;sans-serif"/>
          <w:b/>
          <w:color w:val="000000"/>
          <w:sz w:val="22"/>
          <w:u w:val="single"/>
        </w:rPr>
        <w:t>Withholding Taxes</w:t>
      </w:r>
      <w:r>
        <w:rPr>
          <w:rFonts w:ascii="Times New Roman;sans-serif" w:hAnsi="Times New Roman;sans-serif"/>
          <w:b/>
          <w:color w:val="000000"/>
          <w:sz w:val="22"/>
        </w:rPr>
        <w:t xml:space="preserve">. </w:t>
      </w:r>
      <w:r>
        <w:rPr>
          <w:rFonts w:ascii="Times New Roman;sans-serif" w:hAnsi="Times New Roman;sans-serif"/>
          <w:b w:val="false"/>
          <w:color w:val="000000"/>
          <w:sz w:val="22"/>
        </w:rPr>
        <w:t>All forms of compensation referred to in this letter are subject to applicable withholding and payroll taxes.</w:t>
      </w:r>
    </w:p>
    <w:p>
      <w:pPr>
        <w:pStyle w:val="TextBody"/>
        <w:bidi w:val="0"/>
        <w:spacing w:before="10" w:after="283"/>
        <w:ind w:left="0" w:right="0" w:firstLine="839"/>
        <w:jc w:val="left"/>
        <w:rPr/>
      </w:pPr>
      <w:r>
        <w:rPr/>
      </w:r>
    </w:p>
    <w:p>
      <w:pPr>
        <w:pStyle w:val="TextBody"/>
        <w:bidi w:val="0"/>
        <w:spacing w:lineRule="auto" w:line="240" w:before="0" w:after="0"/>
        <w:ind w:left="0" w:right="0" w:firstLine="839"/>
        <w:jc w:val="left"/>
        <w:rPr/>
      </w:pPr>
      <w:r>
        <w:rPr>
          <w:rFonts w:ascii="Times New Roman;sans-serif" w:hAnsi="Times New Roman;sans-serif"/>
          <w:b w:val="false"/>
          <w:color w:val="000000"/>
          <w:sz w:val="24"/>
        </w:rPr>
        <w:t>8.</w:t>
      </w:r>
      <w:r>
        <w:rPr>
          <w:rFonts w:ascii="Times New Roman;sans-serif" w:hAnsi="Times New Roman;sans-serif"/>
          <w:b/>
          <w:color w:val="000000"/>
          <w:sz w:val="22"/>
          <w:u w:val="single"/>
        </w:rPr>
        <w:t>Miscellaneous</w:t>
      </w:r>
      <w:r>
        <w:rPr>
          <w:rFonts w:ascii="Times New Roman;sans-serif" w:hAnsi="Times New Roman;sans-serif"/>
          <w:b/>
          <w:color w:val="000000"/>
          <w:sz w:val="22"/>
        </w:rPr>
        <w:t>.</w:t>
      </w:r>
    </w:p>
    <w:p>
      <w:pPr>
        <w:pStyle w:val="TextBody"/>
        <w:bidi w:val="0"/>
        <w:spacing w:before="10" w:after="283"/>
        <w:ind w:left="0" w:right="0" w:firstLine="839"/>
        <w:jc w:val="left"/>
        <w:rPr/>
      </w:pPr>
      <w:r>
        <w:rPr/>
      </w:r>
    </w:p>
    <w:p>
      <w:pPr>
        <w:pStyle w:val="TextBody"/>
        <w:bidi w:val="0"/>
        <w:spacing w:lineRule="auto" w:line="240" w:before="0" w:after="0"/>
        <w:ind w:left="0" w:right="0" w:firstLine="1530"/>
        <w:jc w:val="left"/>
        <w:rPr/>
      </w:pPr>
      <w:r>
        <w:rPr>
          <w:rFonts w:ascii="Times New Roman;sans-serif" w:hAnsi="Times New Roman;sans-serif"/>
          <w:b w:val="false"/>
          <w:color w:val="000000"/>
          <w:sz w:val="24"/>
        </w:rPr>
        <w:t>(a)</w:t>
      </w:r>
      <w:r>
        <w:rPr>
          <w:rFonts w:ascii="Times New Roman;sans-serif" w:hAnsi="Times New Roman;sans-serif"/>
          <w:b/>
          <w:color w:val="000000"/>
          <w:sz w:val="22"/>
          <w:u w:val="single"/>
        </w:rPr>
        <w:t>Governing Law</w:t>
      </w:r>
      <w:r>
        <w:rPr>
          <w:rFonts w:ascii="Times New Roman;sans-serif" w:hAnsi="Times New Roman;sans-serif"/>
          <w:b/>
          <w:color w:val="000000"/>
          <w:sz w:val="22"/>
        </w:rPr>
        <w:t xml:space="preserve">. </w:t>
      </w:r>
      <w:r>
        <w:rPr>
          <w:rFonts w:ascii="Times New Roman;sans-serif" w:hAnsi="Times New Roman;sans-serif"/>
          <w:b w:val="false"/>
          <w:color w:val="000000"/>
          <w:sz w:val="22"/>
        </w:rPr>
        <w:t>The validity, interpretation, construction and performance of this letter, and all acts and transactions pursuant hereto and the rights and obligations of the parties hereto shall be governed, construed and interpreted in accordance with the laws of state of California, without giving effect to principles of conflicts of law.</w:t>
      </w:r>
    </w:p>
    <w:p>
      <w:pPr>
        <w:pStyle w:val="TextBody"/>
        <w:bidi w:val="0"/>
        <w:spacing w:before="10" w:after="283"/>
        <w:ind w:left="0" w:right="0" w:firstLine="1530"/>
        <w:jc w:val="left"/>
        <w:rPr/>
      </w:pPr>
      <w:r>
        <w:rPr/>
      </w:r>
    </w:p>
    <w:p>
      <w:pPr>
        <w:pStyle w:val="TextBody"/>
        <w:bidi w:val="0"/>
        <w:spacing w:lineRule="auto" w:line="240" w:before="0" w:after="0"/>
        <w:ind w:left="0" w:right="0" w:firstLine="1530"/>
        <w:jc w:val="left"/>
        <w:rPr/>
      </w:pPr>
      <w:r>
        <w:rPr>
          <w:rFonts w:ascii="Times New Roman;sans-serif" w:hAnsi="Times New Roman;sans-serif"/>
          <w:b w:val="false"/>
          <w:color w:val="000000"/>
          <w:sz w:val="24"/>
        </w:rPr>
        <w:t>(b)</w:t>
      </w:r>
      <w:r>
        <w:rPr>
          <w:rFonts w:ascii="Times New Roman;sans-serif" w:hAnsi="Times New Roman;sans-serif"/>
          <w:b/>
          <w:color w:val="000000"/>
          <w:sz w:val="22"/>
          <w:u w:val="single"/>
        </w:rPr>
        <w:t>Entire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This letter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pStyle w:val="TextBody"/>
        <w:bidi w:val="0"/>
        <w:spacing w:before="10" w:after="283"/>
        <w:ind w:left="0" w:right="0" w:firstLine="1530"/>
        <w:jc w:val="left"/>
        <w:rPr/>
      </w:pPr>
      <w:r>
        <w:rPr/>
      </w:r>
    </w:p>
    <w:p>
      <w:pPr>
        <w:pStyle w:val="TextBody"/>
        <w:bidi w:val="0"/>
        <w:spacing w:lineRule="auto" w:line="240" w:before="0" w:after="0"/>
        <w:ind w:left="0" w:right="0" w:firstLine="1530"/>
        <w:jc w:val="left"/>
        <w:rPr/>
      </w:pPr>
      <w:r>
        <w:rPr>
          <w:rFonts w:ascii="Times New Roman;sans-serif" w:hAnsi="Times New Roman;sans-serif"/>
          <w:b w:val="false"/>
          <w:color w:val="000000"/>
          <w:sz w:val="24"/>
        </w:rPr>
        <w:t>(c)</w:t>
      </w:r>
      <w:r>
        <w:rPr>
          <w:rFonts w:ascii="Times New Roman;sans-serif" w:hAnsi="Times New Roman;sans-serif"/>
          <w:b/>
          <w:color w:val="000000"/>
          <w:sz w:val="22"/>
          <w:u w:val="single"/>
        </w:rPr>
        <w:t>Counterparts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letter may be executed in any number of counterparts, each of which when so executed and delivered shall be deemed an original, and all of which together shall constitute one and the same agreement. Execution of a facsimile copy will have the same force and effect as execution of an original, and a facsimile signature will be deemed an original and valid signature.</w:t>
      </w:r>
    </w:p>
    <w:p>
      <w:pPr>
        <w:pStyle w:val="TextBody"/>
        <w:bidi w:val="0"/>
        <w:spacing w:before="10" w:after="283"/>
        <w:ind w:left="0" w:right="0" w:firstLine="1530"/>
        <w:jc w:val="left"/>
        <w:rPr/>
      </w:pPr>
      <w:r>
        <w:rPr/>
      </w:r>
    </w:p>
    <w:p>
      <w:pPr>
        <w:pStyle w:val="TextBody"/>
        <w:bidi w:val="0"/>
        <w:spacing w:lineRule="auto" w:line="240" w:before="0" w:after="0"/>
        <w:ind w:left="0" w:right="0" w:firstLine="1530"/>
        <w:jc w:val="left"/>
        <w:rPr/>
      </w:pPr>
      <w:r>
        <w:rPr>
          <w:rFonts w:ascii="Times New Roman;sans-serif" w:hAnsi="Times New Roman;sans-serif"/>
          <w:b w:val="false"/>
          <w:color w:val="000000"/>
          <w:sz w:val="24"/>
        </w:rPr>
        <w:t>(d)</w:t>
      </w:r>
      <w:r>
        <w:rPr>
          <w:rFonts w:ascii="Times New Roman;sans-serif" w:hAnsi="Times New Roman;sans-serif"/>
          <w:b/>
          <w:color w:val="000000"/>
          <w:sz w:val="22"/>
          <w:u w:val="single"/>
        </w:rPr>
        <w:t>Electronic Delivery</w:t>
      </w:r>
      <w:r>
        <w:rPr>
          <w:rFonts w:ascii="Times New Roman;sans-serif" w:hAnsi="Times New Roman;sans-serif"/>
          <w:b/>
          <w:color w:val="000000"/>
          <w:sz w:val="22"/>
        </w:rPr>
        <w:t xml:space="preserve">. </w:t>
      </w:r>
      <w:r>
        <w:rPr>
          <w:rFonts w:ascii="Times New Roman;sans-serif" w:hAnsi="Times New Roman;sans-serif"/>
          <w:b w:val="false"/>
          <w:color w:val="000000"/>
          <w:sz w:val="22"/>
        </w:rPr>
        <w:t>The Company may, in its sole discretion, decide to deliver any documents or notices related to this Agreement, securities of the Company or any of its affiliates or any other matter, including documents and/or notices required to be delivered to you by applicable securities law or any other law or the Company’s Certificate of Incorporation or Bylaws by email or any other electronic means. You hereby consent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73" w:after="283"/>
        <w:ind w:left="0" w:right="0" w:firstLine="724"/>
        <w:jc w:val="left"/>
        <w:rPr/>
      </w:pPr>
      <w:r>
        <w:rPr>
          <w:rFonts w:ascii="Times New Roman;sans-serif" w:hAnsi="Times New Roman;sans-serif"/>
          <w:b w:val="false"/>
          <w:color w:val="2D2D2D"/>
          <w:sz w:val="22"/>
        </w:rPr>
        <w:t>If you w</w:t>
      </w:r>
      <w:r>
        <w:rPr>
          <w:rFonts w:ascii="Times New Roman;sans-serif" w:hAnsi="Times New Roman;sans-serif"/>
          <w:b w:val="false"/>
          <w:color w:val="0E0E0C"/>
          <w:sz w:val="22"/>
        </w:rPr>
        <w:t>i</w:t>
      </w:r>
      <w:r>
        <w:rPr>
          <w:rFonts w:ascii="Times New Roman;sans-serif" w:hAnsi="Times New Roman;sans-serif"/>
          <w:b w:val="false"/>
          <w:color w:val="414141"/>
          <w:sz w:val="22"/>
        </w:rPr>
        <w:t>s</w:t>
      </w:r>
      <w:r>
        <w:rPr>
          <w:rFonts w:ascii="Times New Roman;sans-serif" w:hAnsi="Times New Roman;sans-serif"/>
          <w:b w:val="false"/>
          <w:color w:val="1C1C1C"/>
          <w:sz w:val="22"/>
        </w:rPr>
        <w:t xml:space="preserve">h to </w:t>
      </w:r>
      <w:r>
        <w:rPr>
          <w:rFonts w:ascii="Times New Roman;sans-serif" w:hAnsi="Times New Roman;sans-serif"/>
          <w:b w:val="false"/>
          <w:color w:val="2D2D2D"/>
          <w:sz w:val="22"/>
        </w:rPr>
        <w:t xml:space="preserve">accept this offer, please </w:t>
      </w:r>
      <w:r>
        <w:rPr>
          <w:rFonts w:ascii="Times New Roman;sans-serif" w:hAnsi="Times New Roman;sans-serif"/>
          <w:b w:val="false"/>
          <w:color w:val="414141"/>
          <w:sz w:val="22"/>
        </w:rPr>
        <w:t>s</w:t>
      </w:r>
      <w:r>
        <w:rPr>
          <w:rFonts w:ascii="Times New Roman;sans-serif" w:hAnsi="Times New Roman;sans-serif"/>
          <w:b w:val="false"/>
          <w:color w:val="0E0E0C"/>
          <w:sz w:val="22"/>
        </w:rPr>
        <w:t>i</w:t>
      </w:r>
      <w:r>
        <w:rPr>
          <w:rFonts w:ascii="Times New Roman;sans-serif" w:hAnsi="Times New Roman;sans-serif"/>
          <w:b w:val="false"/>
          <w:color w:val="2D2D2D"/>
          <w:sz w:val="22"/>
        </w:rPr>
        <w:t xml:space="preserve">gn and date </w:t>
      </w:r>
      <w:r>
        <w:rPr>
          <w:rFonts w:ascii="Times New Roman;sans-serif" w:hAnsi="Times New Roman;sans-serif"/>
          <w:b w:val="false"/>
          <w:color w:val="1C1C1C"/>
          <w:sz w:val="22"/>
        </w:rPr>
        <w:t xml:space="preserve">both </w:t>
      </w:r>
      <w:r>
        <w:rPr>
          <w:rFonts w:ascii="Times New Roman;sans-serif" w:hAnsi="Times New Roman;sans-serif"/>
          <w:b w:val="false"/>
          <w:color w:val="2D2D2D"/>
          <w:sz w:val="22"/>
        </w:rPr>
        <w:t xml:space="preserve">the enclosed </w:t>
      </w:r>
      <w:r>
        <w:rPr>
          <w:rFonts w:ascii="Times New Roman;sans-serif" w:hAnsi="Times New Roman;sans-serif"/>
          <w:b w:val="false"/>
          <w:color w:val="1C1C1C"/>
          <w:sz w:val="22"/>
        </w:rPr>
        <w:t xml:space="preserve">duplicate </w:t>
      </w:r>
      <w:r>
        <w:rPr>
          <w:rFonts w:ascii="Times New Roman;sans-serif" w:hAnsi="Times New Roman;sans-serif"/>
          <w:b w:val="false"/>
          <w:color w:val="2D2D2D"/>
          <w:sz w:val="22"/>
        </w:rPr>
        <w:t>or</w:t>
      </w:r>
      <w:r>
        <w:rPr>
          <w:rFonts w:ascii="Times New Roman;sans-serif" w:hAnsi="Times New Roman;sans-serif"/>
          <w:b w:val="false"/>
          <w:color w:val="0E0E0C"/>
          <w:sz w:val="22"/>
        </w:rPr>
        <w:t>i</w:t>
      </w:r>
      <w:r>
        <w:rPr>
          <w:rFonts w:ascii="Times New Roman;sans-serif" w:hAnsi="Times New Roman;sans-serif"/>
          <w:b w:val="false"/>
          <w:color w:val="2D2D2D"/>
          <w:sz w:val="22"/>
        </w:rPr>
        <w:t>g</w:t>
      </w:r>
      <w:r>
        <w:rPr>
          <w:rFonts w:ascii="Times New Roman;sans-serif" w:hAnsi="Times New Roman;sans-serif"/>
          <w:b w:val="false"/>
          <w:color w:val="0E0E0C"/>
          <w:sz w:val="22"/>
        </w:rPr>
        <w:t>in</w:t>
      </w:r>
      <w:r>
        <w:rPr>
          <w:rFonts w:ascii="Times New Roman;sans-serif" w:hAnsi="Times New Roman;sans-serif"/>
          <w:b w:val="false"/>
          <w:color w:val="2D2D2D"/>
          <w:sz w:val="22"/>
        </w:rPr>
        <w:t xml:space="preserve">al of </w:t>
      </w:r>
      <w:r>
        <w:rPr>
          <w:rFonts w:ascii="Times New Roman;sans-serif" w:hAnsi="Times New Roman;sans-serif"/>
          <w:b w:val="false"/>
          <w:color w:val="1C1C1C"/>
          <w:sz w:val="22"/>
        </w:rPr>
        <w:t xml:space="preserve">this letter </w:t>
      </w:r>
      <w:r>
        <w:rPr>
          <w:rFonts w:ascii="Times New Roman;sans-serif" w:hAnsi="Times New Roman;sans-serif"/>
          <w:b w:val="false"/>
          <w:color w:val="2D2D2D"/>
          <w:sz w:val="22"/>
        </w:rPr>
        <w:t>and the enclosed Confidentia</w:t>
      </w:r>
      <w:r>
        <w:rPr>
          <w:rFonts w:ascii="Times New Roman;sans-serif" w:hAnsi="Times New Roman;sans-serif"/>
          <w:b w:val="false"/>
          <w:color w:val="0E0E0C"/>
          <w:sz w:val="22"/>
        </w:rPr>
        <w:t xml:space="preserve">l </w:t>
      </w:r>
      <w:r>
        <w:rPr>
          <w:rFonts w:ascii="Times New Roman;sans-serif" w:hAnsi="Times New Roman;sans-serif"/>
          <w:b w:val="false"/>
          <w:color w:val="1C1C1C"/>
          <w:sz w:val="22"/>
        </w:rPr>
        <w:t xml:space="preserve">Information </w:t>
      </w:r>
      <w:r>
        <w:rPr>
          <w:rFonts w:ascii="Times New Roman;sans-serif" w:hAnsi="Times New Roman;sans-serif"/>
          <w:b w:val="false"/>
          <w:color w:val="2D2D2D"/>
          <w:sz w:val="22"/>
        </w:rPr>
        <w:t>a</w:t>
      </w:r>
      <w:r>
        <w:rPr>
          <w:rFonts w:ascii="Times New Roman;sans-serif" w:hAnsi="Times New Roman;sans-serif"/>
          <w:b w:val="false"/>
          <w:color w:val="0E0E0C"/>
          <w:sz w:val="22"/>
        </w:rPr>
        <w:t xml:space="preserve">nd </w:t>
      </w:r>
      <w:r>
        <w:rPr>
          <w:rFonts w:ascii="Times New Roman;sans-serif" w:hAnsi="Times New Roman;sans-serif"/>
          <w:b w:val="false"/>
          <w:color w:val="1C1C1C"/>
          <w:sz w:val="22"/>
        </w:rPr>
        <w:t xml:space="preserve">Invention </w:t>
      </w:r>
      <w:r>
        <w:rPr>
          <w:rFonts w:ascii="Times New Roman;sans-serif" w:hAnsi="Times New Roman;sans-serif"/>
          <w:b w:val="false"/>
          <w:color w:val="2D2D2D"/>
          <w:sz w:val="22"/>
        </w:rPr>
        <w:t>Ass</w:t>
      </w:r>
      <w:r>
        <w:rPr>
          <w:rFonts w:ascii="Times New Roman;sans-serif" w:hAnsi="Times New Roman;sans-serif"/>
          <w:b w:val="false"/>
          <w:color w:val="0E0E0C"/>
          <w:sz w:val="22"/>
        </w:rPr>
        <w:t>i</w:t>
      </w:r>
      <w:r>
        <w:rPr>
          <w:rFonts w:ascii="Times New Roman;sans-serif" w:hAnsi="Times New Roman;sans-serif"/>
          <w:b w:val="false"/>
          <w:color w:val="2D2D2D"/>
          <w:sz w:val="22"/>
        </w:rPr>
        <w:t>gnment Agreement and return t</w:t>
      </w:r>
      <w:r>
        <w:rPr>
          <w:rFonts w:ascii="Times New Roman;sans-serif" w:hAnsi="Times New Roman;sans-serif"/>
          <w:b w:val="false"/>
          <w:color w:val="0E0E0C"/>
          <w:sz w:val="22"/>
        </w:rPr>
        <w:t>h</w:t>
      </w:r>
      <w:r>
        <w:rPr>
          <w:rFonts w:ascii="Times New Roman;sans-serif" w:hAnsi="Times New Roman;sans-serif"/>
          <w:b w:val="false"/>
          <w:color w:val="2D2D2D"/>
          <w:sz w:val="22"/>
        </w:rPr>
        <w:t xml:space="preserve">em to me. As </w:t>
      </w:r>
      <w:r>
        <w:rPr>
          <w:rFonts w:ascii="Times New Roman;sans-serif" w:hAnsi="Times New Roman;sans-serif"/>
          <w:b w:val="false"/>
          <w:color w:val="0E0E0C"/>
          <w:sz w:val="22"/>
        </w:rPr>
        <w:t>r</w:t>
      </w:r>
      <w:r>
        <w:rPr>
          <w:rFonts w:ascii="Times New Roman;sans-serif" w:hAnsi="Times New Roman;sans-serif"/>
          <w:b w:val="false"/>
          <w:color w:val="2D2D2D"/>
          <w:sz w:val="22"/>
        </w:rPr>
        <w:t xml:space="preserve">equired, </w:t>
      </w:r>
      <w:r>
        <w:rPr>
          <w:rFonts w:ascii="Times New Roman;sans-serif" w:hAnsi="Times New Roman;sans-serif"/>
          <w:b w:val="false"/>
          <w:color w:val="1C1C1C"/>
          <w:sz w:val="22"/>
        </w:rPr>
        <w:t xml:space="preserve">by law, </w:t>
      </w:r>
      <w:r>
        <w:rPr>
          <w:rFonts w:ascii="Times New Roman;sans-serif" w:hAnsi="Times New Roman;sans-serif"/>
          <w:b w:val="false"/>
          <w:color w:val="2D2D2D"/>
          <w:sz w:val="22"/>
        </w:rPr>
        <w:t>your em</w:t>
      </w:r>
      <w:r>
        <w:rPr>
          <w:rFonts w:ascii="Times New Roman;sans-serif" w:hAnsi="Times New Roman;sans-serif"/>
          <w:b w:val="false"/>
          <w:color w:val="0E0E0C"/>
          <w:sz w:val="22"/>
        </w:rPr>
        <w:t>p</w:t>
      </w:r>
      <w:r>
        <w:rPr>
          <w:rFonts w:ascii="Times New Roman;sans-serif" w:hAnsi="Times New Roman;sans-serif"/>
          <w:b w:val="false"/>
          <w:color w:val="2D2D2D"/>
          <w:sz w:val="22"/>
        </w:rPr>
        <w:t xml:space="preserve">loyment with the Company </w:t>
      </w:r>
      <w:r>
        <w:rPr>
          <w:rFonts w:ascii="Times New Roman;sans-serif" w:hAnsi="Times New Roman;sans-serif"/>
          <w:b w:val="false"/>
          <w:color w:val="1C1C1C"/>
          <w:sz w:val="22"/>
        </w:rPr>
        <w:t xml:space="preserve">is </w:t>
      </w:r>
      <w:r>
        <w:rPr>
          <w:rFonts w:ascii="Times New Roman;sans-serif" w:hAnsi="Times New Roman;sans-serif"/>
          <w:b w:val="false"/>
          <w:color w:val="2D2D2D"/>
          <w:sz w:val="22"/>
        </w:rPr>
        <w:t xml:space="preserve">also contingent upon </w:t>
      </w:r>
      <w:r>
        <w:rPr>
          <w:rFonts w:ascii="Times New Roman;sans-serif" w:hAnsi="Times New Roman;sans-serif"/>
          <w:b w:val="false"/>
          <w:color w:val="414141"/>
          <w:sz w:val="22"/>
        </w:rPr>
        <w:t xml:space="preserve">your </w:t>
      </w:r>
      <w:r>
        <w:rPr>
          <w:rFonts w:ascii="Times New Roman;sans-serif" w:hAnsi="Times New Roman;sans-serif"/>
          <w:b w:val="false"/>
          <w:color w:val="2D2D2D"/>
          <w:sz w:val="22"/>
        </w:rPr>
        <w:t xml:space="preserve">providing </w:t>
      </w:r>
      <w:r>
        <w:rPr>
          <w:rFonts w:ascii="Times New Roman;sans-serif" w:hAnsi="Times New Roman;sans-serif"/>
          <w:b w:val="false"/>
          <w:color w:val="0E0E0C"/>
          <w:sz w:val="22"/>
        </w:rPr>
        <w:t>l</w:t>
      </w:r>
      <w:r>
        <w:rPr>
          <w:rFonts w:ascii="Times New Roman;sans-serif" w:hAnsi="Times New Roman;sans-serif"/>
          <w:b w:val="false"/>
          <w:color w:val="414141"/>
          <w:sz w:val="22"/>
        </w:rPr>
        <w:t xml:space="preserve">egal </w:t>
      </w:r>
      <w:r>
        <w:rPr>
          <w:rFonts w:ascii="Times New Roman;sans-serif" w:hAnsi="Times New Roman;sans-serif"/>
          <w:b w:val="false"/>
          <w:color w:val="2D2D2D"/>
          <w:sz w:val="22"/>
        </w:rPr>
        <w:t xml:space="preserve">proof of your </w:t>
      </w:r>
      <w:r>
        <w:rPr>
          <w:rFonts w:ascii="Times New Roman;sans-serif" w:hAnsi="Times New Roman;sans-serif"/>
          <w:b w:val="false"/>
          <w:color w:val="1C1C1C"/>
          <w:sz w:val="22"/>
        </w:rPr>
        <w:t xml:space="preserve">identity </w:t>
      </w:r>
      <w:r>
        <w:rPr>
          <w:rFonts w:ascii="Times New Roman;sans-serif" w:hAnsi="Times New Roman;sans-serif"/>
          <w:b w:val="false"/>
          <w:color w:val="414141"/>
          <w:sz w:val="22"/>
        </w:rPr>
        <w:t xml:space="preserve">and </w:t>
      </w:r>
      <w:r>
        <w:rPr>
          <w:rFonts w:ascii="Times New Roman;sans-serif" w:hAnsi="Times New Roman;sans-serif"/>
          <w:b w:val="false"/>
          <w:color w:val="2D2D2D"/>
          <w:sz w:val="22"/>
        </w:rPr>
        <w:t xml:space="preserve">authorization to work in </w:t>
      </w:r>
      <w:r>
        <w:rPr>
          <w:rFonts w:ascii="Times New Roman;sans-serif" w:hAnsi="Times New Roman;sans-serif"/>
          <w:b w:val="false"/>
          <w:color w:val="1C1C1C"/>
          <w:sz w:val="22"/>
        </w:rPr>
        <w:t xml:space="preserve">the </w:t>
      </w:r>
      <w:r>
        <w:rPr>
          <w:rFonts w:ascii="Times New Roman;sans-serif" w:hAnsi="Times New Roman;sans-serif"/>
          <w:b w:val="false"/>
          <w:color w:val="2D2D2D"/>
          <w:sz w:val="22"/>
        </w:rPr>
        <w:t>Un</w:t>
      </w:r>
      <w:r>
        <w:rPr>
          <w:rFonts w:ascii="Times New Roman;sans-serif" w:hAnsi="Times New Roman;sans-serif"/>
          <w:b w:val="false"/>
          <w:color w:val="0E0E0C"/>
          <w:sz w:val="22"/>
        </w:rPr>
        <w:t>it</w:t>
      </w:r>
      <w:r>
        <w:rPr>
          <w:rFonts w:ascii="Times New Roman;sans-serif" w:hAnsi="Times New Roman;sans-serif"/>
          <w:b w:val="false"/>
          <w:color w:val="414141"/>
          <w:sz w:val="22"/>
        </w:rPr>
        <w:t>e</w:t>
      </w:r>
      <w:r>
        <w:rPr>
          <w:rFonts w:ascii="Times New Roman;sans-serif" w:hAnsi="Times New Roman;sans-serif"/>
          <w:b w:val="false"/>
          <w:color w:val="1C1C1C"/>
          <w:sz w:val="22"/>
        </w:rPr>
        <w:t xml:space="preserve">d </w:t>
      </w:r>
      <w:r>
        <w:rPr>
          <w:rFonts w:ascii="Times New Roman;sans-serif" w:hAnsi="Times New Roman;sans-serif"/>
          <w:b w:val="false"/>
          <w:color w:val="2D2D2D"/>
          <w:sz w:val="22"/>
        </w:rPr>
        <w:t>S</w:t>
      </w:r>
      <w:r>
        <w:rPr>
          <w:rFonts w:ascii="Times New Roman;sans-serif" w:hAnsi="Times New Roman;sans-serif"/>
          <w:b w:val="false"/>
          <w:color w:val="0E0E0C"/>
          <w:sz w:val="22"/>
        </w:rPr>
        <w:t>t</w:t>
      </w:r>
      <w:r>
        <w:rPr>
          <w:rFonts w:ascii="Times New Roman;sans-serif" w:hAnsi="Times New Roman;sans-serif"/>
          <w:b w:val="false"/>
          <w:color w:val="2D2D2D"/>
          <w:sz w:val="22"/>
        </w:rPr>
        <w:t>a</w:t>
      </w:r>
      <w:r>
        <w:rPr>
          <w:rFonts w:ascii="Times New Roman;sans-serif" w:hAnsi="Times New Roman;sans-serif"/>
          <w:b w:val="false"/>
          <w:color w:val="0E0E0C"/>
          <w:sz w:val="22"/>
        </w:rPr>
        <w:t>t</w:t>
      </w:r>
      <w:r>
        <w:rPr>
          <w:rFonts w:ascii="Times New Roman;sans-serif" w:hAnsi="Times New Roman;sans-serif"/>
          <w:b w:val="false"/>
          <w:color w:val="2D2D2D"/>
          <w:sz w:val="22"/>
        </w:rPr>
        <w:t>es</w:t>
      </w:r>
      <w:r>
        <w:rPr>
          <w:rFonts w:ascii="Times New Roman;sans-serif" w:hAnsi="Times New Roman;sans-serif"/>
          <w:b w:val="false"/>
          <w:color w:val="0E0E0C"/>
          <w:sz w:val="22"/>
        </w:rPr>
        <w:t xml:space="preserve">. </w:t>
      </w:r>
      <w:r>
        <w:rPr>
          <w:rFonts w:ascii="Times New Roman;sans-serif" w:hAnsi="Times New Roman;sans-serif"/>
          <w:b w:val="false"/>
          <w:color w:val="1C1C1C"/>
          <w:sz w:val="22"/>
        </w:rPr>
        <w:t xml:space="preserve">This </w:t>
      </w:r>
      <w:r>
        <w:rPr>
          <w:rFonts w:ascii="Times New Roman;sans-serif" w:hAnsi="Times New Roman;sans-serif"/>
          <w:b w:val="false"/>
          <w:color w:val="2D2D2D"/>
          <w:sz w:val="22"/>
        </w:rPr>
        <w:t xml:space="preserve">offer, </w:t>
      </w:r>
      <w:r>
        <w:rPr>
          <w:rFonts w:ascii="Times New Roman;sans-serif" w:hAnsi="Times New Roman;sans-serif"/>
          <w:b w:val="false"/>
          <w:color w:val="0E0E0C"/>
          <w:sz w:val="22"/>
        </w:rPr>
        <w:t>i</w:t>
      </w:r>
      <w:r>
        <w:rPr>
          <w:rFonts w:ascii="Times New Roman;sans-serif" w:hAnsi="Times New Roman;sans-serif"/>
          <w:b w:val="false"/>
          <w:color w:val="2D2D2D"/>
          <w:sz w:val="22"/>
        </w:rPr>
        <w:t xml:space="preserve">f </w:t>
      </w:r>
      <w:r>
        <w:rPr>
          <w:rFonts w:ascii="Times New Roman;sans-serif" w:hAnsi="Times New Roman;sans-serif"/>
          <w:b w:val="false"/>
          <w:color w:val="1C1C1C"/>
          <w:sz w:val="22"/>
        </w:rPr>
        <w:t xml:space="preserve">not </w:t>
      </w:r>
      <w:r>
        <w:rPr>
          <w:rFonts w:ascii="Times New Roman;sans-serif" w:hAnsi="Times New Roman;sans-serif"/>
          <w:b w:val="false"/>
          <w:color w:val="2D2D2D"/>
          <w:sz w:val="22"/>
        </w:rPr>
        <w:t>accepted, w</w:t>
      </w:r>
      <w:r>
        <w:rPr>
          <w:rFonts w:ascii="Times New Roman;sans-serif" w:hAnsi="Times New Roman;sans-serif"/>
          <w:b w:val="false"/>
          <w:color w:val="0E0E0C"/>
          <w:sz w:val="22"/>
        </w:rPr>
        <w:t xml:space="preserve">ill </w:t>
      </w:r>
      <w:r>
        <w:rPr>
          <w:rFonts w:ascii="Times New Roman;sans-serif" w:hAnsi="Times New Roman;sans-serif"/>
          <w:b w:val="false"/>
          <w:color w:val="2D2D2D"/>
          <w:sz w:val="22"/>
        </w:rPr>
        <w:t xml:space="preserve">expire at </w:t>
      </w:r>
      <w:r>
        <w:rPr>
          <w:rFonts w:ascii="Times New Roman;sans-serif" w:hAnsi="Times New Roman;sans-serif"/>
          <w:b w:val="false"/>
          <w:color w:val="1C1C1C"/>
          <w:sz w:val="22"/>
        </w:rPr>
        <w:t xml:space="preserve">the close </w:t>
      </w:r>
      <w:r>
        <w:rPr>
          <w:rFonts w:ascii="Times New Roman;sans-serif" w:hAnsi="Times New Roman;sans-serif"/>
          <w:b w:val="false"/>
          <w:color w:val="2D2D2D"/>
          <w:sz w:val="22"/>
        </w:rPr>
        <w:t xml:space="preserve">of </w:t>
      </w:r>
      <w:r>
        <w:rPr>
          <w:rFonts w:ascii="Times New Roman;sans-serif" w:hAnsi="Times New Roman;sans-serif"/>
          <w:b w:val="false"/>
          <w:color w:val="1C1C1C"/>
          <w:sz w:val="22"/>
        </w:rPr>
        <w:t xml:space="preserve">business </w:t>
      </w:r>
      <w:r>
        <w:rPr>
          <w:rFonts w:ascii="Times New Roman;sans-serif" w:hAnsi="Times New Roman;sans-serif"/>
          <w:b w:val="false"/>
          <w:color w:val="2D2D2D"/>
          <w:sz w:val="22"/>
        </w:rPr>
        <w:t xml:space="preserve">on March </w:t>
      </w:r>
      <w:r>
        <w:rPr>
          <w:rFonts w:ascii="Times New Roman;sans-serif" w:hAnsi="Times New Roman;sans-serif"/>
          <w:b w:val="false"/>
          <w:color w:val="1C1C1C"/>
          <w:sz w:val="22"/>
        </w:rPr>
        <w:t>13</w:t>
      </w:r>
      <w:r>
        <w:rPr>
          <w:rFonts w:ascii="Times New Roman;sans-serif" w:hAnsi="Times New Roman;sans-serif"/>
          <w:b w:val="false"/>
          <w:color w:val="000000"/>
          <w:sz w:val="14"/>
        </w:rPr>
        <w:t>th</w:t>
      </w:r>
      <w:r>
        <w:rPr>
          <w:rFonts w:ascii="Times New Roman;sans-serif" w:hAnsi="Times New Roman;sans-serif"/>
          <w:b w:val="false"/>
          <w:color w:val="414141"/>
          <w:sz w:val="22"/>
        </w:rPr>
        <w:t xml:space="preserve">, </w:t>
      </w:r>
      <w:r>
        <w:rPr>
          <w:rFonts w:ascii="Times New Roman;sans-serif" w:hAnsi="Times New Roman;sans-serif"/>
          <w:b w:val="false"/>
          <w:color w:val="2D2D2D"/>
          <w:sz w:val="22"/>
        </w:rPr>
        <w:t>2</w:t>
      </w:r>
      <w:r>
        <w:rPr>
          <w:rFonts w:ascii="Times New Roman;sans-serif" w:hAnsi="Times New Roman;sans-serif"/>
          <w:b w:val="false"/>
          <w:color w:val="0E0E0C"/>
          <w:sz w:val="22"/>
        </w:rPr>
        <w:t>01</w:t>
      </w:r>
      <w:r>
        <w:rPr>
          <w:rFonts w:ascii="Times New Roman;sans-serif" w:hAnsi="Times New Roman;sans-serif"/>
          <w:b w:val="false"/>
          <w:color w:val="2D2D2D"/>
          <w:sz w:val="22"/>
        </w:rPr>
        <w:t>5</w:t>
      </w:r>
      <w:r>
        <w:rPr>
          <w:rFonts w:ascii="Times New Roman;sans-serif" w:hAnsi="Times New Roman;sans-serif"/>
          <w:b w:val="false"/>
          <w:color w:val="0E0E0C"/>
          <w:sz w:val="22"/>
        </w:rPr>
        <w:t>.</w:t>
      </w:r>
    </w:p>
    <w:p>
      <w:pPr>
        <w:pStyle w:val="TextBody"/>
        <w:bidi w:val="0"/>
        <w:spacing w:before="5" w:after="283"/>
        <w:jc w:val="left"/>
        <w:rPr/>
      </w:pPr>
      <w:r>
        <w:rPr/>
      </w:r>
    </w:p>
    <w:p>
      <w:pPr>
        <w:pStyle w:val="TextBody"/>
        <w:bidi w:val="0"/>
        <w:spacing w:lineRule="auto" w:line="240" w:before="91" w:after="283"/>
        <w:jc w:val="left"/>
        <w:rPr/>
      </w:pPr>
      <w:r>
        <w:rPr>
          <w:rFonts w:ascii="Times New Roman;sans-serif" w:hAnsi="Times New Roman;sans-serif"/>
          <w:b w:val="false"/>
          <w:color w:val="2D2D2D"/>
          <w:sz w:val="22"/>
        </w:rPr>
        <w:t xml:space="preserve">We </w:t>
      </w:r>
      <w:r>
        <w:rPr>
          <w:rFonts w:ascii="Times New Roman;sans-serif" w:hAnsi="Times New Roman;sans-serif"/>
          <w:b w:val="false"/>
          <w:color w:val="0E0E0C"/>
          <w:sz w:val="22"/>
        </w:rPr>
        <w:t>l</w:t>
      </w:r>
      <w:r>
        <w:rPr>
          <w:rFonts w:ascii="Times New Roman;sans-serif" w:hAnsi="Times New Roman;sans-serif"/>
          <w:b w:val="false"/>
          <w:color w:val="2D2D2D"/>
          <w:sz w:val="22"/>
        </w:rPr>
        <w:t xml:space="preserve">ook forward to </w:t>
      </w:r>
      <w:r>
        <w:rPr>
          <w:rFonts w:ascii="Times New Roman;sans-serif" w:hAnsi="Times New Roman;sans-serif"/>
          <w:b w:val="false"/>
          <w:color w:val="0E0E0C"/>
          <w:sz w:val="22"/>
        </w:rPr>
        <w:t>h</w:t>
      </w:r>
      <w:r>
        <w:rPr>
          <w:rFonts w:ascii="Times New Roman;sans-serif" w:hAnsi="Times New Roman;sans-serif"/>
          <w:b w:val="false"/>
          <w:color w:val="2D2D2D"/>
          <w:sz w:val="22"/>
        </w:rPr>
        <w:t xml:space="preserve">aving you </w:t>
      </w:r>
      <w:r>
        <w:rPr>
          <w:rFonts w:ascii="Times New Roman;sans-serif" w:hAnsi="Times New Roman;sans-serif"/>
          <w:b w:val="false"/>
          <w:color w:val="0E0E0C"/>
          <w:sz w:val="22"/>
        </w:rPr>
        <w:t>j</w:t>
      </w:r>
      <w:r>
        <w:rPr>
          <w:rFonts w:ascii="Times New Roman;sans-serif" w:hAnsi="Times New Roman;sans-serif"/>
          <w:b w:val="false"/>
          <w:color w:val="2D2D2D"/>
          <w:sz w:val="22"/>
        </w:rPr>
        <w:t xml:space="preserve">oin us no </w:t>
      </w:r>
      <w:r>
        <w:rPr>
          <w:rFonts w:ascii="Times New Roman;sans-serif" w:hAnsi="Times New Roman;sans-serif"/>
          <w:b w:val="false"/>
          <w:color w:val="0E0E0C"/>
          <w:sz w:val="22"/>
        </w:rPr>
        <w:t>l</w:t>
      </w:r>
      <w:r>
        <w:rPr>
          <w:rFonts w:ascii="Times New Roman;sans-serif" w:hAnsi="Times New Roman;sans-serif"/>
          <w:b w:val="false"/>
          <w:color w:val="2D2D2D"/>
          <w:sz w:val="22"/>
        </w:rPr>
        <w:t xml:space="preserve">ater than </w:t>
      </w:r>
      <w:r>
        <w:rPr>
          <w:rFonts w:ascii="Times New Roman;sans-serif" w:hAnsi="Times New Roman;sans-serif"/>
          <w:b w:val="false"/>
          <w:color w:val="2D2D00"/>
          <w:sz w:val="22"/>
        </w:rPr>
        <w:t>Marc</w:t>
      </w:r>
      <w:r>
        <w:rPr>
          <w:rFonts w:ascii="Times New Roman;sans-serif" w:hAnsi="Times New Roman;sans-serif"/>
          <w:b w:val="false"/>
          <w:color w:val="0E0E0C"/>
          <w:sz w:val="22"/>
        </w:rPr>
        <w:t xml:space="preserve">h </w:t>
      </w:r>
      <w:r>
        <w:rPr>
          <w:rFonts w:ascii="Times New Roman;sans-serif" w:hAnsi="Times New Roman;sans-serif"/>
          <w:b w:val="false"/>
          <w:color w:val="2D2D00"/>
          <w:sz w:val="22"/>
        </w:rPr>
        <w:t>26t</w:t>
      </w:r>
      <w:r>
        <w:rPr>
          <w:rFonts w:ascii="Times New Roman;sans-serif" w:hAnsi="Times New Roman;sans-serif"/>
          <w:b w:val="false"/>
          <w:color w:val="484800"/>
          <w:sz w:val="22"/>
        </w:rPr>
        <w:t>h</w:t>
      </w:r>
      <w:r>
        <w:rPr>
          <w:rFonts w:ascii="Times New Roman;sans-serif" w:hAnsi="Times New Roman;sans-serif"/>
          <w:b w:val="false"/>
          <w:color w:val="2D2D00"/>
          <w:sz w:val="22"/>
        </w:rPr>
        <w:t>, 2</w:t>
      </w:r>
      <w:r>
        <w:rPr>
          <w:rFonts w:ascii="Times New Roman;sans-serif" w:hAnsi="Times New Roman;sans-serif"/>
          <w:b w:val="false"/>
          <w:color w:val="0E0E0C"/>
          <w:sz w:val="22"/>
        </w:rPr>
        <w:t>01</w:t>
      </w:r>
      <w:r>
        <w:rPr>
          <w:rFonts w:ascii="Times New Roman;sans-serif" w:hAnsi="Times New Roman;sans-serif"/>
          <w:b w:val="false"/>
          <w:color w:val="2D2D00"/>
          <w:sz w:val="22"/>
        </w:rPr>
        <w:t>5</w:t>
      </w:r>
      <w:r>
        <w:rPr>
          <w:rFonts w:ascii="Times New Roman;sans-serif" w:hAnsi="Times New Roman;sans-serif"/>
          <w:b w:val="false"/>
          <w:color w:val="0E0E0C"/>
          <w:sz w:val="22"/>
        </w:rPr>
        <w:t>.</w:t>
      </w:r>
    </w:p>
    <w:p>
      <w:pPr>
        <w:pStyle w:val="TextBody"/>
        <w:bidi w:val="0"/>
        <w:spacing w:before="2" w:after="283"/>
        <w:jc w:val="left"/>
        <w:rPr/>
      </w:pPr>
      <w:r>
        <w:rPr/>
      </w:r>
    </w:p>
    <w:p>
      <w:pPr>
        <w:pStyle w:val="TextBody"/>
        <w:bidi w:val="0"/>
        <w:spacing w:lineRule="auto" w:line="789" w:before="0" w:after="0"/>
        <w:ind w:left="0" w:right="0" w:firstLine="5"/>
        <w:jc w:val="left"/>
        <w:rPr/>
      </w:pPr>
      <w:r>
        <w:rPr>
          <w:rFonts w:ascii="Times New Roman;sans-serif" w:hAnsi="Times New Roman;sans-serif"/>
          <w:b w:val="false"/>
          <w:color w:val="2D2D2D"/>
          <w:sz w:val="22"/>
        </w:rPr>
        <w:t>Very tru</w:t>
      </w:r>
      <w:r>
        <w:rPr>
          <w:rFonts w:ascii="Times New Roman;sans-serif" w:hAnsi="Times New Roman;sans-serif"/>
          <w:b w:val="false"/>
          <w:color w:val="0E0E0C"/>
          <w:sz w:val="22"/>
        </w:rPr>
        <w:t>l</w:t>
      </w:r>
      <w:r>
        <w:rPr>
          <w:rFonts w:ascii="Times New Roman;sans-serif" w:hAnsi="Times New Roman;sans-serif"/>
          <w:b w:val="false"/>
          <w:color w:val="2D2D2D"/>
          <w:sz w:val="22"/>
        </w:rPr>
        <w:t xml:space="preserve">y yours, </w:t>
      </w:r>
    </w:p>
    <w:p>
      <w:pPr>
        <w:pStyle w:val="TextBody"/>
        <w:bidi w:val="0"/>
        <w:spacing w:lineRule="auto" w:line="789" w:before="0" w:after="0"/>
        <w:ind w:left="0" w:right="0" w:firstLine="5"/>
        <w:jc w:val="left"/>
        <w:rPr/>
      </w:pPr>
      <w:r>
        <w:rPr>
          <w:rFonts w:ascii="Times New Roman;sans-serif" w:hAnsi="Times New Roman;sans-serif"/>
          <w:b w:val="false"/>
          <w:color w:val="1C1C1C"/>
          <w:sz w:val="22"/>
        </w:rPr>
        <w:t xml:space="preserve">OPENDOOR LABS </w:t>
      </w:r>
      <w:r>
        <w:rPr>
          <w:rFonts w:ascii="Times New Roman;sans-serif" w:hAnsi="Times New Roman;sans-serif"/>
          <w:b w:val="false"/>
          <w:color w:val="2D2D2D"/>
          <w:sz w:val="22"/>
        </w:rPr>
        <w:t>INC.</w:t>
      </w:r>
    </w:p>
    <w:p>
      <w:pPr>
        <w:pStyle w:val="TextBody"/>
        <w:bidi w:val="0"/>
        <w:spacing w:lineRule="auto" w:line="240" w:before="108" w:after="283"/>
        <w:jc w:val="left"/>
        <w:rPr/>
      </w:pPr>
      <w:r>
        <w:rPr>
          <w:rFonts w:ascii="Times New Roman;sans-serif" w:hAnsi="Times New Roman;sans-serif"/>
          <w:b w:val="false"/>
          <w:color w:val="2D2D2D"/>
          <w:sz w:val="22"/>
        </w:rPr>
        <w:t>By</w:t>
      </w:r>
      <w:r>
        <w:rPr>
          <w:rFonts w:ascii="Times New Roman;sans-serif" w:hAnsi="Times New Roman;sans-serif"/>
          <w:b w:val="false"/>
          <w:color w:val="2D2D2D"/>
          <w:sz w:val="22"/>
          <w:u w:val="single"/>
        </w:rPr>
        <w:t>: /s/ Eric Wu            </w:t>
      </w:r>
    </w:p>
    <w:p>
      <w:pPr>
        <w:pStyle w:val="TextBody"/>
        <w:bidi w:val="0"/>
        <w:spacing w:lineRule="auto" w:line="240" w:before="14" w:after="283"/>
        <w:jc w:val="left"/>
        <w:rPr>
          <w:rFonts w:ascii="Times New Roman;sans-serif" w:hAnsi="Times New Roman;sans-serif"/>
          <w:b w:val="false"/>
          <w:color w:val="2D2D2D"/>
          <w:sz w:val="22"/>
        </w:rPr>
      </w:pPr>
      <w:r>
        <w:rPr>
          <w:rFonts w:ascii="Times New Roman;sans-serif" w:hAnsi="Times New Roman;sans-serif"/>
          <w:b w:val="false"/>
          <w:color w:val="2D2D2D"/>
          <w:sz w:val="22"/>
        </w:rPr>
        <w:t>Eric Wu</w:t>
      </w:r>
    </w:p>
    <w:p>
      <w:pPr>
        <w:pStyle w:val="TextBody"/>
        <w:bidi w:val="0"/>
        <w:spacing w:lineRule="auto" w:line="240" w:before="15" w:after="283"/>
        <w:jc w:val="left"/>
        <w:rPr/>
      </w:pPr>
      <w:r>
        <w:rPr>
          <w:rFonts w:ascii="Times New Roman;sans-serif" w:hAnsi="Times New Roman;sans-serif"/>
          <w:b w:val="false"/>
          <w:color w:val="2D2D2D"/>
          <w:sz w:val="22"/>
        </w:rPr>
        <w:t xml:space="preserve">Chief Executive </w:t>
      </w:r>
      <w:r>
        <w:rPr>
          <w:rFonts w:ascii="Times New Roman;sans-serif" w:hAnsi="Times New Roman;sans-serif"/>
          <w:b w:val="false"/>
          <w:color w:val="1C1C1C"/>
          <w:sz w:val="22"/>
        </w:rPr>
        <w:t xml:space="preserve">Officer </w:t>
      </w:r>
      <w:r>
        <w:rPr>
          <w:rFonts w:ascii="Times New Roman;sans-serif" w:hAnsi="Times New Roman;sans-serif"/>
          <w:b w:val="false"/>
          <w:color w:val="2D2D2D"/>
          <w:sz w:val="22"/>
        </w:rPr>
        <w:t>and President</w:t>
      </w:r>
    </w:p>
    <w:p>
      <w:pPr>
        <w:pStyle w:val="TextBody"/>
        <w:bidi w:val="0"/>
        <w:spacing w:before="2" w:after="283"/>
        <w:jc w:val="left"/>
        <w:rPr/>
      </w:pPr>
      <w:r>
        <w:rPr/>
      </w:r>
    </w:p>
    <w:p>
      <w:pPr>
        <w:pStyle w:val="TextBody"/>
        <w:bidi w:val="0"/>
        <w:spacing w:lineRule="auto" w:line="240" w:before="0" w:after="0"/>
        <w:jc w:val="left"/>
        <w:rPr>
          <w:rFonts w:ascii="Times New Roman;sans-serif" w:hAnsi="Times New Roman;sans-serif"/>
          <w:b w:val="false"/>
          <w:color w:val="2D2D2D"/>
          <w:sz w:val="22"/>
        </w:rPr>
      </w:pPr>
      <w:r>
        <w:rPr>
          <w:rFonts w:ascii="Times New Roman;sans-serif" w:hAnsi="Times New Roman;sans-serif"/>
          <w:b w:val="false"/>
          <w:color w:val="2D2D2D"/>
          <w:sz w:val="22"/>
        </w:rPr>
        <w:t>ACCEPTED AND AGREED: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2D2D2D"/>
          <w:sz w:val="22"/>
        </w:rPr>
      </w:pPr>
      <w:r>
        <w:rPr>
          <w:rFonts w:ascii="Times New Roman;sans-serif" w:hAnsi="Times New Roman;sans-serif"/>
          <w:b w:val="false"/>
          <w:color w:val="2D2D2D"/>
          <w:sz w:val="22"/>
        </w:rPr>
        <w:t>MEGAN D. MEYER</w:t>
      </w:r>
    </w:p>
    <w:p>
      <w:pPr>
        <w:pStyle w:val="TextBody"/>
        <w:bidi w:val="0"/>
        <w:spacing w:lineRule="auto" w:line="240" w:before="0" w:after="0"/>
        <w:jc w:val="left"/>
        <w:rPr>
          <w:rFonts w:ascii="Times New Roman;sans-serif" w:hAnsi="Times New Roman;sans-serif"/>
          <w:b w:val="false"/>
          <w:color w:val="2D2D2D"/>
          <w:sz w:val="22"/>
        </w:rPr>
      </w:pPr>
      <w:r>
        <w:rPr>
          <w:rFonts w:ascii="Times New Roman;sans-serif" w:hAnsi="Times New Roman;sans-serif"/>
          <w:b w:val="false"/>
          <w:color w:val="2D2D2D"/>
          <w:sz w:val="22"/>
        </w:rPr>
        <w:t>(PRINT EMPLOYEE NAME)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2D2D2D"/>
          <w:sz w:val="22"/>
          <w:u w:val="single"/>
        </w:rPr>
      </w:pPr>
      <w:r>
        <w:rPr>
          <w:rFonts w:ascii="Times New Roman;sans-serif" w:hAnsi="Times New Roman;sans-serif"/>
          <w:b w:val="false"/>
          <w:color w:val="2D2D2D"/>
          <w:sz w:val="22"/>
          <w:u w:val="single"/>
        </w:rPr>
        <w:t>/s/ Megan D. Meyer            </w:t>
      </w:r>
    </w:p>
    <w:p>
      <w:pPr>
        <w:pStyle w:val="TextBody"/>
        <w:bidi w:val="0"/>
        <w:spacing w:lineRule="auto" w:line="240" w:before="0" w:after="0"/>
        <w:jc w:val="left"/>
        <w:rPr>
          <w:rFonts w:ascii="Times New Roman;sans-serif" w:hAnsi="Times New Roman;sans-serif"/>
          <w:b w:val="false"/>
          <w:color w:val="2D2D2D"/>
          <w:sz w:val="22"/>
        </w:rPr>
      </w:pPr>
      <w:r>
        <w:rPr>
          <w:rFonts w:ascii="Times New Roman;sans-serif" w:hAnsi="Times New Roman;sans-serif"/>
          <w:b w:val="false"/>
          <w:color w:val="2D2D2D"/>
          <w:sz w:val="22"/>
        </w:rPr>
        <w:t>(Signature)</w:t>
      </w:r>
    </w:p>
    <w:p>
      <w:pPr>
        <w:pStyle w:val="TextBody"/>
        <w:bidi w:val="0"/>
        <w:spacing w:before="3" w:after="283"/>
        <w:jc w:val="left"/>
        <w:rPr/>
      </w:pPr>
      <w:r>
        <w:rPr/>
      </w:r>
    </w:p>
    <w:p>
      <w:pPr>
        <w:pStyle w:val="TextBody"/>
        <w:bidi w:val="0"/>
        <w:spacing w:lineRule="auto" w:line="240" w:before="91" w:after="283"/>
        <w:jc w:val="left"/>
        <w:rPr/>
      </w:pPr>
      <w:r>
        <w:rPr>
          <w:rFonts w:ascii="Times New Roman;sans-serif" w:hAnsi="Times New Roman;sans-serif"/>
          <w:b w:val="false"/>
          <w:color w:val="2D2D2D"/>
          <w:sz w:val="22"/>
          <w:u w:val="single"/>
        </w:rPr>
        <w:t>03</w:t>
      </w:r>
      <w:r>
        <w:rPr>
          <w:rFonts w:ascii="Times New Roman;sans-serif" w:hAnsi="Times New Roman;sans-serif"/>
          <w:b w:val="false"/>
          <w:color w:val="5B5B5B"/>
          <w:sz w:val="22"/>
          <w:u w:val="single"/>
        </w:rPr>
        <w:t>/</w:t>
      </w:r>
      <w:r>
        <w:rPr>
          <w:rFonts w:ascii="Times New Roman;sans-serif" w:hAnsi="Times New Roman;sans-serif"/>
          <w:b w:val="false"/>
          <w:color w:val="2D2D2D"/>
          <w:sz w:val="22"/>
          <w:u w:val="single"/>
        </w:rPr>
        <w:t>11/2015    </w:t>
      </w:r>
    </w:p>
    <w:p>
      <w:pPr>
        <w:pStyle w:val="TextBody"/>
        <w:bidi w:val="0"/>
        <w:spacing w:lineRule="auto" w:line="240" w:before="5" w:after="283"/>
        <w:jc w:val="left"/>
        <w:rPr>
          <w:rFonts w:ascii="Times New Roman;sans-serif" w:hAnsi="Times New Roman;sans-serif"/>
          <w:b w:val="false"/>
          <w:color w:val="1C1C1C"/>
          <w:sz w:val="22"/>
        </w:rPr>
      </w:pPr>
      <w:r>
        <w:rPr>
          <w:rFonts w:ascii="Times New Roman;sans-serif" w:hAnsi="Times New Roman;sans-serif"/>
          <w:b w:val="false"/>
          <w:color w:val="1C1C1C"/>
          <w:sz w:val="22"/>
        </w:rPr>
        <w:t>Date</w:t>
      </w:r>
    </w:p>
    <w:p>
      <w:pPr>
        <w:pStyle w:val="TextBody"/>
        <w:bidi w:val="0"/>
        <w:spacing w:before="3" w:after="283"/>
        <w:jc w:val="left"/>
        <w:rPr/>
      </w:pPr>
      <w:r>
        <w:rPr/>
      </w:r>
    </w:p>
    <w:p>
      <w:pPr>
        <w:pStyle w:val="TextBody"/>
        <w:bidi w:val="0"/>
        <w:spacing w:lineRule="auto" w:line="240" w:before="91" w:after="283"/>
        <w:jc w:val="left"/>
        <w:rPr/>
      </w:pPr>
      <w:r>
        <w:rPr>
          <w:rFonts w:ascii="Times New Roman;sans-serif" w:hAnsi="Times New Roman;sans-serif"/>
          <w:b w:val="false"/>
          <w:color w:val="2D2D2D"/>
          <w:sz w:val="22"/>
        </w:rPr>
        <w:t>Ant</w:t>
      </w:r>
      <w:r>
        <w:rPr>
          <w:rFonts w:ascii="Times New Roman;sans-serif" w:hAnsi="Times New Roman;sans-serif"/>
          <w:b w:val="false"/>
          <w:color w:val="0E0E0C"/>
          <w:sz w:val="22"/>
        </w:rPr>
        <w:t>i</w:t>
      </w:r>
      <w:r>
        <w:rPr>
          <w:rFonts w:ascii="Times New Roman;sans-serif" w:hAnsi="Times New Roman;sans-serif"/>
          <w:b w:val="false"/>
          <w:color w:val="2D2D2D"/>
          <w:sz w:val="22"/>
        </w:rPr>
        <w:t>c</w:t>
      </w:r>
      <w:r>
        <w:rPr>
          <w:rFonts w:ascii="Times New Roman;sans-serif" w:hAnsi="Times New Roman;sans-serif"/>
          <w:b w:val="false"/>
          <w:color w:val="0E0E0C"/>
          <w:sz w:val="22"/>
        </w:rPr>
        <w:t>ip</w:t>
      </w:r>
      <w:r>
        <w:rPr>
          <w:rFonts w:ascii="Times New Roman;sans-serif" w:hAnsi="Times New Roman;sans-serif"/>
          <w:b w:val="false"/>
          <w:color w:val="2D2D2D"/>
          <w:sz w:val="22"/>
        </w:rPr>
        <w:t xml:space="preserve">ated Start </w:t>
      </w:r>
      <w:r>
        <w:rPr>
          <w:rFonts w:ascii="Times New Roman;sans-serif" w:hAnsi="Times New Roman;sans-serif"/>
          <w:b w:val="false"/>
          <w:color w:val="1C1C1C"/>
          <w:sz w:val="22"/>
        </w:rPr>
        <w:t xml:space="preserve">Date: </w:t>
      </w:r>
      <w:r>
        <w:rPr>
          <w:rFonts w:ascii="Times New Roman;sans-serif" w:hAnsi="Times New Roman;sans-serif"/>
          <w:b w:val="false"/>
          <w:color w:val="1C1C1C"/>
          <w:sz w:val="22"/>
          <w:u w:val="single"/>
        </w:rPr>
        <w:t>03</w:t>
      </w:r>
      <w:r>
        <w:rPr>
          <w:rFonts w:ascii="Times New Roman;sans-serif" w:hAnsi="Times New Roman;sans-serif"/>
          <w:b w:val="false"/>
          <w:color w:val="5B5B5B"/>
          <w:sz w:val="22"/>
          <w:u w:val="single"/>
        </w:rPr>
        <w:t>/</w:t>
      </w:r>
      <w:r>
        <w:rPr>
          <w:rFonts w:ascii="Times New Roman;sans-serif" w:hAnsi="Times New Roman;sans-serif"/>
          <w:b w:val="false"/>
          <w:color w:val="2D2D2D"/>
          <w:sz w:val="22"/>
          <w:u w:val="single"/>
        </w:rPr>
        <w:t>26</w:t>
      </w:r>
      <w:r>
        <w:rPr>
          <w:rFonts w:ascii="Times New Roman;sans-serif" w:hAnsi="Times New Roman;sans-serif"/>
          <w:b w:val="false"/>
          <w:color w:val="5B5B5B"/>
          <w:sz w:val="22"/>
          <w:u w:val="single"/>
        </w:rPr>
        <w:t>/</w:t>
      </w:r>
      <w:r>
        <w:rPr>
          <w:rFonts w:ascii="Times New Roman;sans-serif" w:hAnsi="Times New Roman;sans-serif"/>
          <w:b w:val="false"/>
          <w:color w:val="2D2D2D"/>
          <w:sz w:val="22"/>
          <w:u w:val="single"/>
        </w:rPr>
        <w:t>2015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Carrie Wheeler,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Opendoor Technologies,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1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733"/>
        <w:gridCol w:w="733"/>
        <w:gridCol w:w="10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03,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Carrie Wheeler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Wheeler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INTERIM CHIEF FINANCIAL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Christina Schwartz,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Opendoor Technologies,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282"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1131"/>
        <w:gridCol w:w="1131"/>
        <w:gridCol w:w="16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03,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Christina Schwartz</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Schwartz</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INTERIM CHIEF FINANCIAL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Opendoor Technologies Inc. (the “Company”) for the period ended June 30, 2023 as filed with the Securities and Exchange Commission on the date hereof (the “Report”), the undersigned, Carrie Wheeler, Chief Executive Officer of the Company, and Christina Schwartz, Interim Chief Financial Officer of the Company, each certifies,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6222"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1115"/>
        <w:gridCol w:w="1115"/>
        <w:gridCol w:w="157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03,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Carrie Wheeler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Wheeler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03,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Christina Schwartz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Schwartz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1169/000110465920105791/tm2030935d1_ex2-1.htm" TargetMode="External"/><Relationship Id="rId3" Type="http://schemas.openxmlformats.org/officeDocument/2006/relationships/hyperlink" Target="http://www.sec.gov/Archives/edgar/data/1801169/000110465920137517/tm2038661d2_ex3-1.htm" TargetMode="External"/><Relationship Id="rId4" Type="http://schemas.openxmlformats.org/officeDocument/2006/relationships/hyperlink" Target="https://www.sec.gov/Archives/edgar/data/1801169/000119312523013575/d386352dex31.htm" TargetMode="External"/><Relationship Id="rId5" Type="http://schemas.openxmlformats.org/officeDocument/2006/relationships/hyperlink" Target="http://www.sec.gov/Archives/edgar/data/1801169/000110465920122215/tm2030455d5_ex4-5.htm" TargetMode="External"/><Relationship Id="rId6" Type="http://schemas.openxmlformats.org/officeDocument/2006/relationships/hyperlink" Target="https://www.sec.gov/Archives/edgar/data/1801169/000180116922000079/exhibit992opendoor-warrant.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27612</Words>
  <Characters>152279</Characters>
  <CharactersWithSpaces>177731</CharactersWithSpaces>
  <Paragraphs>3804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